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tbl>
      <w:tblPr>
        <w:tblW w:w="0" w:type="auto"/>
        <w:jc w:val="center"/>
        <w:tblLayout w:type="fixed"/>
        <w:tblCellMar>
          <w:left w:w="70" w:type="dxa"/>
          <w:right w:w="70" w:type="dxa"/>
        </w:tblCellMar>
        <w:tblLook w:val="0000"/>
      </w:tblPr>
      <w:tblGrid>
        <w:gridCol w:w="5139"/>
        <w:gridCol w:w="4003"/>
      </w:tblGrid>
      <w:tr w:rsidTr="001808BC">
        <w:tblPrEx>
          <w:tblW w:w="0" w:type="auto"/>
          <w:jc w:val="center"/>
          <w:tblLayout w:type="fixed"/>
          <w:tblCellMar>
            <w:left w:w="70" w:type="dxa"/>
            <w:right w:w="70" w:type="dxa"/>
          </w:tblCellMar>
          <w:tblLook w:val="0000"/>
        </w:tblPrEx>
        <w:trPr>
          <w:trHeight w:val="1128"/>
          <w:jc w:val="center"/>
        </w:trPr>
        <w:tc>
          <w:tcPr>
            <w:tcW w:w="9142" w:type="dxa"/>
            <w:gridSpan w:val="2"/>
            <w:tcBorders>
              <w:bottom w:val="nil"/>
            </w:tcBorders>
            <w:vAlign w:val="bottom"/>
          </w:tcPr>
          <w:p w:rsidR="00146B14" w:rsidRPr="00EE64B0" w:rsidP="001808BC">
            <w:pPr>
              <w:jc w:val="center"/>
            </w:pPr>
            <w:r>
              <w:rPr>
                <w:noProof/>
              </w:rPr>
              <w:drawing>
                <wp:inline distT="0" distB="0" distL="0" distR="0">
                  <wp:extent cx="533400" cy="638175"/>
                  <wp:effectExtent l="0" t="0" r="0" b="9525"/>
                  <wp:docPr id="1" name="obrázek 5"/>
                  <wp:cNvGraphicFramePr/>
                  <a:graphic xmlns:a="http://schemas.openxmlformats.org/drawingml/2006/main">
                    <a:graphicData uri="http://schemas.openxmlformats.org/drawingml/2006/picture">
                      <pic:pic xmlns:pic="http://schemas.openxmlformats.org/drawingml/2006/picture">
                        <pic:nvPicPr>
                          <pic:cNvPr id="1" name="obrázek 5"/>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38175"/>
                          </a:xfrm>
                          <a:prstGeom prst="rect">
                            <a:avLst/>
                          </a:prstGeom>
                          <a:noFill/>
                          <a:ln>
                            <a:noFill/>
                          </a:ln>
                        </pic:spPr>
                      </pic:pic>
                    </a:graphicData>
                  </a:graphic>
                </wp:inline>
              </w:drawing>
            </w:r>
          </w:p>
        </w:tc>
      </w:tr>
      <w:tr w:rsidTr="00C74794">
        <w:tblPrEx>
          <w:tblW w:w="0" w:type="auto"/>
          <w:jc w:val="center"/>
          <w:tblLayout w:type="fixed"/>
          <w:tblCellMar>
            <w:left w:w="70" w:type="dxa"/>
            <w:right w:w="70" w:type="dxa"/>
          </w:tblCellMar>
          <w:tblLook w:val="0000"/>
        </w:tblPrEx>
        <w:trPr>
          <w:trHeight w:val="964"/>
          <w:jc w:val="center"/>
        </w:trPr>
        <w:tc>
          <w:tcPr>
            <w:tcW w:w="9142" w:type="dxa"/>
            <w:gridSpan w:val="2"/>
            <w:tcBorders>
              <w:bottom w:val="nil"/>
            </w:tcBorders>
            <w:vAlign w:val="bottom"/>
          </w:tcPr>
          <w:p w:rsidR="00146B14" w:rsidRPr="00924033" w:rsidP="001808BC">
            <w:pPr>
              <w:jc w:val="center"/>
              <w:rPr>
                <w:rFonts w:ascii="Arial" w:hAnsi="Arial" w:cs="Arial"/>
                <w:b/>
                <w:iCs/>
                <w:sz w:val="24"/>
                <w:szCs w:val="24"/>
              </w:rPr>
            </w:pPr>
            <w:bookmarkStart w:id="0" w:name="funkce"/>
            <w:bookmarkEnd w:id="0"/>
            <w:r w:rsidRPr="00924033">
              <w:rPr>
                <w:rFonts w:ascii="Arial" w:hAnsi="Arial" w:cs="Arial"/>
                <w:b/>
                <w:iCs/>
                <w:sz w:val="24"/>
                <w:szCs w:val="24"/>
              </w:rPr>
              <w:t>JUDr. Alena SCHILLEROVÁ, Ph.D.</w:t>
            </w:r>
          </w:p>
          <w:p w:rsidR="00146B14" w:rsidRPr="00653BB2" w:rsidP="001808BC">
            <w:pPr>
              <w:jc w:val="center"/>
              <w:rPr>
                <w:rFonts w:ascii="Arial" w:hAnsi="Arial" w:cs="Arial"/>
                <w:iCs/>
                <w:sz w:val="28"/>
              </w:rPr>
            </w:pPr>
            <w:r>
              <w:rPr>
                <w:rFonts w:ascii="Arial" w:hAnsi="Arial" w:cs="Arial"/>
                <w:iCs/>
                <w:sz w:val="24"/>
                <w:szCs w:val="24"/>
              </w:rPr>
              <w:t xml:space="preserve">místopředsedkyně vlády a </w:t>
            </w:r>
            <w:r w:rsidRPr="00924033">
              <w:rPr>
                <w:rFonts w:ascii="Arial" w:hAnsi="Arial" w:cs="Arial"/>
                <w:iCs/>
                <w:sz w:val="24"/>
                <w:szCs w:val="24"/>
              </w:rPr>
              <w:t>ministryně financí</w:t>
            </w:r>
          </w:p>
        </w:tc>
      </w:tr>
      <w:tr w:rsidTr="00F4334A">
        <w:tblPrEx>
          <w:tblW w:w="0" w:type="auto"/>
          <w:jc w:val="center"/>
          <w:tblLayout w:type="fixed"/>
          <w:tblCellMar>
            <w:left w:w="70" w:type="dxa"/>
            <w:right w:w="70" w:type="dxa"/>
          </w:tblCellMar>
          <w:tblLook w:val="0000"/>
        </w:tblPrEx>
        <w:trPr>
          <w:trHeight w:hRule="exact" w:val="340"/>
          <w:jc w:val="center"/>
        </w:trPr>
        <w:tc>
          <w:tcPr>
            <w:tcW w:w="9142" w:type="dxa"/>
            <w:gridSpan w:val="2"/>
          </w:tcPr>
          <w:p w:rsidR="00146B14" w:rsidRPr="00653BB2" w:rsidP="00665E3F">
            <w:pPr>
              <w:rPr>
                <w:rFonts w:ascii="Arial" w:hAnsi="Arial" w:cs="Arial"/>
                <w:b/>
                <w:sz w:val="24"/>
              </w:rPr>
            </w:pPr>
          </w:p>
        </w:tc>
      </w:tr>
      <w:tr w:rsidTr="00224788">
        <w:tblPrEx>
          <w:tblW w:w="0" w:type="auto"/>
          <w:jc w:val="center"/>
          <w:tblLayout w:type="fixed"/>
          <w:tblCellMar>
            <w:left w:w="70" w:type="dxa"/>
            <w:right w:w="70" w:type="dxa"/>
          </w:tblCellMar>
          <w:tblLook w:val="0000"/>
        </w:tblPrEx>
        <w:trPr>
          <w:trHeight w:val="227"/>
          <w:jc w:val="center"/>
        </w:trPr>
        <w:tc>
          <w:tcPr>
            <w:tcW w:w="5139" w:type="dxa"/>
          </w:tcPr>
          <w:p w:rsidR="00146B14" w:rsidRPr="00653BB2">
            <w:pPr>
              <w:tabs>
                <w:tab w:val="left" w:pos="5670"/>
                <w:tab w:val="left" w:pos="8222"/>
              </w:tabs>
              <w:rPr>
                <w:rFonts w:ascii="Arial" w:hAnsi="Arial" w:cs="Arial"/>
                <w:b/>
                <w:sz w:val="24"/>
              </w:rPr>
            </w:pPr>
          </w:p>
        </w:tc>
        <w:tc>
          <w:tcPr>
            <w:tcW w:w="4003" w:type="dxa"/>
            <w:vAlign w:val="center"/>
          </w:tcPr>
          <w:p w:rsidR="00146B14" w:rsidRPr="00F4334A" w:rsidP="00252AA9">
            <w:pPr>
              <w:pStyle w:val="Identifiktory"/>
            </w:pPr>
            <w:r w:rsidRPr="00F4334A">
              <w:t xml:space="preserve">PID: </w:t>
            </w:r>
            <w:r w:rsidRPr="00B56197" w:rsidR="00881C0D">
              <w:t>MFCRAXGHWL</w:t>
            </w:r>
          </w:p>
        </w:tc>
      </w:tr>
      <w:tr w:rsidTr="00224788">
        <w:tblPrEx>
          <w:tblW w:w="0" w:type="auto"/>
          <w:jc w:val="center"/>
          <w:tblLayout w:type="fixed"/>
          <w:tblCellMar>
            <w:left w:w="70" w:type="dxa"/>
            <w:right w:w="70" w:type="dxa"/>
          </w:tblCellMar>
          <w:tblLook w:val="0000"/>
        </w:tblPrEx>
        <w:trPr>
          <w:trHeight w:val="227"/>
          <w:jc w:val="center"/>
        </w:trPr>
        <w:tc>
          <w:tcPr>
            <w:tcW w:w="5139" w:type="dxa"/>
          </w:tcPr>
          <w:p w:rsidR="00146B14" w:rsidRPr="00653BB2">
            <w:pPr>
              <w:tabs>
                <w:tab w:val="left" w:pos="5670"/>
                <w:tab w:val="left" w:pos="8222"/>
              </w:tabs>
              <w:rPr>
                <w:rFonts w:ascii="Arial" w:hAnsi="Arial" w:cs="Arial"/>
                <w:b/>
                <w:sz w:val="24"/>
              </w:rPr>
            </w:pPr>
          </w:p>
        </w:tc>
        <w:tc>
          <w:tcPr>
            <w:tcW w:w="4003" w:type="dxa"/>
            <w:vAlign w:val="center"/>
          </w:tcPr>
          <w:p w:rsidR="00146B14" w:rsidRPr="00F4334A" w:rsidP="00252AA9">
            <w:pPr>
              <w:pStyle w:val="Identifiktory"/>
            </w:pPr>
            <w:r w:rsidRPr="00F4334A">
              <w:t xml:space="preserve">Č. j.: </w:t>
            </w:r>
            <w:r w:rsidR="00881C0D">
              <w:rPr>
                <w:lang w:val="en-US"/>
              </w:rPr>
              <w:t>MF-14232/2020/9001-2</w:t>
            </w:r>
          </w:p>
        </w:tc>
      </w:tr>
      <w:tr w:rsidTr="00224788">
        <w:tblPrEx>
          <w:tblW w:w="0" w:type="auto"/>
          <w:jc w:val="center"/>
          <w:tblLayout w:type="fixed"/>
          <w:tblCellMar>
            <w:left w:w="70" w:type="dxa"/>
            <w:right w:w="70" w:type="dxa"/>
          </w:tblCellMar>
          <w:tblLook w:val="0000"/>
        </w:tblPrEx>
        <w:trPr>
          <w:jc w:val="center"/>
        </w:trPr>
        <w:tc>
          <w:tcPr>
            <w:tcW w:w="5139" w:type="dxa"/>
          </w:tcPr>
          <w:p w:rsidR="00146B14" w:rsidRPr="00653BB2">
            <w:pPr>
              <w:tabs>
                <w:tab w:val="left" w:pos="5670"/>
                <w:tab w:val="left" w:pos="8222"/>
              </w:tabs>
              <w:rPr>
                <w:rFonts w:ascii="Arial" w:hAnsi="Arial" w:cs="Arial"/>
                <w:b/>
                <w:sz w:val="24"/>
              </w:rPr>
            </w:pPr>
          </w:p>
        </w:tc>
        <w:tc>
          <w:tcPr>
            <w:tcW w:w="4003" w:type="dxa"/>
            <w:vAlign w:val="center"/>
          </w:tcPr>
          <w:p w:rsidR="00146B14" w:rsidRPr="00F4334A" w:rsidP="0076769C">
            <w:pPr>
              <w:pStyle w:val="Identifiktory"/>
              <w:rPr>
                <w:b/>
              </w:rPr>
            </w:pPr>
            <w:r w:rsidRPr="004928BD">
              <w:t xml:space="preserve">Počet </w:t>
            </w:r>
            <w:r w:rsidR="007E0486">
              <w:t>listů</w:t>
            </w:r>
            <w:r w:rsidRPr="004928BD">
              <w:t>:</w:t>
            </w:r>
            <w:r w:rsidR="0076769C">
              <w:t xml:space="preserve"> 5 </w:t>
            </w:r>
          </w:p>
        </w:tc>
      </w:tr>
      <w:tr w:rsidTr="00994283">
        <w:tblPrEx>
          <w:tblW w:w="0" w:type="auto"/>
          <w:jc w:val="center"/>
          <w:tblLayout w:type="fixed"/>
          <w:tblCellMar>
            <w:left w:w="70" w:type="dxa"/>
            <w:right w:w="70" w:type="dxa"/>
          </w:tblCellMar>
          <w:tblLook w:val="0000"/>
        </w:tblPrEx>
        <w:trPr>
          <w:jc w:val="center"/>
        </w:trPr>
        <w:tc>
          <w:tcPr>
            <w:tcW w:w="5139" w:type="dxa"/>
          </w:tcPr>
          <w:p w:rsidR="00224788" w:rsidRPr="00653BB2">
            <w:pPr>
              <w:tabs>
                <w:tab w:val="left" w:pos="5670"/>
                <w:tab w:val="left" w:pos="8222"/>
              </w:tabs>
              <w:rPr>
                <w:rFonts w:ascii="Arial" w:hAnsi="Arial" w:cs="Arial"/>
                <w:b/>
                <w:sz w:val="24"/>
              </w:rPr>
            </w:pPr>
          </w:p>
        </w:tc>
        <w:tc>
          <w:tcPr>
            <w:tcW w:w="4003" w:type="dxa"/>
            <w:vAlign w:val="center"/>
          </w:tcPr>
          <w:p w:rsidR="00224788" w:rsidRPr="00653BB2" w:rsidP="00252AA9">
            <w:pPr>
              <w:pStyle w:val="Identifiktory"/>
              <w:rPr>
                <w:sz w:val="24"/>
              </w:rPr>
            </w:pPr>
          </w:p>
        </w:tc>
      </w:tr>
      <w:tr w:rsidTr="00224788">
        <w:tblPrEx>
          <w:tblW w:w="0" w:type="auto"/>
          <w:jc w:val="center"/>
          <w:tblLayout w:type="fixed"/>
          <w:tblCellMar>
            <w:left w:w="70" w:type="dxa"/>
            <w:right w:w="70" w:type="dxa"/>
          </w:tblCellMar>
          <w:tblLook w:val="0000"/>
        </w:tblPrEx>
        <w:trPr>
          <w:jc w:val="center"/>
        </w:trPr>
        <w:tc>
          <w:tcPr>
            <w:tcW w:w="5139" w:type="dxa"/>
          </w:tcPr>
          <w:p w:rsidR="00F4334A" w:rsidRPr="00653BB2">
            <w:pPr>
              <w:tabs>
                <w:tab w:val="left" w:pos="5670"/>
                <w:tab w:val="left" w:pos="8222"/>
              </w:tabs>
              <w:rPr>
                <w:rFonts w:ascii="Arial" w:hAnsi="Arial" w:cs="Arial"/>
                <w:b/>
                <w:sz w:val="24"/>
              </w:rPr>
            </w:pPr>
          </w:p>
        </w:tc>
        <w:tc>
          <w:tcPr>
            <w:tcW w:w="4003" w:type="dxa"/>
            <w:vAlign w:val="center"/>
          </w:tcPr>
          <w:p w:rsidR="00F4334A" w:rsidRPr="00653BB2" w:rsidP="00252AA9">
            <w:pPr>
              <w:pStyle w:val="Identifiktory"/>
            </w:pPr>
          </w:p>
        </w:tc>
      </w:tr>
      <w:tr w:rsidTr="00224788">
        <w:tblPrEx>
          <w:tblW w:w="0" w:type="auto"/>
          <w:jc w:val="center"/>
          <w:tblLayout w:type="fixed"/>
          <w:tblCellMar>
            <w:left w:w="70" w:type="dxa"/>
            <w:right w:w="70" w:type="dxa"/>
          </w:tblCellMar>
          <w:tblLook w:val="0000"/>
        </w:tblPrEx>
        <w:trPr>
          <w:trHeight w:val="340"/>
          <w:jc w:val="center"/>
        </w:trPr>
        <w:tc>
          <w:tcPr>
            <w:tcW w:w="5139" w:type="dxa"/>
          </w:tcPr>
          <w:p w:rsidR="00F4334A" w:rsidRPr="00653BB2">
            <w:pPr>
              <w:tabs>
                <w:tab w:val="left" w:pos="5670"/>
                <w:tab w:val="left" w:pos="8222"/>
              </w:tabs>
              <w:rPr>
                <w:rFonts w:ascii="Arial" w:hAnsi="Arial" w:cs="Arial"/>
                <w:b/>
                <w:sz w:val="24"/>
              </w:rPr>
            </w:pPr>
          </w:p>
        </w:tc>
        <w:tc>
          <w:tcPr>
            <w:tcW w:w="4003" w:type="dxa"/>
            <w:vAlign w:val="center"/>
          </w:tcPr>
          <w:p w:rsidR="00F4334A" w:rsidRPr="00653BB2" w:rsidP="0076769C">
            <w:pPr>
              <w:pStyle w:val="Datumdopisu"/>
            </w:pPr>
            <w:r w:rsidRPr="004928BD">
              <w:t>Praha</w:t>
            </w:r>
            <w:r w:rsidR="0076769C">
              <w:t xml:space="preserve"> 19. května 2020</w:t>
            </w:r>
          </w:p>
        </w:tc>
      </w:tr>
      <w:tr w:rsidTr="00224788">
        <w:tblPrEx>
          <w:tblW w:w="0" w:type="auto"/>
          <w:jc w:val="center"/>
          <w:tblLayout w:type="fixed"/>
          <w:tblCellMar>
            <w:left w:w="70" w:type="dxa"/>
            <w:right w:w="70" w:type="dxa"/>
          </w:tblCellMar>
          <w:tblLook w:val="0000"/>
        </w:tblPrEx>
        <w:trPr>
          <w:cantSplit/>
          <w:jc w:val="center"/>
        </w:trPr>
        <w:tc>
          <w:tcPr>
            <w:tcW w:w="5139" w:type="dxa"/>
          </w:tcPr>
          <w:p w:rsidR="00F4334A" w:rsidRPr="00653BB2">
            <w:pPr>
              <w:tabs>
                <w:tab w:val="left" w:pos="5670"/>
                <w:tab w:val="left" w:pos="8222"/>
              </w:tabs>
              <w:rPr>
                <w:rFonts w:ascii="Arial" w:hAnsi="Arial" w:cs="Arial"/>
                <w:b/>
                <w:sz w:val="24"/>
              </w:rPr>
            </w:pPr>
          </w:p>
        </w:tc>
        <w:tc>
          <w:tcPr>
            <w:tcW w:w="4003" w:type="dxa"/>
          </w:tcPr>
          <w:p w:rsidR="00F4334A" w:rsidRPr="00653BB2" w:rsidP="00252AA9">
            <w:pPr>
              <w:pStyle w:val="Identifiktory"/>
            </w:pPr>
          </w:p>
        </w:tc>
      </w:tr>
    </w:tbl>
    <w:p w:rsidR="0076769C" w:rsidP="0076769C">
      <w:pPr>
        <w:spacing w:after="120" w:line="300" w:lineRule="auto"/>
        <w:jc w:val="both"/>
        <w:rPr>
          <w:rFonts w:ascii="Arial" w:hAnsi="Arial" w:cs="Arial"/>
          <w:color w:val="000000" w:themeColor="text1"/>
          <w:sz w:val="24"/>
          <w:szCs w:val="24"/>
        </w:rPr>
      </w:pPr>
      <w:r>
        <w:rPr>
          <w:rFonts w:ascii="Arial" w:hAnsi="Arial" w:cs="Arial"/>
          <w:color w:val="000000" w:themeColor="text1"/>
          <w:sz w:val="24"/>
          <w:szCs w:val="24"/>
        </w:rPr>
        <w:t xml:space="preserve">Vážený pane předsedo </w:t>
      </w:r>
      <w:r>
        <w:rPr>
          <w:rFonts w:ascii="Arial" w:hAnsi="Arial" w:cs="Arial"/>
          <w:color w:val="000000" w:themeColor="text1"/>
          <w:sz w:val="24"/>
          <w:szCs w:val="24"/>
        </w:rPr>
        <w:t>Lukle</w:t>
      </w:r>
      <w:r>
        <w:rPr>
          <w:rFonts w:ascii="Arial" w:hAnsi="Arial" w:cs="Arial"/>
          <w:color w:val="000000" w:themeColor="text1"/>
          <w:sz w:val="24"/>
          <w:szCs w:val="24"/>
        </w:rPr>
        <w:t>, v</w:t>
      </w:r>
      <w:r w:rsidRPr="0076769C">
        <w:rPr>
          <w:rFonts w:ascii="Arial" w:hAnsi="Arial" w:cs="Arial"/>
          <w:color w:val="000000" w:themeColor="text1"/>
          <w:sz w:val="24"/>
          <w:szCs w:val="24"/>
        </w:rPr>
        <w:t xml:space="preserve">ážený pane předsedo </w:t>
      </w:r>
      <w:r w:rsidRPr="0076769C">
        <w:rPr>
          <w:rFonts w:ascii="Arial" w:hAnsi="Arial" w:cs="Arial"/>
          <w:color w:val="000000" w:themeColor="text1"/>
          <w:sz w:val="24"/>
          <w:szCs w:val="24"/>
        </w:rPr>
        <w:t>Polčáku</w:t>
      </w:r>
      <w:r w:rsidRPr="0076769C">
        <w:rPr>
          <w:rFonts w:ascii="Arial" w:hAnsi="Arial" w:cs="Arial"/>
          <w:color w:val="000000" w:themeColor="text1"/>
          <w:sz w:val="24"/>
          <w:szCs w:val="24"/>
        </w:rPr>
        <w:t>,</w:t>
      </w:r>
    </w:p>
    <w:p w:rsid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 xml:space="preserve">obracím se na Vás tímto otevřeným dopisem v reakci na výzvy, které v těchto dnech rozesíláte zástupcům samospráv, senátorům, poslancům a členům vlády. Mohu Vás ujistit, že finanční kondice obcí, měst a krajů a udržení lokálně financovaných investic mi neleží na srdci o nic méně než Vám. Jsou to právě opatření vlády na podporu ekonomiky a podnikání v naší zemi a nové dotační programy, díky kterým </w:t>
      </w:r>
      <w:r w:rsidRPr="0076769C">
        <w:rPr>
          <w:rFonts w:ascii="Arial" w:hAnsi="Arial" w:cs="Arial"/>
          <w:b/>
          <w:color w:val="000000" w:themeColor="text1"/>
          <w:sz w:val="24"/>
          <w:szCs w:val="24"/>
        </w:rPr>
        <w:t>udržíme finanční kondici samospráv</w:t>
      </w:r>
      <w:r w:rsidRPr="0076769C">
        <w:rPr>
          <w:rFonts w:ascii="Arial" w:hAnsi="Arial" w:cs="Arial"/>
          <w:color w:val="000000" w:themeColor="text1"/>
          <w:sz w:val="24"/>
          <w:szCs w:val="24"/>
        </w:rPr>
        <w:t xml:space="preserve"> navzdory současné krizi na výborné úrovni. </w:t>
      </w:r>
    </w:p>
    <w:p w:rsidR="00D20D27"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Jsem si naprosto vědoma dosavadní nezastupitelné role municipalit a krajů při řešení situace, která nemá v novodobé historii naší země obdoby. Tak jako centrální vláda operativně přistoupila k řadě opatření, aby ochránila zdraví všech ob</w:t>
      </w:r>
      <w:r>
        <w:rPr>
          <w:rFonts w:ascii="Arial" w:hAnsi="Arial" w:cs="Arial"/>
          <w:color w:val="000000" w:themeColor="text1"/>
          <w:sz w:val="24"/>
          <w:szCs w:val="24"/>
        </w:rPr>
        <w:t xml:space="preserve">čanů a omezila šíření pandemie i </w:t>
      </w:r>
      <w:r w:rsidRPr="0076769C">
        <w:rPr>
          <w:rFonts w:ascii="Arial" w:hAnsi="Arial" w:cs="Arial"/>
          <w:color w:val="000000" w:themeColor="text1"/>
          <w:sz w:val="24"/>
          <w:szCs w:val="24"/>
        </w:rPr>
        <w:t xml:space="preserve">samosprávy přispěly úctyhodným dílem k tomu, že se podařilo šíření nákazy dostat pod kontrolu. </w:t>
      </w:r>
    </w:p>
    <w:p w:rsidR="002A3D6B" w:rsidP="0076769C">
      <w:pPr>
        <w:spacing w:after="120" w:line="300" w:lineRule="auto"/>
        <w:jc w:val="both"/>
        <w:rPr>
          <w:rFonts w:ascii="Arial" w:hAnsi="Arial" w:cs="Arial"/>
          <w:color w:val="000000" w:themeColor="text1"/>
          <w:sz w:val="24"/>
          <w:szCs w:val="24"/>
        </w:rPr>
      </w:pPr>
      <w:r>
        <w:rPr>
          <w:rFonts w:ascii="Arial" w:hAnsi="Arial" w:cs="Arial"/>
          <w:color w:val="000000" w:themeColor="text1"/>
          <w:sz w:val="24"/>
          <w:szCs w:val="24"/>
        </w:rPr>
        <w:t>Státní rozpočet nese bez váhání na svých bedrech b</w:t>
      </w:r>
      <w:r w:rsidRPr="0076769C" w:rsidR="0076769C">
        <w:rPr>
          <w:rFonts w:ascii="Arial" w:hAnsi="Arial" w:cs="Arial"/>
          <w:color w:val="000000" w:themeColor="text1"/>
          <w:sz w:val="24"/>
          <w:szCs w:val="24"/>
        </w:rPr>
        <w:t>ezprecedentní nároky na sociální systém v důsledku růstu nezaměstnanosti a</w:t>
      </w:r>
      <w:r w:rsidR="0076769C">
        <w:rPr>
          <w:rFonts w:ascii="Arial" w:hAnsi="Arial" w:cs="Arial"/>
          <w:color w:val="000000" w:themeColor="text1"/>
          <w:sz w:val="24"/>
          <w:szCs w:val="24"/>
        </w:rPr>
        <w:t> </w:t>
      </w:r>
      <w:r w:rsidRPr="0076769C" w:rsidR="0076769C">
        <w:rPr>
          <w:rFonts w:ascii="Arial" w:hAnsi="Arial" w:cs="Arial"/>
          <w:color w:val="000000" w:themeColor="text1"/>
          <w:sz w:val="24"/>
          <w:szCs w:val="24"/>
        </w:rPr>
        <w:t>zároveň na záchranné programy k udržení práce, na přímou pomoc v podobě ošetřovného, odpuštění pojistného, nebo výdaje na opatření k zajištění zdraví a</w:t>
      </w:r>
      <w:r w:rsidR="0076769C">
        <w:rPr>
          <w:rFonts w:ascii="Arial" w:hAnsi="Arial" w:cs="Arial"/>
          <w:color w:val="000000" w:themeColor="text1"/>
          <w:sz w:val="24"/>
          <w:szCs w:val="24"/>
        </w:rPr>
        <w:t> </w:t>
      </w:r>
      <w:r w:rsidRPr="0076769C" w:rsidR="0076769C">
        <w:rPr>
          <w:rFonts w:ascii="Arial" w:hAnsi="Arial" w:cs="Arial"/>
          <w:color w:val="000000" w:themeColor="text1"/>
          <w:sz w:val="24"/>
          <w:szCs w:val="24"/>
        </w:rPr>
        <w:t>bezpečnosti nemluvě</w:t>
      </w:r>
      <w:r>
        <w:rPr>
          <w:rFonts w:ascii="Arial" w:hAnsi="Arial" w:cs="Arial"/>
          <w:color w:val="000000" w:themeColor="text1"/>
          <w:sz w:val="24"/>
          <w:szCs w:val="24"/>
        </w:rPr>
        <w:t>.</w:t>
      </w:r>
      <w:r w:rsidR="00215A92">
        <w:rPr>
          <w:rFonts w:ascii="Arial" w:hAnsi="Arial" w:cs="Arial"/>
          <w:color w:val="000000" w:themeColor="text1"/>
          <w:sz w:val="24"/>
          <w:szCs w:val="24"/>
        </w:rPr>
        <w:t xml:space="preserve"> Současně státní rozpočet zajistil ochranné pomůcky pro samosprávy, </w:t>
      </w:r>
      <w:r w:rsidR="00092C7C">
        <w:rPr>
          <w:rFonts w:ascii="Arial" w:hAnsi="Arial" w:cs="Arial"/>
          <w:color w:val="000000" w:themeColor="text1"/>
          <w:sz w:val="24"/>
          <w:szCs w:val="24"/>
        </w:rPr>
        <w:t xml:space="preserve">poskytl prostředky na odměny nejen </w:t>
      </w:r>
      <w:r w:rsidR="00215A92">
        <w:rPr>
          <w:rFonts w:ascii="Arial" w:hAnsi="Arial" w:cs="Arial"/>
          <w:color w:val="000000" w:themeColor="text1"/>
          <w:sz w:val="24"/>
          <w:szCs w:val="24"/>
        </w:rPr>
        <w:t xml:space="preserve">v sociálních </w:t>
      </w:r>
      <w:r w:rsidR="00092C7C">
        <w:rPr>
          <w:rFonts w:ascii="Arial" w:hAnsi="Arial" w:cs="Arial"/>
          <w:color w:val="000000" w:themeColor="text1"/>
          <w:sz w:val="24"/>
          <w:szCs w:val="24"/>
        </w:rPr>
        <w:t xml:space="preserve">službách, ale i v </w:t>
      </w:r>
      <w:r w:rsidR="00215A92">
        <w:rPr>
          <w:rFonts w:ascii="Arial" w:hAnsi="Arial" w:cs="Arial"/>
          <w:color w:val="000000" w:themeColor="text1"/>
          <w:sz w:val="24"/>
          <w:szCs w:val="24"/>
        </w:rPr>
        <w:t>záchranných službách</w:t>
      </w:r>
      <w:r w:rsidR="00092C7C">
        <w:rPr>
          <w:rFonts w:ascii="Arial" w:hAnsi="Arial" w:cs="Arial"/>
          <w:color w:val="000000" w:themeColor="text1"/>
          <w:sz w:val="24"/>
          <w:szCs w:val="24"/>
        </w:rPr>
        <w:t xml:space="preserve"> jednotlivých krajů,</w:t>
      </w:r>
      <w:r w:rsidR="00215A92">
        <w:rPr>
          <w:rFonts w:ascii="Arial" w:hAnsi="Arial" w:cs="Arial"/>
          <w:color w:val="000000" w:themeColor="text1"/>
          <w:sz w:val="24"/>
          <w:szCs w:val="24"/>
        </w:rPr>
        <w:t xml:space="preserve"> což představuje náklad cca 8 mld. Kč.</w:t>
      </w:r>
      <w:r>
        <w:rPr>
          <w:rFonts w:ascii="Arial" w:hAnsi="Arial" w:cs="Arial"/>
          <w:color w:val="000000" w:themeColor="text1"/>
          <w:sz w:val="24"/>
          <w:szCs w:val="24"/>
        </w:rPr>
        <w:t xml:space="preserve"> </w:t>
      </w:r>
    </w:p>
    <w:p w:rsidR="0076769C" w:rsidP="0076769C">
      <w:pPr>
        <w:spacing w:after="120" w:line="300" w:lineRule="auto"/>
        <w:jc w:val="both"/>
        <w:rPr>
          <w:rFonts w:ascii="Arial" w:hAnsi="Arial" w:cs="Arial"/>
          <w:color w:val="000000" w:themeColor="text1"/>
          <w:sz w:val="24"/>
          <w:szCs w:val="24"/>
        </w:rPr>
      </w:pPr>
      <w:r>
        <w:rPr>
          <w:rFonts w:ascii="Arial" w:hAnsi="Arial" w:cs="Arial"/>
          <w:color w:val="000000" w:themeColor="text1"/>
          <w:sz w:val="24"/>
          <w:szCs w:val="24"/>
        </w:rPr>
        <w:t xml:space="preserve">Dále byl schválen program kompenzační bonus pro OSVČ a společníky malých s.r.o. </w:t>
      </w:r>
      <w:r w:rsidRPr="0076769C">
        <w:rPr>
          <w:rFonts w:ascii="Arial" w:hAnsi="Arial" w:cs="Arial"/>
          <w:color w:val="000000" w:themeColor="text1"/>
          <w:sz w:val="24"/>
          <w:szCs w:val="24"/>
        </w:rPr>
        <w:t xml:space="preserve">Ukazuje se, že z Vašeho pohledu se </w:t>
      </w:r>
      <w:r>
        <w:rPr>
          <w:rFonts w:ascii="Arial" w:hAnsi="Arial" w:cs="Arial"/>
          <w:color w:val="000000" w:themeColor="text1"/>
          <w:sz w:val="24"/>
          <w:szCs w:val="24"/>
        </w:rPr>
        <w:t xml:space="preserve">právě tento </w:t>
      </w:r>
      <w:r w:rsidRPr="0076769C">
        <w:rPr>
          <w:rFonts w:ascii="Arial" w:hAnsi="Arial" w:cs="Arial"/>
          <w:color w:val="000000" w:themeColor="text1"/>
          <w:sz w:val="24"/>
          <w:szCs w:val="24"/>
        </w:rPr>
        <w:t>jeví jako problematický</w:t>
      </w:r>
      <w:r>
        <w:rPr>
          <w:rFonts w:ascii="Arial" w:hAnsi="Arial" w:cs="Arial"/>
          <w:color w:val="000000" w:themeColor="text1"/>
          <w:sz w:val="24"/>
          <w:szCs w:val="24"/>
        </w:rPr>
        <w:t xml:space="preserve">. </w:t>
      </w:r>
      <w:r w:rsidRPr="0076769C">
        <w:rPr>
          <w:rFonts w:ascii="Arial" w:hAnsi="Arial" w:cs="Arial"/>
          <w:color w:val="000000" w:themeColor="text1"/>
          <w:sz w:val="24"/>
          <w:szCs w:val="24"/>
        </w:rPr>
        <w:t xml:space="preserve">Původně se tento kompenzační bonus 500 Kč na den vztahoval na období od 12. března do 30. dubna 2020, poté byl v návaznosti na postupné rozvolňování omezujících opatření prodloužen do 8. června. </w:t>
      </w:r>
      <w:r w:rsidRPr="0076769C">
        <w:rPr>
          <w:rFonts w:ascii="Arial" w:hAnsi="Arial" w:cs="Arial"/>
          <w:b/>
          <w:color w:val="000000" w:themeColor="text1"/>
          <w:sz w:val="24"/>
          <w:szCs w:val="24"/>
        </w:rPr>
        <w:t>Od samého počátku byl koncipován jako vratka daně z</w:t>
      </w:r>
      <w:r>
        <w:rPr>
          <w:rFonts w:ascii="Arial" w:hAnsi="Arial" w:cs="Arial"/>
          <w:b/>
          <w:color w:val="000000" w:themeColor="text1"/>
          <w:sz w:val="24"/>
          <w:szCs w:val="24"/>
        </w:rPr>
        <w:t> </w:t>
      </w:r>
      <w:r w:rsidRPr="0076769C">
        <w:rPr>
          <w:rFonts w:ascii="Arial" w:hAnsi="Arial" w:cs="Arial"/>
          <w:b/>
          <w:color w:val="000000" w:themeColor="text1"/>
          <w:sz w:val="24"/>
          <w:szCs w:val="24"/>
        </w:rPr>
        <w:t>příjmů fyzických osob ze závislé činnosti, která patří mezi sdílené daně.</w:t>
      </w:r>
      <w:r w:rsidRPr="0076769C">
        <w:rPr>
          <w:rFonts w:ascii="Arial" w:hAnsi="Arial" w:cs="Arial"/>
          <w:color w:val="000000" w:themeColor="text1"/>
          <w:sz w:val="24"/>
          <w:szCs w:val="24"/>
        </w:rPr>
        <w:t xml:space="preserve"> </w:t>
      </w:r>
      <w:r w:rsidRPr="0076769C">
        <w:rPr>
          <w:rFonts w:ascii="Arial" w:hAnsi="Arial" w:cs="Arial"/>
          <w:color w:val="000000" w:themeColor="text1"/>
          <w:sz w:val="24"/>
          <w:szCs w:val="24"/>
        </w:rPr>
        <w:t>A</w:t>
      </w:r>
      <w:r>
        <w:rPr>
          <w:rFonts w:ascii="Arial" w:hAnsi="Arial" w:cs="Arial"/>
          <w:color w:val="000000" w:themeColor="text1"/>
          <w:sz w:val="24"/>
          <w:szCs w:val="24"/>
        </w:rPr>
        <w:t> </w:t>
      </w:r>
      <w:r w:rsidRPr="0076769C">
        <w:rPr>
          <w:rFonts w:ascii="Arial" w:hAnsi="Arial" w:cs="Arial"/>
          <w:color w:val="000000" w:themeColor="text1"/>
          <w:sz w:val="24"/>
          <w:szCs w:val="24"/>
        </w:rPr>
        <w:t xml:space="preserve">všem zákonodárcům bylo známo, že se na dopadech vyplácení bonusu budou podílet jak státní rozpočet, tak i rozpočty krajů a obcí. </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 xml:space="preserve">Náklady obcí a krajů na vyplácení programu „Pětadvacítka“ odpovídají jejich podílu na výnosu daně z příjmů fyzických osob ze závislé činnosti, tedy 23,58 % v případě obcí a 8,92 % v případě krajů. Z každých vyplacených 100 Kč se tedy na kompenzačním bonusu podílí stát částkou 68 Kč, obce a kraje částkou ve výši cca 32 Kč. </w:t>
      </w:r>
      <w:r w:rsidRPr="0076769C">
        <w:rPr>
          <w:rFonts w:ascii="Arial" w:hAnsi="Arial" w:cs="Arial"/>
          <w:b/>
          <w:color w:val="000000" w:themeColor="text1"/>
          <w:sz w:val="24"/>
          <w:szCs w:val="24"/>
        </w:rPr>
        <w:t>Je to na vlas stejný klíč, podle kterého se obcím a krajům přerozdělují prostředky ze sdílených daní v době růstu inkasa daní.</w:t>
      </w:r>
      <w:r w:rsidRPr="0076769C">
        <w:rPr>
          <w:rFonts w:ascii="Arial" w:hAnsi="Arial" w:cs="Arial"/>
          <w:color w:val="000000" w:themeColor="text1"/>
          <w:sz w:val="24"/>
          <w:szCs w:val="24"/>
        </w:rPr>
        <w:t xml:space="preserve"> Díky tomu, že je tento příspěvek vyplácen jako daňový bonus, na něj podnikatelé dosáhnou rychle a bez zbytečných průtahů. Finanční správa vyřizuje žádosti o jeho vyplacení prakticky obratem a dosud už podnikatelům vyplatila přes 13 mld. Kč. To z </w:t>
      </w:r>
      <w:r w:rsidR="00D20D27">
        <w:rPr>
          <w:rFonts w:ascii="Arial" w:hAnsi="Arial" w:cs="Arial"/>
          <w:color w:val="000000" w:themeColor="text1"/>
          <w:sz w:val="24"/>
          <w:szCs w:val="24"/>
        </w:rPr>
        <w:t>„</w:t>
      </w:r>
      <w:r w:rsidRPr="0076769C">
        <w:rPr>
          <w:rFonts w:ascii="Arial" w:hAnsi="Arial" w:cs="Arial"/>
          <w:color w:val="000000" w:themeColor="text1"/>
          <w:sz w:val="24"/>
          <w:szCs w:val="24"/>
        </w:rPr>
        <w:t>Pětadvacítky</w:t>
      </w:r>
      <w:r w:rsidR="00D20D27">
        <w:rPr>
          <w:rFonts w:ascii="Arial" w:hAnsi="Arial" w:cs="Arial"/>
          <w:color w:val="000000" w:themeColor="text1"/>
          <w:sz w:val="24"/>
          <w:szCs w:val="24"/>
        </w:rPr>
        <w:t>“</w:t>
      </w:r>
      <w:r w:rsidRPr="0076769C">
        <w:rPr>
          <w:rFonts w:ascii="Arial" w:hAnsi="Arial" w:cs="Arial"/>
          <w:color w:val="000000" w:themeColor="text1"/>
          <w:sz w:val="24"/>
          <w:szCs w:val="24"/>
        </w:rPr>
        <w:t xml:space="preserve"> dělá vůbec nejlépe a nejrychleji fungující program přímé podpory pro podnikatele.</w:t>
      </w:r>
    </w:p>
    <w:p w:rsid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 xml:space="preserve">Mnozí živnostníci ale na podporu v rámci programu „Pětadvacítka“ nedosáhnou, protože zvolili pro své podnikání formu s.r.o. Proto i pro ně Ministerstvo financí připravilo přímou finanční podporu. Stejně jako v případě </w:t>
      </w:r>
      <w:r w:rsidR="00D71E3A">
        <w:rPr>
          <w:rFonts w:ascii="Arial" w:hAnsi="Arial" w:cs="Arial"/>
          <w:color w:val="000000" w:themeColor="text1"/>
          <w:sz w:val="24"/>
          <w:szCs w:val="24"/>
        </w:rPr>
        <w:t>„</w:t>
      </w:r>
      <w:r w:rsidRPr="0076769C">
        <w:rPr>
          <w:rFonts w:ascii="Arial" w:hAnsi="Arial" w:cs="Arial"/>
          <w:color w:val="000000" w:themeColor="text1"/>
          <w:sz w:val="24"/>
          <w:szCs w:val="24"/>
        </w:rPr>
        <w:t>Pětadvacítky</w:t>
      </w:r>
      <w:r w:rsidR="00D71E3A">
        <w:rPr>
          <w:rFonts w:ascii="Arial" w:hAnsi="Arial" w:cs="Arial"/>
          <w:color w:val="000000" w:themeColor="text1"/>
          <w:sz w:val="24"/>
          <w:szCs w:val="24"/>
        </w:rPr>
        <w:t>“</w:t>
      </w:r>
      <w:r w:rsidRPr="0076769C">
        <w:rPr>
          <w:rFonts w:ascii="Arial" w:hAnsi="Arial" w:cs="Arial"/>
          <w:color w:val="000000" w:themeColor="text1"/>
          <w:sz w:val="24"/>
          <w:szCs w:val="24"/>
        </w:rPr>
        <w:t xml:space="preserve"> jde o</w:t>
      </w:r>
      <w:r>
        <w:rPr>
          <w:rFonts w:ascii="Arial" w:hAnsi="Arial" w:cs="Arial"/>
          <w:color w:val="000000" w:themeColor="text1"/>
          <w:sz w:val="24"/>
          <w:szCs w:val="24"/>
        </w:rPr>
        <w:t> </w:t>
      </w:r>
      <w:r w:rsidRPr="0076769C">
        <w:rPr>
          <w:rFonts w:ascii="Arial" w:hAnsi="Arial" w:cs="Arial"/>
          <w:color w:val="000000" w:themeColor="text1"/>
          <w:sz w:val="24"/>
          <w:szCs w:val="24"/>
        </w:rPr>
        <w:t>příspěvek 500 Kč na den po dobu od 12. března do 8. června. A i v tomto případě je příspěvek koncipován jako vratka daně z příjmů fyzických osob ze závislé činnosti, na níž se dle již zmíněného klíče podílejí také obce a kraje</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 xml:space="preserve">Proto pro mě bylo velkým překvapením, když právě z tohoto důvodu Senát vrátil návrh kompenzačního bonusu zpět do Poslanecké sněmovny. Jak jsem již uvedla v úvodu dopisu, stejným způsobem byl nastaven program </w:t>
      </w:r>
      <w:r w:rsidR="00D71E3A">
        <w:rPr>
          <w:rFonts w:ascii="Arial" w:hAnsi="Arial" w:cs="Arial"/>
          <w:color w:val="000000" w:themeColor="text1"/>
          <w:sz w:val="24"/>
          <w:szCs w:val="24"/>
        </w:rPr>
        <w:t>„</w:t>
      </w:r>
      <w:r w:rsidRPr="0076769C">
        <w:rPr>
          <w:rFonts w:ascii="Arial" w:hAnsi="Arial" w:cs="Arial"/>
          <w:color w:val="000000" w:themeColor="text1"/>
          <w:sz w:val="24"/>
          <w:szCs w:val="24"/>
        </w:rPr>
        <w:t>Pětadvacítka</w:t>
      </w:r>
      <w:r w:rsidR="00D71E3A">
        <w:rPr>
          <w:rFonts w:ascii="Arial" w:hAnsi="Arial" w:cs="Arial"/>
          <w:color w:val="000000" w:themeColor="text1"/>
          <w:sz w:val="24"/>
          <w:szCs w:val="24"/>
        </w:rPr>
        <w:t>“</w:t>
      </w:r>
      <w:r w:rsidRPr="0076769C">
        <w:rPr>
          <w:rFonts w:ascii="Arial" w:hAnsi="Arial" w:cs="Arial"/>
          <w:color w:val="000000" w:themeColor="text1"/>
          <w:sz w:val="24"/>
          <w:szCs w:val="24"/>
        </w:rPr>
        <w:t xml:space="preserve"> pro OSVČ. Nejde tedy o žádnou novinku. </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Finanční správa byla připravena vyplácet kompenzační bonus pro malé s.r.o. už minulý pátek, místo toho se ale tato pomoc oddálí zhruba o 4 týdny. A to v době, kdy tato skupina podnikatelů je prakticky jednou z posledních, která si dosud na cílenou pomoc od státu nesáhla. Přitom pomoc je důležitá tehdy, když přijde včas.</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 xml:space="preserve">Takové zdržení vůči našim podnikatelům považuji za neobhajitelné. Zejména v této době platí, že stát a samosprávy tvoří jeden celek veřejných financí. </w:t>
      </w:r>
    </w:p>
    <w:p w:rsidR="0076769C" w:rsidRPr="0076769C" w:rsidP="0076769C">
      <w:pPr>
        <w:spacing w:after="120" w:line="300" w:lineRule="auto"/>
        <w:jc w:val="both"/>
        <w:rPr>
          <w:rFonts w:ascii="Arial" w:hAnsi="Arial" w:cs="Arial"/>
          <w:b/>
          <w:color w:val="000000" w:themeColor="text1"/>
          <w:sz w:val="24"/>
          <w:szCs w:val="24"/>
        </w:rPr>
      </w:pPr>
      <w:r w:rsidRPr="0076769C">
        <w:rPr>
          <w:rFonts w:ascii="Arial" w:hAnsi="Arial" w:cs="Arial"/>
          <w:color w:val="000000" w:themeColor="text1"/>
          <w:sz w:val="24"/>
          <w:szCs w:val="24"/>
        </w:rPr>
        <w:t xml:space="preserve">Dovolte mi také vyjádřit názor, že odmítat kompenzační bonus pro malé s.r.o. jen kvůli dopadům na příjmy samospráv z daně z příjmů fyzických osob ze závislé činnosti je krátkozraká politika. Bonus má totiž nejen zamezit ekonomickým ztrátám v důsledku pandemie, ale i podpořit ekonomickou aktivitu a spotřebu. Z toho přitom budou těžit právě obecní a krajské rozpočty. </w:t>
      </w:r>
      <w:r w:rsidRPr="0076769C">
        <w:rPr>
          <w:rFonts w:ascii="Arial" w:hAnsi="Arial" w:cs="Arial"/>
          <w:b/>
          <w:color w:val="000000" w:themeColor="text1"/>
          <w:sz w:val="24"/>
          <w:szCs w:val="24"/>
        </w:rPr>
        <w:t>Díky bonusu totiž bude pokles jejich příjmů ze sdílených daní menší, než kdyby k zavedení kompenzačního bonusu nedošlo.</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Kompenzační bonus přitom znamená přínos pro rozpočty samospráv i</w:t>
      </w:r>
      <w:r>
        <w:rPr>
          <w:rFonts w:ascii="Arial" w:hAnsi="Arial" w:cs="Arial"/>
          <w:color w:val="000000" w:themeColor="text1"/>
          <w:sz w:val="24"/>
          <w:szCs w:val="24"/>
        </w:rPr>
        <w:t> </w:t>
      </w:r>
      <w:r w:rsidRPr="0076769C">
        <w:rPr>
          <w:rFonts w:ascii="Arial" w:hAnsi="Arial" w:cs="Arial"/>
          <w:color w:val="000000" w:themeColor="text1"/>
          <w:sz w:val="24"/>
          <w:szCs w:val="24"/>
        </w:rPr>
        <w:t xml:space="preserve">z dlouhodobého hlediska. Podnikatelé díky němu budou moci překlenout současnou složitou situaci, budou v podnikání moci dál pokračovat a dál přispívat do veřejných </w:t>
      </w:r>
      <w:r w:rsidRPr="0076769C">
        <w:rPr>
          <w:rFonts w:ascii="Arial" w:hAnsi="Arial" w:cs="Arial"/>
          <w:color w:val="000000" w:themeColor="text1"/>
          <w:sz w:val="24"/>
          <w:szCs w:val="24"/>
        </w:rPr>
        <w:t xml:space="preserve">rozpočtů. Podnikatelé, kterým bude přímá finanční podpora přiznána, začnou finanční prostředky utrácet. Na jedné straně tedy sice dočasně poklesnou příjmy samospráv z daní z příjmů fyzických osob ze závislé činnosti, ale tento výpadek se jim zároveň bude ihned kompenzovat v podobě vyšších příjmů na dani z přidané hodnoty, která také patří mezi sdílené daně a je tedy i příjmem rozpočtů obcí a krajů, případně na dani z příjmů právnických osob. </w:t>
      </w:r>
    </w:p>
    <w:p w:rsidR="0076769C" w:rsidRPr="0076769C" w:rsidP="0076769C">
      <w:pPr>
        <w:spacing w:after="120" w:line="300" w:lineRule="auto"/>
        <w:jc w:val="both"/>
        <w:rPr>
          <w:rFonts w:ascii="Arial" w:hAnsi="Arial" w:cs="Arial"/>
          <w:b/>
          <w:color w:val="000000" w:themeColor="text1"/>
          <w:sz w:val="24"/>
          <w:szCs w:val="24"/>
        </w:rPr>
      </w:pPr>
      <w:r w:rsidRPr="0076769C">
        <w:rPr>
          <w:rFonts w:ascii="Arial" w:hAnsi="Arial" w:cs="Arial"/>
          <w:color w:val="000000" w:themeColor="text1"/>
          <w:sz w:val="24"/>
          <w:szCs w:val="24"/>
        </w:rPr>
        <w:t xml:space="preserve">Díky kompenzačním bonusům (39,5 mld. Kč) a zrušení daně z nabytí nemovitých věcí (příjem pouze státního rozpočtu ve výši 10,6 mld. Kč) zůstane ekonomickým subjektům o 50,1 mld. Kč více. To při konzervativním multiplikátoru spotřeby představuje vyšší inkaso DPH o 11,5 mld. Kč, tedy </w:t>
      </w:r>
      <w:r w:rsidRPr="0076769C">
        <w:rPr>
          <w:rFonts w:ascii="Arial" w:hAnsi="Arial" w:cs="Arial"/>
          <w:b/>
          <w:color w:val="000000" w:themeColor="text1"/>
          <w:sz w:val="24"/>
          <w:szCs w:val="24"/>
        </w:rPr>
        <w:t>dodatečný přínos pro obce ve výši 2,9 mld. Kč, pro kraje pak 1 mld. Kč.</w:t>
      </w:r>
      <w:r w:rsidRPr="0076769C">
        <w:rPr>
          <w:rFonts w:ascii="Arial" w:hAnsi="Arial" w:cs="Arial"/>
          <w:color w:val="000000" w:themeColor="text1"/>
          <w:sz w:val="24"/>
          <w:szCs w:val="24"/>
        </w:rPr>
        <w:t xml:space="preserve"> Také o tyto částky je tedy možné kalkulované dopady na místní rozpočty snížit. Dopad kompenzačních bonusů na </w:t>
      </w:r>
      <w:r w:rsidRPr="0076769C">
        <w:rPr>
          <w:rFonts w:ascii="Arial" w:hAnsi="Arial" w:cs="Arial"/>
          <w:b/>
          <w:color w:val="000000" w:themeColor="text1"/>
          <w:sz w:val="24"/>
          <w:szCs w:val="24"/>
        </w:rPr>
        <w:t>obce je tak - 6,4 mld.</w:t>
      </w:r>
      <w:r w:rsidRPr="0076769C">
        <w:rPr>
          <w:rFonts w:ascii="Arial" w:hAnsi="Arial" w:cs="Arial"/>
          <w:color w:val="000000" w:themeColor="text1"/>
          <w:sz w:val="24"/>
          <w:szCs w:val="24"/>
        </w:rPr>
        <w:t xml:space="preserve"> Kč, na </w:t>
      </w:r>
      <w:r w:rsidRPr="0076769C">
        <w:rPr>
          <w:rFonts w:ascii="Arial" w:hAnsi="Arial" w:cs="Arial"/>
          <w:b/>
          <w:color w:val="000000" w:themeColor="text1"/>
          <w:sz w:val="24"/>
          <w:szCs w:val="24"/>
        </w:rPr>
        <w:t>kraje - 2,3 ml</w:t>
      </w:r>
      <w:r w:rsidR="00D20D27">
        <w:rPr>
          <w:rFonts w:ascii="Arial" w:hAnsi="Arial" w:cs="Arial"/>
          <w:b/>
          <w:color w:val="000000" w:themeColor="text1"/>
          <w:sz w:val="24"/>
          <w:szCs w:val="24"/>
        </w:rPr>
        <w:t>d</w:t>
      </w:r>
      <w:r w:rsidRPr="0076769C">
        <w:rPr>
          <w:rFonts w:ascii="Arial" w:hAnsi="Arial" w:cs="Arial"/>
          <w:b/>
          <w:color w:val="000000" w:themeColor="text1"/>
          <w:sz w:val="24"/>
          <w:szCs w:val="24"/>
        </w:rPr>
        <w:t xml:space="preserve">. Kč. </w:t>
      </w:r>
    </w:p>
    <w:p w:rsidR="00D20D27" w:rsidRPr="0076769C" w:rsidP="00D20D27">
      <w:pPr>
        <w:spacing w:after="120" w:line="300" w:lineRule="auto"/>
        <w:jc w:val="both"/>
        <w:rPr>
          <w:rFonts w:ascii="Arial" w:hAnsi="Arial" w:cs="Arial"/>
          <w:b/>
          <w:color w:val="000000" w:themeColor="text1"/>
          <w:sz w:val="24"/>
          <w:szCs w:val="24"/>
        </w:rPr>
      </w:pPr>
      <w:r w:rsidRPr="0076769C">
        <w:rPr>
          <w:rFonts w:ascii="Arial" w:hAnsi="Arial" w:cs="Arial"/>
          <w:b/>
          <w:color w:val="000000" w:themeColor="text1"/>
          <w:sz w:val="24"/>
          <w:szCs w:val="24"/>
        </w:rPr>
        <w:t xml:space="preserve">Skutečné fiskální dopady kompenzačního bonusu, zpřesněné na základě výsledků čerpání první vlny, jsou následující: </w:t>
      </w:r>
    </w:p>
    <w:tbl>
      <w:tblPr>
        <w:tblW w:w="7974" w:type="dxa"/>
        <w:tblInd w:w="-8" w:type="dxa"/>
        <w:tblCellMar>
          <w:left w:w="0" w:type="dxa"/>
          <w:right w:w="0" w:type="dxa"/>
        </w:tblCellMar>
        <w:tblLook w:val="04A0"/>
      </w:tblPr>
      <w:tblGrid>
        <w:gridCol w:w="3560"/>
        <w:gridCol w:w="960"/>
        <w:gridCol w:w="960"/>
        <w:gridCol w:w="1920"/>
        <w:gridCol w:w="574"/>
      </w:tblGrid>
      <w:tr w:rsidTr="00D20D27">
        <w:tblPrEx>
          <w:tblW w:w="7974" w:type="dxa"/>
          <w:tblInd w:w="-8" w:type="dxa"/>
          <w:tblCellMar>
            <w:left w:w="0" w:type="dxa"/>
            <w:right w:w="0" w:type="dxa"/>
          </w:tblCellMar>
          <w:tblLook w:val="04A0"/>
        </w:tblPrEx>
        <w:trPr>
          <w:trHeight w:val="509"/>
        </w:trPr>
        <w:tc>
          <w:tcPr>
            <w:tcW w:w="356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rPr>
                <w:rFonts w:ascii="Arial" w:hAnsi="Arial" w:cs="Arial"/>
                <w:i/>
                <w:color w:val="000000" w:themeColor="text1"/>
              </w:rPr>
            </w:pPr>
            <w:r w:rsidRPr="0076769C">
              <w:rPr>
                <w:rFonts w:ascii="Arial" w:hAnsi="Arial" w:cs="Arial"/>
                <w:i/>
                <w:color w:val="000000" w:themeColor="text1"/>
              </w:rPr>
              <w:t> </w:t>
            </w:r>
          </w:p>
        </w:tc>
        <w:tc>
          <w:tcPr>
            <w:tcW w:w="960" w:type="dxa"/>
            <w:vMerge w:val="restar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center"/>
              <w:rPr>
                <w:rFonts w:ascii="Arial" w:hAnsi="Arial" w:cs="Arial"/>
                <w:i/>
                <w:color w:val="000000" w:themeColor="text1"/>
              </w:rPr>
            </w:pPr>
            <w:r w:rsidRPr="0076769C">
              <w:rPr>
                <w:rFonts w:ascii="Arial" w:hAnsi="Arial" w:cs="Arial"/>
                <w:i/>
                <w:color w:val="000000" w:themeColor="text1"/>
              </w:rPr>
              <w:t>celkem</w:t>
            </w:r>
          </w:p>
        </w:tc>
        <w:tc>
          <w:tcPr>
            <w:tcW w:w="960" w:type="dxa"/>
            <w:vMerge w:val="restar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center"/>
              <w:rPr>
                <w:rFonts w:ascii="Arial" w:hAnsi="Arial" w:cs="Arial"/>
                <w:i/>
                <w:color w:val="000000" w:themeColor="text1"/>
              </w:rPr>
            </w:pPr>
            <w:r w:rsidRPr="0076769C">
              <w:rPr>
                <w:rFonts w:ascii="Arial" w:hAnsi="Arial" w:cs="Arial"/>
                <w:i/>
                <w:color w:val="000000" w:themeColor="text1"/>
              </w:rPr>
              <w:t>SR</w:t>
            </w:r>
          </w:p>
        </w:tc>
        <w:tc>
          <w:tcPr>
            <w:tcW w:w="2494" w:type="dxa"/>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D20D27" w:rsidRPr="0076769C" w:rsidP="00D20D27">
            <w:pPr>
              <w:spacing w:after="120" w:line="300" w:lineRule="auto"/>
              <w:jc w:val="center"/>
              <w:rPr>
                <w:rFonts w:ascii="Arial" w:hAnsi="Arial" w:cs="Arial"/>
                <w:i/>
                <w:color w:val="000000" w:themeColor="text1"/>
              </w:rPr>
            </w:pPr>
            <w:r w:rsidRPr="0076769C">
              <w:rPr>
                <w:rFonts w:ascii="Arial" w:hAnsi="Arial" w:cs="Arial"/>
                <w:i/>
                <w:color w:val="000000" w:themeColor="text1"/>
              </w:rPr>
              <w:t>MR</w:t>
            </w:r>
          </w:p>
        </w:tc>
      </w:tr>
      <w:tr w:rsidTr="00D20D27">
        <w:tblPrEx>
          <w:tblW w:w="7974" w:type="dxa"/>
          <w:tblInd w:w="-8" w:type="dxa"/>
          <w:tblCellMar>
            <w:left w:w="0" w:type="dxa"/>
            <w:right w:w="0" w:type="dxa"/>
          </w:tblCellMar>
          <w:tblLook w:val="04A0"/>
        </w:tblPrEx>
        <w:trPr>
          <w:trHeight w:val="509"/>
        </w:trPr>
        <w:tc>
          <w:tcPr>
            <w:tcW w:w="3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rPr>
                <w:rFonts w:ascii="Arial" w:hAnsi="Arial" w:cs="Arial"/>
                <w:i/>
                <w:color w:val="000000" w:themeColor="text1"/>
              </w:rPr>
            </w:pPr>
            <w:r w:rsidRPr="0076769C">
              <w:rPr>
                <w:rFonts w:ascii="Arial" w:hAnsi="Arial" w:cs="Arial"/>
                <w:i/>
                <w:color w:val="000000" w:themeColor="text1"/>
              </w:rPr>
              <w:t> </w:t>
            </w:r>
          </w:p>
        </w:tc>
        <w:tc>
          <w:tcPr>
            <w:tcW w:w="0" w:type="auto"/>
            <w:vMerge/>
            <w:tcBorders>
              <w:top w:val="single" w:sz="8" w:space="0" w:color="auto"/>
              <w:left w:val="nil"/>
              <w:bottom w:val="nil"/>
              <w:right w:val="single" w:sz="8" w:space="0" w:color="auto"/>
            </w:tcBorders>
            <w:vAlign w:val="center"/>
            <w:hideMark/>
          </w:tcPr>
          <w:p w:rsidR="00D20D27" w:rsidRPr="0076769C" w:rsidP="00D20D27">
            <w:pPr>
              <w:spacing w:after="120" w:line="300" w:lineRule="auto"/>
              <w:rPr>
                <w:rFonts w:ascii="Arial" w:hAnsi="Arial" w:cs="Arial"/>
                <w:i/>
                <w:color w:val="000000" w:themeColor="text1"/>
              </w:rPr>
            </w:pPr>
          </w:p>
        </w:tc>
        <w:tc>
          <w:tcPr>
            <w:tcW w:w="0" w:type="auto"/>
            <w:vMerge/>
            <w:tcBorders>
              <w:top w:val="single" w:sz="8" w:space="0" w:color="auto"/>
              <w:left w:val="nil"/>
              <w:bottom w:val="nil"/>
              <w:right w:val="single" w:sz="8" w:space="0" w:color="auto"/>
            </w:tcBorders>
            <w:vAlign w:val="center"/>
            <w:hideMark/>
          </w:tcPr>
          <w:p w:rsidR="00D20D27" w:rsidRPr="0076769C" w:rsidP="00D20D27">
            <w:pPr>
              <w:spacing w:after="120" w:line="300" w:lineRule="auto"/>
              <w:rPr>
                <w:rFonts w:ascii="Arial" w:hAnsi="Arial" w:cs="Arial"/>
                <w:i/>
                <w:color w:val="000000" w:themeColor="text1"/>
              </w:rPr>
            </w:pPr>
          </w:p>
        </w:tc>
        <w:tc>
          <w:tcPr>
            <w:tcW w:w="1920" w:type="dxa"/>
            <w:noWrap/>
            <w:tcMar>
              <w:top w:w="0" w:type="dxa"/>
              <w:left w:w="70" w:type="dxa"/>
              <w:bottom w:w="0" w:type="dxa"/>
              <w:right w:w="70" w:type="dxa"/>
            </w:tcMar>
            <w:vAlign w:val="center"/>
            <w:hideMark/>
          </w:tcPr>
          <w:p w:rsidR="00D20D27" w:rsidRPr="0076769C" w:rsidP="00D20D27">
            <w:pPr>
              <w:spacing w:after="120" w:line="300" w:lineRule="auto"/>
              <w:jc w:val="center"/>
              <w:rPr>
                <w:rFonts w:ascii="Arial" w:hAnsi="Arial" w:cs="Arial"/>
                <w:i/>
                <w:color w:val="000000" w:themeColor="text1"/>
              </w:rPr>
            </w:pPr>
            <w:r w:rsidRPr="0076769C">
              <w:rPr>
                <w:rFonts w:ascii="Arial" w:hAnsi="Arial" w:cs="Arial"/>
                <w:i/>
                <w:color w:val="000000" w:themeColor="text1"/>
              </w:rPr>
              <w:t>Obce</w:t>
            </w:r>
          </w:p>
        </w:tc>
        <w:tc>
          <w:tcPr>
            <w:tcW w:w="574" w:type="dxa"/>
            <w:tcBorders>
              <w:top w:val="nil"/>
              <w:left w:val="nil"/>
              <w:bottom w:val="nil"/>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center"/>
              <w:rPr>
                <w:rFonts w:ascii="Arial" w:hAnsi="Arial" w:cs="Arial"/>
                <w:i/>
                <w:color w:val="000000" w:themeColor="text1"/>
              </w:rPr>
            </w:pPr>
            <w:r w:rsidRPr="0076769C">
              <w:rPr>
                <w:rFonts w:ascii="Arial" w:hAnsi="Arial" w:cs="Arial"/>
                <w:i/>
                <w:color w:val="000000" w:themeColor="text1"/>
              </w:rPr>
              <w:t>kraje</w:t>
            </w:r>
          </w:p>
        </w:tc>
      </w:tr>
      <w:tr w:rsidTr="00D20D27">
        <w:tblPrEx>
          <w:tblW w:w="7974" w:type="dxa"/>
          <w:tblInd w:w="-8" w:type="dxa"/>
          <w:tblCellMar>
            <w:left w:w="0" w:type="dxa"/>
            <w:right w:w="0" w:type="dxa"/>
          </w:tblCellMar>
          <w:tblLook w:val="04A0"/>
        </w:tblPrEx>
        <w:trPr>
          <w:trHeight w:val="509"/>
        </w:trPr>
        <w:tc>
          <w:tcPr>
            <w:tcW w:w="3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rPr>
                <w:rFonts w:ascii="Arial" w:hAnsi="Arial" w:cs="Arial"/>
                <w:i/>
                <w:color w:val="000000" w:themeColor="text1"/>
              </w:rPr>
            </w:pPr>
            <w:r w:rsidRPr="0076769C">
              <w:rPr>
                <w:rFonts w:ascii="Arial" w:hAnsi="Arial" w:cs="Arial"/>
                <w:i/>
                <w:color w:val="000000" w:themeColor="text1"/>
              </w:rPr>
              <w:t xml:space="preserve">kompenzační bonus 1. </w:t>
            </w:r>
            <w:r w:rsidRPr="0076769C" w:rsidR="00D71E3A">
              <w:rPr>
                <w:rFonts w:ascii="Arial" w:hAnsi="Arial" w:cs="Arial"/>
                <w:i/>
                <w:color w:val="000000" w:themeColor="text1"/>
              </w:rPr>
              <w:t>O</w:t>
            </w:r>
            <w:r w:rsidRPr="0076769C">
              <w:rPr>
                <w:rFonts w:ascii="Arial" w:hAnsi="Arial" w:cs="Arial"/>
                <w:i/>
                <w:color w:val="000000" w:themeColor="text1"/>
              </w:rPr>
              <w:t>bdobí</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color w:val="000000" w:themeColor="text1"/>
              </w:rPr>
            </w:pPr>
            <w:r w:rsidRPr="0076769C">
              <w:rPr>
                <w:rFonts w:ascii="Arial" w:hAnsi="Arial" w:cs="Arial"/>
                <w:i/>
                <w:color w:val="000000" w:themeColor="text1"/>
              </w:rPr>
              <w:t>-13,8</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color w:val="000000" w:themeColor="text1"/>
              </w:rPr>
            </w:pPr>
            <w:r w:rsidRPr="0076769C">
              <w:rPr>
                <w:rFonts w:ascii="Arial" w:hAnsi="Arial" w:cs="Arial"/>
                <w:i/>
                <w:color w:val="000000" w:themeColor="text1"/>
              </w:rPr>
              <w:t>-9,1</w:t>
            </w:r>
          </w:p>
        </w:tc>
        <w:tc>
          <w:tcPr>
            <w:tcW w:w="19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color w:val="000000" w:themeColor="text1"/>
              </w:rPr>
            </w:pPr>
            <w:r w:rsidRPr="0076769C">
              <w:rPr>
                <w:rFonts w:ascii="Arial" w:hAnsi="Arial" w:cs="Arial"/>
                <w:i/>
                <w:color w:val="000000" w:themeColor="text1"/>
              </w:rPr>
              <w:t>-3,5</w:t>
            </w:r>
          </w:p>
        </w:tc>
        <w:tc>
          <w:tcPr>
            <w:tcW w:w="5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color w:val="000000" w:themeColor="text1"/>
              </w:rPr>
            </w:pPr>
            <w:r w:rsidRPr="0076769C">
              <w:rPr>
                <w:rFonts w:ascii="Arial" w:hAnsi="Arial" w:cs="Arial"/>
                <w:i/>
                <w:color w:val="000000" w:themeColor="text1"/>
              </w:rPr>
              <w:t>-1,2</w:t>
            </w:r>
          </w:p>
        </w:tc>
      </w:tr>
      <w:tr w:rsidTr="00D20D27">
        <w:tblPrEx>
          <w:tblW w:w="7974" w:type="dxa"/>
          <w:tblInd w:w="-8" w:type="dxa"/>
          <w:tblCellMar>
            <w:left w:w="0" w:type="dxa"/>
            <w:right w:w="0" w:type="dxa"/>
          </w:tblCellMar>
          <w:tblLook w:val="04A0"/>
        </w:tblPrEx>
        <w:trPr>
          <w:trHeight w:val="509"/>
        </w:trPr>
        <w:tc>
          <w:tcPr>
            <w:tcW w:w="3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rPr>
                <w:rFonts w:ascii="Arial" w:hAnsi="Arial" w:cs="Arial"/>
                <w:i/>
                <w:color w:val="000000" w:themeColor="text1"/>
              </w:rPr>
            </w:pPr>
            <w:r w:rsidRPr="0076769C">
              <w:rPr>
                <w:rFonts w:ascii="Arial" w:hAnsi="Arial" w:cs="Arial"/>
                <w:i/>
                <w:color w:val="000000" w:themeColor="text1"/>
              </w:rPr>
              <w:t xml:space="preserve">kompenzační bonus 2. </w:t>
            </w:r>
            <w:r w:rsidRPr="0076769C" w:rsidR="00D71E3A">
              <w:rPr>
                <w:rFonts w:ascii="Arial" w:hAnsi="Arial" w:cs="Arial"/>
                <w:i/>
                <w:color w:val="000000" w:themeColor="text1"/>
              </w:rPr>
              <w:t>O</w:t>
            </w:r>
            <w:r w:rsidRPr="0076769C">
              <w:rPr>
                <w:rFonts w:ascii="Arial" w:hAnsi="Arial" w:cs="Arial"/>
                <w:i/>
                <w:color w:val="000000" w:themeColor="text1"/>
              </w:rPr>
              <w:t>bdobí</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color w:val="000000" w:themeColor="text1"/>
              </w:rPr>
            </w:pPr>
            <w:r w:rsidRPr="0076769C">
              <w:rPr>
                <w:rFonts w:ascii="Arial" w:hAnsi="Arial" w:cs="Arial"/>
                <w:i/>
                <w:color w:val="000000" w:themeColor="text1"/>
              </w:rPr>
              <w:t>-10,7</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color w:val="000000" w:themeColor="text1"/>
              </w:rPr>
            </w:pPr>
            <w:r w:rsidRPr="0076769C">
              <w:rPr>
                <w:rFonts w:ascii="Arial" w:hAnsi="Arial" w:cs="Arial"/>
                <w:i/>
                <w:color w:val="000000" w:themeColor="text1"/>
              </w:rPr>
              <w:t>-7</w:t>
            </w:r>
          </w:p>
        </w:tc>
        <w:tc>
          <w:tcPr>
            <w:tcW w:w="19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color w:val="000000" w:themeColor="text1"/>
              </w:rPr>
            </w:pPr>
            <w:r w:rsidRPr="0076769C">
              <w:rPr>
                <w:rFonts w:ascii="Arial" w:hAnsi="Arial" w:cs="Arial"/>
                <w:i/>
                <w:color w:val="000000" w:themeColor="text1"/>
              </w:rPr>
              <w:t>-2,7</w:t>
            </w:r>
          </w:p>
        </w:tc>
        <w:tc>
          <w:tcPr>
            <w:tcW w:w="5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color w:val="000000" w:themeColor="text1"/>
              </w:rPr>
            </w:pPr>
            <w:r w:rsidRPr="0076769C">
              <w:rPr>
                <w:rFonts w:ascii="Arial" w:hAnsi="Arial" w:cs="Arial"/>
                <w:i/>
                <w:color w:val="000000" w:themeColor="text1"/>
              </w:rPr>
              <w:t>-1</w:t>
            </w:r>
          </w:p>
        </w:tc>
      </w:tr>
      <w:tr w:rsidTr="00D20D27">
        <w:tblPrEx>
          <w:tblW w:w="7974" w:type="dxa"/>
          <w:tblInd w:w="-8" w:type="dxa"/>
          <w:tblCellMar>
            <w:left w:w="0" w:type="dxa"/>
            <w:right w:w="0" w:type="dxa"/>
          </w:tblCellMar>
          <w:tblLook w:val="04A0"/>
        </w:tblPrEx>
        <w:trPr>
          <w:trHeight w:val="509"/>
        </w:trPr>
        <w:tc>
          <w:tcPr>
            <w:tcW w:w="3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rPr>
                <w:rFonts w:ascii="Arial" w:hAnsi="Arial" w:cs="Arial"/>
                <w:i/>
                <w:color w:val="000000" w:themeColor="text1"/>
              </w:rPr>
            </w:pPr>
            <w:r w:rsidRPr="0076769C">
              <w:rPr>
                <w:rFonts w:ascii="Arial" w:hAnsi="Arial" w:cs="Arial"/>
                <w:i/>
                <w:color w:val="000000" w:themeColor="text1"/>
              </w:rPr>
              <w:t>kompenzační bonus pro s.r.o.</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iCs/>
                <w:color w:val="000000" w:themeColor="text1"/>
              </w:rPr>
            </w:pPr>
            <w:r w:rsidRPr="0076769C">
              <w:rPr>
                <w:rFonts w:ascii="Arial" w:hAnsi="Arial" w:cs="Arial"/>
                <w:i/>
                <w:iCs/>
                <w:color w:val="000000" w:themeColor="text1"/>
              </w:rPr>
              <w:t>-15</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iCs/>
                <w:color w:val="000000" w:themeColor="text1"/>
              </w:rPr>
            </w:pPr>
            <w:r w:rsidRPr="0076769C">
              <w:rPr>
                <w:rFonts w:ascii="Arial" w:hAnsi="Arial" w:cs="Arial"/>
                <w:i/>
                <w:iCs/>
                <w:color w:val="000000" w:themeColor="text1"/>
              </w:rPr>
              <w:t>-10</w:t>
            </w:r>
          </w:p>
        </w:tc>
        <w:tc>
          <w:tcPr>
            <w:tcW w:w="19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iCs/>
                <w:color w:val="000000" w:themeColor="text1"/>
              </w:rPr>
            </w:pPr>
            <w:r w:rsidRPr="0076769C">
              <w:rPr>
                <w:rFonts w:ascii="Arial" w:hAnsi="Arial" w:cs="Arial"/>
                <w:i/>
                <w:iCs/>
                <w:color w:val="000000" w:themeColor="text1"/>
              </w:rPr>
              <w:t>-3,7</w:t>
            </w:r>
          </w:p>
        </w:tc>
        <w:tc>
          <w:tcPr>
            <w:tcW w:w="5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i/>
                <w:iCs/>
                <w:color w:val="000000" w:themeColor="text1"/>
              </w:rPr>
            </w:pPr>
            <w:r w:rsidRPr="0076769C">
              <w:rPr>
                <w:rFonts w:ascii="Arial" w:hAnsi="Arial" w:cs="Arial"/>
                <w:i/>
                <w:iCs/>
                <w:color w:val="000000" w:themeColor="text1"/>
              </w:rPr>
              <w:t>-1,3</w:t>
            </w:r>
          </w:p>
        </w:tc>
      </w:tr>
      <w:tr w:rsidTr="00D20D27">
        <w:tblPrEx>
          <w:tblW w:w="7974" w:type="dxa"/>
          <w:tblInd w:w="-8" w:type="dxa"/>
          <w:tblCellMar>
            <w:left w:w="0" w:type="dxa"/>
            <w:right w:w="0" w:type="dxa"/>
          </w:tblCellMar>
          <w:tblLook w:val="04A0"/>
        </w:tblPrEx>
        <w:trPr>
          <w:trHeight w:val="330"/>
        </w:trPr>
        <w:tc>
          <w:tcPr>
            <w:tcW w:w="356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rPr>
                <w:rFonts w:ascii="Arial" w:hAnsi="Arial" w:cs="Arial"/>
                <w:bCs/>
                <w:i/>
                <w:color w:val="000000" w:themeColor="text1"/>
              </w:rPr>
            </w:pPr>
            <w:r w:rsidRPr="0076769C">
              <w:rPr>
                <w:rFonts w:ascii="Arial" w:hAnsi="Arial" w:cs="Arial"/>
                <w:bCs/>
                <w:i/>
                <w:color w:val="000000" w:themeColor="text1"/>
              </w:rPr>
              <w:t>Celkem (bez zahrnutí multiplikátoru)</w:t>
            </w:r>
          </w:p>
        </w:tc>
        <w:tc>
          <w:tcPr>
            <w:tcW w:w="960" w:type="dxa"/>
            <w:tcBorders>
              <w:top w:val="nil"/>
              <w:left w:val="nil"/>
              <w:bottom w:val="single" w:sz="4" w:space="0" w:color="auto"/>
              <w:right w:val="nil"/>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bCs/>
                <w:i/>
                <w:color w:val="000000" w:themeColor="text1"/>
              </w:rPr>
            </w:pPr>
            <w:r w:rsidRPr="0076769C">
              <w:rPr>
                <w:rFonts w:ascii="Arial" w:hAnsi="Arial" w:cs="Arial"/>
                <w:bCs/>
                <w:i/>
                <w:color w:val="000000" w:themeColor="text1"/>
              </w:rPr>
              <w:t>-39,5</w:t>
            </w:r>
          </w:p>
        </w:tc>
        <w:tc>
          <w:tcPr>
            <w:tcW w:w="96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bCs/>
                <w:i/>
                <w:color w:val="000000" w:themeColor="text1"/>
              </w:rPr>
            </w:pPr>
            <w:r w:rsidRPr="0076769C">
              <w:rPr>
                <w:rFonts w:ascii="Arial" w:hAnsi="Arial" w:cs="Arial"/>
                <w:bCs/>
                <w:i/>
                <w:color w:val="000000" w:themeColor="text1"/>
              </w:rPr>
              <w:t>-26,1</w:t>
            </w:r>
          </w:p>
        </w:tc>
        <w:tc>
          <w:tcPr>
            <w:tcW w:w="192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bCs/>
                <w:i/>
                <w:color w:val="000000" w:themeColor="text1"/>
              </w:rPr>
            </w:pPr>
            <w:r w:rsidRPr="0076769C">
              <w:rPr>
                <w:rFonts w:ascii="Arial" w:hAnsi="Arial" w:cs="Arial"/>
                <w:bCs/>
                <w:i/>
                <w:color w:val="000000" w:themeColor="text1"/>
              </w:rPr>
              <w:t>-9,9</w:t>
            </w:r>
          </w:p>
        </w:tc>
        <w:tc>
          <w:tcPr>
            <w:tcW w:w="574"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D20D27" w:rsidRPr="0076769C" w:rsidP="00D20D27">
            <w:pPr>
              <w:spacing w:after="120" w:line="300" w:lineRule="auto"/>
              <w:jc w:val="right"/>
              <w:rPr>
                <w:rFonts w:ascii="Arial" w:hAnsi="Arial" w:cs="Arial"/>
                <w:bCs/>
                <w:i/>
                <w:color w:val="000000" w:themeColor="text1"/>
              </w:rPr>
            </w:pPr>
            <w:r w:rsidRPr="0076769C">
              <w:rPr>
                <w:rFonts w:ascii="Arial" w:hAnsi="Arial" w:cs="Arial"/>
                <w:bCs/>
                <w:i/>
                <w:color w:val="000000" w:themeColor="text1"/>
              </w:rPr>
              <w:t>-3,5</w:t>
            </w:r>
          </w:p>
        </w:tc>
      </w:tr>
      <w:tr w:rsidTr="00D20D27">
        <w:tblPrEx>
          <w:tblW w:w="7974" w:type="dxa"/>
          <w:tblInd w:w="-8" w:type="dxa"/>
          <w:tblCellMar>
            <w:left w:w="0" w:type="dxa"/>
            <w:right w:w="0" w:type="dxa"/>
          </w:tblCellMar>
          <w:tblLook w:val="04A0"/>
        </w:tblPrEx>
        <w:trPr>
          <w:trHeight w:val="330"/>
        </w:trPr>
        <w:tc>
          <w:tcPr>
            <w:tcW w:w="3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D20D27" w:rsidRPr="0076769C" w:rsidP="00D20D27">
            <w:pPr>
              <w:spacing w:after="120" w:line="300" w:lineRule="auto"/>
              <w:rPr>
                <w:rFonts w:ascii="Arial" w:hAnsi="Arial" w:cs="Arial"/>
                <w:b/>
                <w:bCs/>
                <w:i/>
                <w:color w:val="000000" w:themeColor="text1"/>
              </w:rPr>
            </w:pPr>
            <w:r w:rsidRPr="0076769C">
              <w:rPr>
                <w:rFonts w:ascii="Arial" w:hAnsi="Arial" w:cs="Arial"/>
                <w:b/>
                <w:bCs/>
                <w:i/>
                <w:color w:val="000000" w:themeColor="text1"/>
              </w:rPr>
              <w:t>Celkem (po zahrnutí multiplikátoru)</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D20D27" w:rsidRPr="0076769C" w:rsidP="00D20D27">
            <w:pPr>
              <w:spacing w:after="120" w:line="300" w:lineRule="auto"/>
              <w:jc w:val="right"/>
              <w:rPr>
                <w:rFonts w:ascii="Arial" w:hAnsi="Arial" w:cs="Arial"/>
                <w:b/>
                <w:bCs/>
                <w:i/>
                <w:color w:val="000000" w:themeColor="text1"/>
              </w:rPr>
            </w:pP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D20D27" w:rsidRPr="0076769C" w:rsidP="00D20D27">
            <w:pPr>
              <w:spacing w:after="120" w:line="300" w:lineRule="auto"/>
              <w:jc w:val="right"/>
              <w:rPr>
                <w:rFonts w:ascii="Arial" w:hAnsi="Arial" w:cs="Arial"/>
                <w:b/>
                <w:bCs/>
                <w:i/>
                <w:color w:val="000000" w:themeColor="text1"/>
              </w:rPr>
            </w:pPr>
          </w:p>
        </w:tc>
        <w:tc>
          <w:tcPr>
            <w:tcW w:w="192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D20D27" w:rsidRPr="0076769C" w:rsidP="00D20D27">
            <w:pPr>
              <w:spacing w:after="120" w:line="300" w:lineRule="auto"/>
              <w:jc w:val="right"/>
              <w:rPr>
                <w:rFonts w:ascii="Arial" w:hAnsi="Arial" w:cs="Arial"/>
                <w:b/>
                <w:bCs/>
                <w:i/>
                <w:color w:val="000000" w:themeColor="text1"/>
              </w:rPr>
            </w:pPr>
            <w:r w:rsidRPr="0076769C">
              <w:rPr>
                <w:rFonts w:ascii="Arial" w:hAnsi="Arial" w:cs="Arial"/>
                <w:b/>
                <w:bCs/>
                <w:i/>
                <w:color w:val="000000" w:themeColor="text1"/>
              </w:rPr>
              <w:t>-6,4</w:t>
            </w:r>
          </w:p>
        </w:tc>
        <w:tc>
          <w:tcPr>
            <w:tcW w:w="57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D20D27" w:rsidRPr="0076769C" w:rsidP="00D20D27">
            <w:pPr>
              <w:spacing w:after="120" w:line="300" w:lineRule="auto"/>
              <w:jc w:val="right"/>
              <w:rPr>
                <w:rFonts w:ascii="Arial" w:hAnsi="Arial" w:cs="Arial"/>
                <w:b/>
                <w:bCs/>
                <w:i/>
                <w:color w:val="000000" w:themeColor="text1"/>
              </w:rPr>
            </w:pPr>
            <w:r w:rsidRPr="0076769C">
              <w:rPr>
                <w:rFonts w:ascii="Arial" w:hAnsi="Arial" w:cs="Arial"/>
                <w:b/>
                <w:bCs/>
                <w:i/>
                <w:color w:val="000000" w:themeColor="text1"/>
              </w:rPr>
              <w:t>-2,3</w:t>
            </w:r>
          </w:p>
        </w:tc>
      </w:tr>
    </w:tbl>
    <w:p w:rsidR="00D20D27" w:rsidP="0076769C">
      <w:pPr>
        <w:spacing w:after="120" w:line="300" w:lineRule="auto"/>
        <w:jc w:val="both"/>
        <w:rPr>
          <w:rFonts w:ascii="Arial" w:hAnsi="Arial" w:cs="Arial"/>
          <w:color w:val="000000" w:themeColor="text1"/>
          <w:sz w:val="24"/>
          <w:szCs w:val="24"/>
        </w:rPr>
      </w:pP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Je potřeba jasně říci, že odhad poklesu příjmů obcí ze sdílených daní, který v těchto dnech prezentuje Sdružení místních samospráv, je příliš pesimistický a není podložen žádnými solidními makroekonomickými daty</w:t>
      </w:r>
      <w:r w:rsidRPr="0076769C">
        <w:rPr>
          <w:rFonts w:ascii="Arial" w:hAnsi="Arial" w:cs="Arial"/>
          <w:b/>
          <w:color w:val="000000" w:themeColor="text1"/>
          <w:sz w:val="24"/>
          <w:szCs w:val="24"/>
        </w:rPr>
        <w:t>.</w:t>
      </w:r>
      <w:r w:rsidRPr="0076769C">
        <w:rPr>
          <w:rFonts w:ascii="Arial" w:hAnsi="Arial" w:cs="Arial"/>
          <w:color w:val="000000" w:themeColor="text1"/>
          <w:sz w:val="24"/>
          <w:szCs w:val="24"/>
        </w:rPr>
        <w:t xml:space="preserve"> </w:t>
      </w:r>
      <w:r w:rsidRPr="0076769C">
        <w:rPr>
          <w:rFonts w:ascii="Arial" w:hAnsi="Arial" w:cs="Arial"/>
          <w:b/>
          <w:color w:val="000000" w:themeColor="text1"/>
          <w:sz w:val="24"/>
          <w:szCs w:val="24"/>
        </w:rPr>
        <w:t>Aktuální daňová predikce Ministerstva financí k 7. květnu 2020, počítá s meziročním poklesem daňových příjmů obcí mnohem nižším, a to cca o 11 %, u krajů cca o 12,6 %. Tato predikce přitom zohledňuje i dopady obou kompenzačních bonusů.</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Obavy o investiční projekty obcí tak nejsou vůbec na místě. I letos budou mít územní samosprávy na své investice dostatek prostředků. A i když jsme připravili Liberační balíčky s celou řadou daňových úlev, u daně z nemovitých věcí, která tvoří ze 100 % příjem územních samospráv, nedošlo k žádné její změně a právě s ohledem na rozpočty samospráv nedošlo ani k jejímu odložení.</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Hospodaření územních samospráv je přitom po letech bezprecedentního růstu daňových příjmů ve výborné kondici. Jak víte, za posledních 5 let vzrostly daňové příjmy obcí o 75 mld. Kč, což je nárůst o 44 %. Krajům pak daňové příjmy vzrostly za stejné období 25,7 mld. Kč, tedy o 52 %. K tomuto nárůstu přitom došlo i díky tomu, že mezi lety 2016-18 bylo celkově třikrát změněno rozpočtové určení daní ve prospěch obcí a krajů, tedy na úkor státního rozpočtu.</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 xml:space="preserve">Od roku 2012 obce hospodaří s přebytkem v průměrné výši 18,7 mld. Kč, přičemž v loňském roce dosáhly přebytku 25,5 mld. Kč. Na svých bankovních účtech měly ke konci roku 2019 zůstatky ve výši až 215 mld. Kč, které se během letošního prvního čtvrtletí ještě zvýšily na 221,6 mld. Kč. V této souvislosti je nicméně nutné zdůraznit, že polovinu tohoto zůstatku drží 30 největších měst ČR, a zejména na nich bude záležet, zda tyto prostředky využijí rychle a efektivně na realizaci investičních projektů. </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U krajů je situace podobná. Ty v roce 2016 vykázaly rekordní přebytek ve výši 12,7 mld. Kč, přičemž na konci roku 2019 hospodařily s přebytkem 5,8 mld. Kč. I krajům přitom rostly zůstatky na účtech. V roce 2019 činily 36 mld. Kč a během prvního čtvrtletí se zvýšily na 40,2 mld. Kč.</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Územní samosprávy tak mohou bez obav realizovat rozvojové záměry předpokládané pro letošní rok. Je přitom důležité, aby do jejich financování zapojily své rezervy, které získaly nejenom díky rostoucím daňovým příjmům v minulých letech a i navyšováním jejich podílu na sdílených daních. Investice jsou motorem ekonomiky, proto se na nich musejí podílet také samosprávy.</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 xml:space="preserve">Mohu Vás ujistit, že </w:t>
      </w:r>
      <w:r w:rsidRPr="0076769C">
        <w:rPr>
          <w:rFonts w:ascii="Arial" w:hAnsi="Arial" w:cs="Arial"/>
          <w:b/>
          <w:color w:val="000000" w:themeColor="text1"/>
          <w:sz w:val="24"/>
          <w:szCs w:val="24"/>
        </w:rPr>
        <w:t>jsme připraveni za tímto účelem podpořit rozpočty krajů, měst a obcí masivními dotacemi.</w:t>
      </w:r>
      <w:r w:rsidRPr="0076769C">
        <w:rPr>
          <w:rFonts w:ascii="Arial" w:hAnsi="Arial" w:cs="Arial"/>
          <w:color w:val="000000" w:themeColor="text1"/>
          <w:sz w:val="24"/>
          <w:szCs w:val="24"/>
        </w:rPr>
        <w:t xml:space="preserve"> Jako ministryně financí jsem si vědoma, že nezadusit teď ekonomiku je zcela klíčové a proinvestiční přístup se nám všem nakonec vrátí.</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Proto byl už 22. dubna Svaz měst a obcí ČR vyzván, aby ověřil stav projektů obcí ze zásobníku projektů národních dotačních programů i Integrovaného operačního programu z fondů EU v gesci Ministerstva pro místní rozvoj. Celková hodnota projektů na investice do rozvoje obcí, na které už nezbyly finanční prostředky, dosahuje cca 10 mld. Kč. Jde přitom o projekty pod stavebním povolením, které je možné realizovat okamžitě. I s ohledem na současnou situaci jsme připraveni na ně potřebné prostředky nalézt.</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 xml:space="preserve">Zaznamenala jsem, že jako řešení </w:t>
      </w:r>
      <w:r w:rsidR="00976F27">
        <w:rPr>
          <w:rFonts w:ascii="Arial" w:hAnsi="Arial" w:cs="Arial"/>
          <w:color w:val="000000" w:themeColor="text1"/>
          <w:sz w:val="24"/>
          <w:szCs w:val="24"/>
        </w:rPr>
        <w:t xml:space="preserve">je navrhována </w:t>
      </w:r>
      <w:r w:rsidRPr="0076769C">
        <w:rPr>
          <w:rFonts w:ascii="Arial" w:hAnsi="Arial" w:cs="Arial"/>
          <w:color w:val="000000" w:themeColor="text1"/>
          <w:sz w:val="24"/>
          <w:szCs w:val="24"/>
        </w:rPr>
        <w:t>změn</w:t>
      </w:r>
      <w:r w:rsidR="00976F27">
        <w:rPr>
          <w:rFonts w:ascii="Arial" w:hAnsi="Arial" w:cs="Arial"/>
          <w:color w:val="000000" w:themeColor="text1"/>
          <w:sz w:val="24"/>
          <w:szCs w:val="24"/>
        </w:rPr>
        <w:t xml:space="preserve">a </w:t>
      </w:r>
      <w:r w:rsidRPr="0076769C">
        <w:rPr>
          <w:rFonts w:ascii="Arial" w:hAnsi="Arial" w:cs="Arial"/>
          <w:color w:val="000000" w:themeColor="text1"/>
          <w:sz w:val="24"/>
          <w:szCs w:val="24"/>
        </w:rPr>
        <w:t>rozpočtového určení z</w:t>
      </w:r>
      <w:r w:rsidR="00976F27">
        <w:rPr>
          <w:rFonts w:ascii="Arial" w:hAnsi="Arial" w:cs="Arial"/>
          <w:color w:val="000000" w:themeColor="text1"/>
          <w:sz w:val="24"/>
          <w:szCs w:val="24"/>
        </w:rPr>
        <w:t> </w:t>
      </w:r>
      <w:r w:rsidRPr="0076769C">
        <w:rPr>
          <w:rFonts w:ascii="Arial" w:hAnsi="Arial" w:cs="Arial"/>
          <w:color w:val="000000" w:themeColor="text1"/>
          <w:sz w:val="24"/>
          <w:szCs w:val="24"/>
        </w:rPr>
        <w:t xml:space="preserve">vratky daně na retroaktivně nastavený příspěvek ze státního rozpočtu. Před takovým řešením důrazně varuji. Reálně by došlo k zastavení vyplácení kompenzačního bonusu do doby zajištění jeho rozpočtového krytí novelou zákona </w:t>
      </w:r>
      <w:r w:rsidRPr="0076769C">
        <w:rPr>
          <w:rFonts w:ascii="Arial" w:hAnsi="Arial" w:cs="Arial"/>
          <w:color w:val="000000" w:themeColor="text1"/>
          <w:sz w:val="24"/>
          <w:szCs w:val="24"/>
        </w:rPr>
        <w:t>o</w:t>
      </w:r>
      <w:r w:rsidR="009D50F2">
        <w:rPr>
          <w:rFonts w:ascii="Arial" w:hAnsi="Arial" w:cs="Arial"/>
          <w:color w:val="000000" w:themeColor="text1"/>
          <w:sz w:val="24"/>
          <w:szCs w:val="24"/>
        </w:rPr>
        <w:t> </w:t>
      </w:r>
      <w:r w:rsidRPr="0076769C">
        <w:rPr>
          <w:rFonts w:ascii="Arial" w:hAnsi="Arial" w:cs="Arial"/>
          <w:color w:val="000000" w:themeColor="text1"/>
          <w:sz w:val="24"/>
          <w:szCs w:val="24"/>
        </w:rPr>
        <w:t xml:space="preserve">státním rozpočtu, zpochybnění toho, co již bylo vyplaceno a vzniku enormní právní nejistoty ohledně procesu přiznání kompenzačního bonusu. </w:t>
      </w:r>
    </w:p>
    <w:p w:rsidR="0076769C" w:rsidRP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 xml:space="preserve">Věřím, že nalezneme v této složité době dostatek solidarity a nebudeme komunikovat prostřednictvím dalších výzev a otevřených dopisů, nebudeme mezi obcemi vyvolávat zbytečnou paniku </w:t>
      </w:r>
      <w:r w:rsidR="00E46EEB">
        <w:rPr>
          <w:rFonts w:ascii="Arial" w:hAnsi="Arial" w:cs="Arial"/>
          <w:color w:val="000000" w:themeColor="text1"/>
          <w:sz w:val="24"/>
          <w:szCs w:val="24"/>
        </w:rPr>
        <w:t xml:space="preserve">ohledně </w:t>
      </w:r>
      <w:r w:rsidRPr="0076769C">
        <w:rPr>
          <w:rFonts w:ascii="Arial" w:hAnsi="Arial" w:cs="Arial"/>
          <w:color w:val="000000" w:themeColor="text1"/>
          <w:sz w:val="24"/>
          <w:szCs w:val="24"/>
        </w:rPr>
        <w:t>velké</w:t>
      </w:r>
      <w:r w:rsidR="00E46EEB">
        <w:rPr>
          <w:rFonts w:ascii="Arial" w:hAnsi="Arial" w:cs="Arial"/>
          <w:color w:val="000000" w:themeColor="text1"/>
          <w:sz w:val="24"/>
          <w:szCs w:val="24"/>
        </w:rPr>
        <w:t xml:space="preserve">ho </w:t>
      </w:r>
      <w:r w:rsidRPr="0076769C">
        <w:rPr>
          <w:rFonts w:ascii="Arial" w:hAnsi="Arial" w:cs="Arial"/>
          <w:color w:val="000000" w:themeColor="text1"/>
          <w:sz w:val="24"/>
          <w:szCs w:val="24"/>
        </w:rPr>
        <w:t xml:space="preserve">krácení rozpočtů mnoha obcí, ale soustředíme se na rychlou a spravedlivou pomoc naší ekonomice. Právě to je nakonec tím jediným klíčem k zajištění perspektivy daňových příjmů nejen státu, ale </w:t>
      </w:r>
      <w:r>
        <w:rPr>
          <w:rFonts w:ascii="Arial" w:hAnsi="Arial" w:cs="Arial"/>
          <w:color w:val="000000" w:themeColor="text1"/>
          <w:sz w:val="24"/>
          <w:szCs w:val="24"/>
        </w:rPr>
        <w:br/>
      </w:r>
      <w:r w:rsidRPr="0076769C">
        <w:rPr>
          <w:rFonts w:ascii="Arial" w:hAnsi="Arial" w:cs="Arial"/>
          <w:color w:val="000000" w:themeColor="text1"/>
          <w:sz w:val="24"/>
          <w:szCs w:val="24"/>
        </w:rPr>
        <w:t>i</w:t>
      </w:r>
      <w:r>
        <w:rPr>
          <w:rFonts w:ascii="Arial" w:hAnsi="Arial" w:cs="Arial"/>
          <w:color w:val="000000" w:themeColor="text1"/>
          <w:sz w:val="24"/>
          <w:szCs w:val="24"/>
        </w:rPr>
        <w:t xml:space="preserve"> </w:t>
      </w:r>
      <w:r w:rsidRPr="0076769C">
        <w:rPr>
          <w:rFonts w:ascii="Arial" w:hAnsi="Arial" w:cs="Arial"/>
          <w:color w:val="000000" w:themeColor="text1"/>
          <w:sz w:val="24"/>
          <w:szCs w:val="24"/>
        </w:rPr>
        <w:t>samospráv. A také k jistotě, že to vše společně zvládneme.</w:t>
      </w:r>
    </w:p>
    <w:p w:rsidR="0076769C" w:rsidP="0076769C">
      <w:pPr>
        <w:spacing w:after="120" w:line="300" w:lineRule="auto"/>
        <w:jc w:val="both"/>
        <w:rPr>
          <w:rFonts w:ascii="Arial" w:hAnsi="Arial" w:cs="Arial"/>
          <w:color w:val="000000" w:themeColor="text1"/>
          <w:sz w:val="24"/>
          <w:szCs w:val="24"/>
        </w:rPr>
      </w:pPr>
    </w:p>
    <w:p w:rsidR="0076769C" w:rsidP="0076769C">
      <w:pPr>
        <w:spacing w:after="120" w:line="300" w:lineRule="auto"/>
        <w:jc w:val="both"/>
        <w:rPr>
          <w:rFonts w:ascii="Arial" w:hAnsi="Arial" w:cs="Arial"/>
          <w:color w:val="000000" w:themeColor="text1"/>
          <w:sz w:val="24"/>
          <w:szCs w:val="24"/>
        </w:rPr>
      </w:pPr>
      <w:r w:rsidRPr="0076769C">
        <w:rPr>
          <w:rFonts w:ascii="Arial" w:hAnsi="Arial" w:cs="Arial"/>
          <w:color w:val="000000" w:themeColor="text1"/>
          <w:sz w:val="24"/>
          <w:szCs w:val="24"/>
        </w:rPr>
        <w:t>S</w:t>
      </w:r>
      <w:r>
        <w:rPr>
          <w:rFonts w:ascii="Arial" w:hAnsi="Arial" w:cs="Arial"/>
          <w:color w:val="000000" w:themeColor="text1"/>
          <w:sz w:val="24"/>
          <w:szCs w:val="24"/>
        </w:rPr>
        <w:t> </w:t>
      </w:r>
      <w:r w:rsidRPr="0076769C">
        <w:rPr>
          <w:rFonts w:ascii="Arial" w:hAnsi="Arial" w:cs="Arial"/>
          <w:color w:val="000000" w:themeColor="text1"/>
          <w:sz w:val="24"/>
          <w:szCs w:val="24"/>
        </w:rPr>
        <w:t>úctou</w:t>
      </w:r>
    </w:p>
    <w:p w:rsidR="0076769C" w:rsidP="0076769C">
      <w:pPr>
        <w:spacing w:after="120" w:line="300" w:lineRule="auto"/>
        <w:jc w:val="both"/>
        <w:rPr>
          <w:rFonts w:ascii="Arial" w:hAnsi="Arial" w:cs="Arial"/>
          <w:color w:val="000000" w:themeColor="text1"/>
          <w:sz w:val="24"/>
          <w:szCs w:val="24"/>
        </w:rPr>
      </w:pPr>
    </w:p>
    <w:p w:rsidR="0076769C" w:rsidP="0076769C">
      <w:pPr>
        <w:spacing w:after="120" w:line="300" w:lineRule="auto"/>
        <w:jc w:val="both"/>
        <w:rPr>
          <w:rFonts w:ascii="Arial" w:hAnsi="Arial" w:cs="Arial"/>
          <w:color w:val="000000" w:themeColor="text1"/>
          <w:sz w:val="24"/>
          <w:szCs w:val="24"/>
        </w:rPr>
      </w:pPr>
    </w:p>
    <w:p w:rsidR="0076769C" w:rsidP="0076769C">
      <w:pPr>
        <w:spacing w:after="120" w:line="300" w:lineRule="auto"/>
        <w:jc w:val="both"/>
        <w:rPr>
          <w:rFonts w:ascii="Arial" w:hAnsi="Arial" w:cs="Arial"/>
          <w:color w:val="000000" w:themeColor="text1"/>
          <w:sz w:val="24"/>
          <w:szCs w:val="24"/>
        </w:rPr>
      </w:pPr>
    </w:p>
    <w:p w:rsidR="00690A04" w:rsidP="0076769C">
      <w:pPr>
        <w:spacing w:after="120" w:line="300" w:lineRule="auto"/>
        <w:jc w:val="both"/>
        <w:rPr>
          <w:rFonts w:ascii="Arial" w:hAnsi="Arial" w:cs="Arial"/>
          <w:color w:val="000000" w:themeColor="text1"/>
          <w:sz w:val="24"/>
          <w:szCs w:val="24"/>
        </w:rPr>
      </w:pPr>
    </w:p>
    <w:p w:rsidR="00690A04" w:rsidP="0076769C">
      <w:pPr>
        <w:spacing w:after="120" w:line="300" w:lineRule="auto"/>
        <w:jc w:val="both"/>
        <w:rPr>
          <w:rFonts w:ascii="Arial" w:hAnsi="Arial" w:cs="Arial"/>
          <w:color w:val="000000" w:themeColor="text1"/>
          <w:sz w:val="24"/>
          <w:szCs w:val="24"/>
        </w:rPr>
      </w:pPr>
    </w:p>
    <w:p w:rsidR="00690A04" w:rsidP="0076769C">
      <w:pPr>
        <w:spacing w:after="120" w:line="300" w:lineRule="auto"/>
        <w:jc w:val="both"/>
        <w:rPr>
          <w:rFonts w:ascii="Arial" w:hAnsi="Arial" w:cs="Arial"/>
          <w:color w:val="000000" w:themeColor="text1"/>
          <w:sz w:val="24"/>
          <w:szCs w:val="24"/>
        </w:rPr>
      </w:pPr>
    </w:p>
    <w:p w:rsidR="00690A04" w:rsidP="0076769C">
      <w:pPr>
        <w:spacing w:after="120" w:line="300" w:lineRule="auto"/>
        <w:jc w:val="both"/>
        <w:rPr>
          <w:rFonts w:ascii="Arial" w:hAnsi="Arial" w:cs="Arial"/>
          <w:color w:val="000000" w:themeColor="text1"/>
          <w:sz w:val="24"/>
          <w:szCs w:val="24"/>
        </w:rPr>
      </w:pPr>
    </w:p>
    <w:p w:rsidR="00690A04" w:rsidP="0076769C">
      <w:pPr>
        <w:spacing w:after="120" w:line="300" w:lineRule="auto"/>
        <w:jc w:val="both"/>
        <w:rPr>
          <w:rFonts w:ascii="Arial" w:hAnsi="Arial" w:cs="Arial"/>
          <w:color w:val="000000" w:themeColor="text1"/>
          <w:sz w:val="24"/>
          <w:szCs w:val="24"/>
        </w:rPr>
      </w:pPr>
    </w:p>
    <w:p w:rsidR="00690A04" w:rsidP="0076769C">
      <w:pPr>
        <w:spacing w:after="120" w:line="300" w:lineRule="auto"/>
        <w:jc w:val="both"/>
        <w:rPr>
          <w:rFonts w:ascii="Arial" w:hAnsi="Arial" w:cs="Arial"/>
          <w:color w:val="000000" w:themeColor="text1"/>
          <w:sz w:val="24"/>
          <w:szCs w:val="24"/>
        </w:rPr>
      </w:pPr>
    </w:p>
    <w:p w:rsidR="0076769C" w:rsidP="003B134C">
      <w:pPr>
        <w:spacing w:line="300" w:lineRule="auto"/>
        <w:jc w:val="both"/>
        <w:rPr>
          <w:rFonts w:ascii="Arial" w:hAnsi="Arial" w:cs="Arial"/>
          <w:color w:val="000000" w:themeColor="text1"/>
          <w:sz w:val="24"/>
          <w:szCs w:val="24"/>
        </w:rPr>
      </w:pPr>
      <w:r>
        <w:rPr>
          <w:rFonts w:ascii="Arial" w:hAnsi="Arial" w:cs="Arial"/>
          <w:color w:val="000000" w:themeColor="text1"/>
          <w:sz w:val="24"/>
          <w:szCs w:val="24"/>
        </w:rPr>
        <w:t>Vážený pan</w:t>
      </w:r>
    </w:p>
    <w:p w:rsidR="0076769C" w:rsidRPr="003B134C" w:rsidP="003B134C">
      <w:pPr>
        <w:spacing w:line="300" w:lineRule="auto"/>
        <w:jc w:val="both"/>
        <w:rPr>
          <w:rFonts w:ascii="Arial" w:hAnsi="Arial" w:cs="Arial"/>
          <w:b/>
          <w:color w:val="000000" w:themeColor="text1"/>
          <w:sz w:val="24"/>
          <w:szCs w:val="24"/>
        </w:rPr>
      </w:pPr>
      <w:r w:rsidRPr="003B134C">
        <w:rPr>
          <w:rFonts w:ascii="Arial" w:hAnsi="Arial" w:cs="Arial"/>
          <w:b/>
          <w:color w:val="000000" w:themeColor="text1"/>
          <w:sz w:val="24"/>
          <w:szCs w:val="24"/>
        </w:rPr>
        <w:t xml:space="preserve">Mgr. František </w:t>
      </w:r>
      <w:r w:rsidRPr="003B134C">
        <w:rPr>
          <w:rFonts w:ascii="Arial" w:hAnsi="Arial" w:cs="Arial"/>
          <w:b/>
          <w:color w:val="000000" w:themeColor="text1"/>
          <w:sz w:val="24"/>
          <w:szCs w:val="24"/>
        </w:rPr>
        <w:t>Lukl</w:t>
      </w:r>
      <w:r w:rsidRPr="003B134C">
        <w:rPr>
          <w:rFonts w:ascii="Arial" w:hAnsi="Arial" w:cs="Arial"/>
          <w:b/>
          <w:color w:val="000000" w:themeColor="text1"/>
          <w:sz w:val="24"/>
          <w:szCs w:val="24"/>
        </w:rPr>
        <w:t>, MPA</w:t>
      </w:r>
    </w:p>
    <w:p w:rsidR="003B134C" w:rsidP="003B134C">
      <w:pPr>
        <w:spacing w:line="300" w:lineRule="auto"/>
        <w:jc w:val="both"/>
        <w:rPr>
          <w:rFonts w:ascii="Arial" w:hAnsi="Arial" w:cs="Arial"/>
          <w:color w:val="000000" w:themeColor="text1"/>
          <w:sz w:val="24"/>
          <w:szCs w:val="24"/>
        </w:rPr>
      </w:pPr>
      <w:r>
        <w:rPr>
          <w:rFonts w:ascii="Arial" w:hAnsi="Arial" w:cs="Arial"/>
          <w:color w:val="000000" w:themeColor="text1"/>
          <w:sz w:val="24"/>
          <w:szCs w:val="24"/>
        </w:rPr>
        <w:t>předseda Svazu měst a obcí ČR</w:t>
      </w:r>
    </w:p>
    <w:p w:rsidR="003B134C" w:rsidP="003B134C">
      <w:pPr>
        <w:spacing w:line="300" w:lineRule="auto"/>
        <w:jc w:val="both"/>
        <w:rPr>
          <w:rFonts w:ascii="Arial" w:hAnsi="Arial" w:cs="Arial"/>
          <w:color w:val="000000" w:themeColor="text1"/>
          <w:sz w:val="24"/>
          <w:szCs w:val="24"/>
        </w:rPr>
      </w:pPr>
    </w:p>
    <w:p w:rsidR="0076769C" w:rsidP="003B134C">
      <w:pPr>
        <w:spacing w:line="300" w:lineRule="auto"/>
        <w:jc w:val="both"/>
        <w:rPr>
          <w:rFonts w:ascii="Arial" w:hAnsi="Arial" w:cs="Arial"/>
          <w:color w:val="000000" w:themeColor="text1"/>
          <w:sz w:val="24"/>
          <w:szCs w:val="24"/>
        </w:rPr>
      </w:pPr>
      <w:r>
        <w:rPr>
          <w:rFonts w:ascii="Arial" w:hAnsi="Arial" w:cs="Arial"/>
          <w:color w:val="000000" w:themeColor="text1"/>
          <w:sz w:val="24"/>
          <w:szCs w:val="24"/>
        </w:rPr>
        <w:t xml:space="preserve">Vážený pan </w:t>
      </w:r>
    </w:p>
    <w:p w:rsidR="0076769C" w:rsidRPr="003B134C" w:rsidP="003B134C">
      <w:pPr>
        <w:spacing w:line="300" w:lineRule="auto"/>
        <w:jc w:val="both"/>
        <w:rPr>
          <w:rFonts w:ascii="Arial" w:hAnsi="Arial" w:cs="Arial"/>
          <w:b/>
          <w:color w:val="000000" w:themeColor="text1"/>
          <w:sz w:val="24"/>
          <w:szCs w:val="24"/>
        </w:rPr>
      </w:pPr>
      <w:r w:rsidRPr="003B134C">
        <w:rPr>
          <w:rFonts w:ascii="Arial" w:hAnsi="Arial" w:cs="Arial"/>
          <w:b/>
          <w:color w:val="000000" w:themeColor="text1"/>
          <w:sz w:val="24"/>
          <w:szCs w:val="24"/>
        </w:rPr>
        <w:t xml:space="preserve">JUDr. Stanislav </w:t>
      </w:r>
      <w:r w:rsidRPr="003B134C">
        <w:rPr>
          <w:rFonts w:ascii="Arial" w:hAnsi="Arial" w:cs="Arial"/>
          <w:b/>
          <w:color w:val="000000" w:themeColor="text1"/>
          <w:sz w:val="24"/>
          <w:szCs w:val="24"/>
        </w:rPr>
        <w:t>Polčák</w:t>
      </w:r>
      <w:r w:rsidRPr="003B134C">
        <w:rPr>
          <w:rFonts w:ascii="Arial" w:hAnsi="Arial" w:cs="Arial"/>
          <w:b/>
          <w:color w:val="000000" w:themeColor="text1"/>
          <w:sz w:val="24"/>
          <w:szCs w:val="24"/>
        </w:rPr>
        <w:t xml:space="preserve"> </w:t>
      </w:r>
    </w:p>
    <w:p w:rsidR="003B134C" w:rsidP="003B134C">
      <w:pPr>
        <w:spacing w:line="300" w:lineRule="auto"/>
        <w:jc w:val="both"/>
        <w:rPr>
          <w:rFonts w:ascii="Arial" w:hAnsi="Arial" w:cs="Arial"/>
          <w:color w:val="000000" w:themeColor="text1"/>
          <w:sz w:val="24"/>
          <w:szCs w:val="24"/>
        </w:rPr>
      </w:pPr>
      <w:r>
        <w:rPr>
          <w:rFonts w:ascii="Arial" w:hAnsi="Arial" w:cs="Arial"/>
          <w:color w:val="000000" w:themeColor="text1"/>
          <w:sz w:val="24"/>
          <w:szCs w:val="24"/>
        </w:rPr>
        <w:t>předseda celostátního svazu obcí Sdružení místních samospráv ČR</w:t>
      </w:r>
    </w:p>
    <w:p w:rsidR="003B134C" w:rsidP="003B134C">
      <w:pPr>
        <w:spacing w:line="300" w:lineRule="auto"/>
        <w:jc w:val="both"/>
        <w:rPr>
          <w:rFonts w:ascii="Arial" w:hAnsi="Arial" w:cs="Arial"/>
          <w:color w:val="000000" w:themeColor="text1"/>
          <w:sz w:val="24"/>
          <w:szCs w:val="24"/>
        </w:rPr>
      </w:pPr>
    </w:p>
    <w:p w:rsidR="003B134C" w:rsidP="003B134C">
      <w:pPr>
        <w:spacing w:line="300" w:lineRule="auto"/>
        <w:jc w:val="both"/>
        <w:rPr>
          <w:rFonts w:ascii="Arial" w:hAnsi="Arial" w:cs="Arial"/>
          <w:color w:val="000000" w:themeColor="text1"/>
          <w:sz w:val="24"/>
          <w:szCs w:val="24"/>
        </w:rPr>
      </w:pPr>
    </w:p>
    <w:p w:rsidR="003B134C" w:rsidP="003B134C">
      <w:pPr>
        <w:spacing w:line="300" w:lineRule="auto"/>
        <w:jc w:val="both"/>
        <w:rPr>
          <w:rFonts w:ascii="Arial" w:hAnsi="Arial" w:cs="Arial"/>
          <w:color w:val="000000" w:themeColor="text1"/>
          <w:sz w:val="24"/>
          <w:szCs w:val="24"/>
        </w:rPr>
      </w:pPr>
      <w:bookmarkStart w:id="1" w:name="_GoBack"/>
      <w:bookmarkEnd w:id="1"/>
      <w:r>
        <w:rPr>
          <w:rFonts w:ascii="Arial" w:hAnsi="Arial" w:cs="Arial"/>
          <w:color w:val="000000" w:themeColor="text1"/>
          <w:sz w:val="24"/>
          <w:szCs w:val="24"/>
        </w:rPr>
        <w:t>Na vědomí:</w:t>
      </w:r>
    </w:p>
    <w:p w:rsidR="003B134C" w:rsidP="003B134C">
      <w:pPr>
        <w:spacing w:line="300" w:lineRule="auto"/>
        <w:jc w:val="both"/>
        <w:rPr>
          <w:rFonts w:ascii="Arial" w:hAnsi="Arial" w:cs="Arial"/>
          <w:color w:val="000000" w:themeColor="text1"/>
          <w:sz w:val="24"/>
          <w:szCs w:val="24"/>
        </w:rPr>
      </w:pPr>
      <w:r>
        <w:rPr>
          <w:rFonts w:ascii="Arial" w:hAnsi="Arial" w:cs="Arial"/>
          <w:color w:val="000000" w:themeColor="text1"/>
          <w:sz w:val="24"/>
          <w:szCs w:val="24"/>
        </w:rPr>
        <w:t xml:space="preserve">Ing. Andrej </w:t>
      </w:r>
      <w:r>
        <w:rPr>
          <w:rFonts w:ascii="Arial" w:hAnsi="Arial" w:cs="Arial"/>
          <w:color w:val="000000" w:themeColor="text1"/>
          <w:sz w:val="24"/>
          <w:szCs w:val="24"/>
        </w:rPr>
        <w:t>Babiš</w:t>
      </w:r>
      <w:r>
        <w:rPr>
          <w:rFonts w:ascii="Arial" w:hAnsi="Arial" w:cs="Arial"/>
          <w:color w:val="000000" w:themeColor="text1"/>
          <w:sz w:val="24"/>
          <w:szCs w:val="24"/>
        </w:rPr>
        <w:t>, předseda vlády ČR</w:t>
      </w:r>
    </w:p>
    <w:p w:rsidR="00E46EEB" w:rsidP="003B134C">
      <w:pPr>
        <w:spacing w:line="300" w:lineRule="auto"/>
        <w:jc w:val="both"/>
        <w:rPr>
          <w:rFonts w:ascii="Arial" w:hAnsi="Arial" w:cs="Arial"/>
          <w:color w:val="000000" w:themeColor="text1"/>
          <w:sz w:val="24"/>
          <w:szCs w:val="24"/>
        </w:rPr>
      </w:pPr>
      <w:r>
        <w:rPr>
          <w:rFonts w:ascii="Arial" w:hAnsi="Arial" w:cs="Arial"/>
          <w:color w:val="000000" w:themeColor="text1"/>
          <w:sz w:val="24"/>
          <w:szCs w:val="24"/>
        </w:rPr>
        <w:t xml:space="preserve">Jan Hamáček, první místopředseda vlády a ministra vnitra </w:t>
      </w:r>
    </w:p>
    <w:p w:rsidR="003B134C" w:rsidP="003B134C">
      <w:pPr>
        <w:spacing w:line="300" w:lineRule="auto"/>
        <w:jc w:val="both"/>
        <w:rPr>
          <w:rFonts w:ascii="Arial" w:hAnsi="Arial" w:cs="Arial"/>
          <w:color w:val="000000" w:themeColor="text1"/>
          <w:sz w:val="24"/>
          <w:szCs w:val="24"/>
        </w:rPr>
      </w:pPr>
      <w:r>
        <w:rPr>
          <w:rFonts w:ascii="Arial" w:hAnsi="Arial" w:cs="Arial"/>
          <w:color w:val="000000" w:themeColor="text1"/>
          <w:sz w:val="24"/>
          <w:szCs w:val="24"/>
        </w:rPr>
        <w:t xml:space="preserve">Ing. Klára Dostálová, ministryně pro místní rozvoj  </w:t>
      </w:r>
    </w:p>
    <w:p w:rsidR="003B134C" w:rsidP="003B134C">
      <w:pPr>
        <w:spacing w:line="300" w:lineRule="auto"/>
        <w:jc w:val="both"/>
        <w:rPr>
          <w:rFonts w:ascii="Arial" w:hAnsi="Arial" w:cs="Arial"/>
          <w:color w:val="000000" w:themeColor="text1"/>
          <w:sz w:val="24"/>
          <w:szCs w:val="24"/>
        </w:rPr>
      </w:pPr>
      <w:r>
        <w:rPr>
          <w:rFonts w:ascii="Arial" w:hAnsi="Arial" w:cs="Arial"/>
          <w:color w:val="000000" w:themeColor="text1"/>
          <w:sz w:val="24"/>
          <w:szCs w:val="24"/>
        </w:rPr>
        <w:t xml:space="preserve">hejtmané krajů a primátor hl. m. Prahy </w:t>
      </w:r>
    </w:p>
    <w:p w:rsidR="003B134C" w:rsidP="003B134C">
      <w:pPr>
        <w:spacing w:line="300" w:lineRule="auto"/>
        <w:jc w:val="both"/>
        <w:rPr>
          <w:rFonts w:ascii="Arial" w:hAnsi="Arial" w:cs="Arial"/>
          <w:color w:val="000000" w:themeColor="text1"/>
          <w:sz w:val="24"/>
          <w:szCs w:val="24"/>
        </w:rPr>
      </w:pPr>
      <w:r>
        <w:rPr>
          <w:rFonts w:ascii="Arial" w:hAnsi="Arial" w:cs="Arial"/>
          <w:color w:val="000000" w:themeColor="text1"/>
          <w:sz w:val="24"/>
          <w:szCs w:val="24"/>
        </w:rPr>
        <w:t>primátoři statutárních měst</w:t>
      </w:r>
    </w:p>
    <w:p w:rsidR="003B134C" w:rsidRPr="0076769C" w:rsidP="003B134C">
      <w:pPr>
        <w:spacing w:line="300" w:lineRule="auto"/>
        <w:jc w:val="both"/>
        <w:rPr>
          <w:rFonts w:ascii="Arial" w:hAnsi="Arial" w:cs="Arial"/>
          <w:color w:val="000000" w:themeColor="text1"/>
          <w:sz w:val="24"/>
          <w:szCs w:val="24"/>
        </w:rPr>
      </w:pPr>
      <w:r>
        <w:rPr>
          <w:rFonts w:ascii="Arial" w:hAnsi="Arial" w:cs="Arial"/>
          <w:color w:val="000000" w:themeColor="text1"/>
          <w:sz w:val="24"/>
          <w:szCs w:val="24"/>
        </w:rPr>
        <w:t xml:space="preserve">starostové obcí </w:t>
      </w:r>
    </w:p>
    <w:p w:rsidR="0076769C" w:rsidRPr="0076769C" w:rsidP="0076769C">
      <w:pPr>
        <w:pStyle w:val="Textdopisu"/>
        <w:spacing w:after="120" w:line="300" w:lineRule="auto"/>
        <w:contextualSpacing/>
        <w:rPr>
          <w:szCs w:val="24"/>
        </w:rPr>
      </w:pPr>
    </w:p>
    <w:sectPr w:rsidSect="00A54086">
      <w:footerReference w:type="default" r:id="rId5"/>
      <w:pgSz w:w="11907" w:h="16840" w:code="9"/>
      <w:pgMar w:top="1134" w:right="1418" w:bottom="1418" w:left="1418"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D27" w:rsidRPr="00C07C6D" w:rsidP="00131859">
    <w:pPr>
      <w:pBdr>
        <w:top w:val="single" w:sz="4" w:space="1" w:color="808080"/>
      </w:pBdr>
      <w:rPr>
        <w:i/>
        <w:color w:val="808080"/>
        <w:sz w:val="6"/>
        <w:szCs w:val="6"/>
        <w:u w:color="808080"/>
      </w:rPr>
    </w:pPr>
  </w:p>
  <w:p w:rsidR="00D20D27" w:rsidRPr="00A54086" w:rsidP="00E42E1F">
    <w:pPr>
      <w:pBdr>
        <w:top w:val="single" w:sz="4" w:space="1" w:color="808080"/>
      </w:pBdr>
      <w:tabs>
        <w:tab w:val="left" w:pos="6663"/>
      </w:tabs>
      <w:rPr>
        <w:rFonts w:ascii="Arial" w:hAnsi="Arial" w:cs="Arial"/>
        <w:color w:val="808080"/>
        <w:sz w:val="18"/>
        <w:szCs w:val="18"/>
      </w:rPr>
    </w:pPr>
    <w:r w:rsidRPr="00A54086">
      <w:rPr>
        <w:rFonts w:ascii="Arial" w:hAnsi="Arial" w:cs="Arial"/>
        <w:color w:val="808080"/>
        <w:sz w:val="18"/>
        <w:szCs w:val="18"/>
      </w:rPr>
      <w:t>Ministerstvo financí, Letenská 15, 118 10, Praha 1</w:t>
    </w:r>
    <w:r w:rsidRPr="00A54086">
      <w:rPr>
        <w:rFonts w:ascii="Arial" w:hAnsi="Arial" w:cs="Arial"/>
        <w:color w:val="808080"/>
        <w:sz w:val="18"/>
        <w:szCs w:val="18"/>
      </w:rPr>
      <w:tab/>
      <w:t xml:space="preserve">ID datové schránky: </w:t>
    </w:r>
    <w:r w:rsidRPr="00A54086">
      <w:rPr>
        <w:rFonts w:ascii="Arial" w:hAnsi="Arial" w:cs="Arial"/>
        <w:color w:val="808080"/>
        <w:sz w:val="18"/>
        <w:szCs w:val="18"/>
      </w:rPr>
      <w:t>xzeaauv</w:t>
    </w:r>
  </w:p>
  <w:p w:rsidR="00D20D27" w:rsidRPr="00A54086" w:rsidP="00131859">
    <w:pPr>
      <w:pBdr>
        <w:top w:val="single" w:sz="4" w:space="1" w:color="808080"/>
      </w:pBdr>
      <w:tabs>
        <w:tab w:val="left" w:pos="6663"/>
      </w:tabs>
      <w:rPr>
        <w:rFonts w:ascii="Arial" w:hAnsi="Arial" w:cs="Arial"/>
        <w:color w:val="808080"/>
        <w:sz w:val="18"/>
        <w:szCs w:val="18"/>
        <w:u w:color="808080"/>
      </w:rPr>
    </w:pPr>
    <w:r w:rsidRPr="00A54086">
      <w:rPr>
        <w:rFonts w:ascii="Arial" w:hAnsi="Arial" w:cs="Arial"/>
        <w:color w:val="808080"/>
        <w:sz w:val="18"/>
        <w:szCs w:val="18"/>
        <w:u w:color="808080"/>
      </w:rPr>
      <w:tab/>
      <w:t xml:space="preserve">e-mail: </w:t>
    </w:r>
    <w:r>
      <w:fldChar w:fldCharType="begin"/>
    </w:r>
    <w:r>
      <w:instrText xml:space="preserve"> HYPERLINK "mailto:podatelna@mfcr.cz" </w:instrText>
    </w:r>
    <w:r>
      <w:fldChar w:fldCharType="separate"/>
    </w:r>
    <w:r w:rsidRPr="00A54086">
      <w:rPr>
        <w:rStyle w:val="Hyperlink"/>
        <w:rFonts w:ascii="Arial" w:hAnsi="Arial" w:cs="Arial"/>
        <w:color w:val="808080"/>
        <w:sz w:val="18"/>
        <w:szCs w:val="18"/>
        <w:u w:color="808080"/>
      </w:rPr>
      <w:t>podatelna@mfcr.cz</w:t>
    </w:r>
    <w:r>
      <w:fldChar w:fldCharType="end"/>
    </w:r>
  </w:p>
  <w:p w:rsidR="00D20D27" w:rsidRPr="00A54086" w:rsidP="00131859">
    <w:pPr>
      <w:pBdr>
        <w:top w:val="single" w:sz="4" w:space="1" w:color="808080"/>
      </w:pBdr>
      <w:tabs>
        <w:tab w:val="left" w:pos="6663"/>
        <w:tab w:val="right" w:pos="9071"/>
      </w:tabs>
      <w:ind w:firstLine="708"/>
      <w:rPr>
        <w:rFonts w:ascii="Arial" w:hAnsi="Arial" w:cs="Arial"/>
        <w:color w:val="808080"/>
        <w:sz w:val="18"/>
        <w:szCs w:val="18"/>
        <w:u w:color="808080"/>
      </w:rPr>
    </w:pPr>
    <w:r w:rsidRPr="00A54086">
      <w:rPr>
        <w:rFonts w:ascii="Arial" w:hAnsi="Arial" w:cs="Arial"/>
        <w:color w:val="808080"/>
        <w:sz w:val="18"/>
        <w:szCs w:val="18"/>
        <w:u w:color="808080"/>
      </w:rPr>
      <w:tab/>
      <w:t>Telefon: +420 257 041 111</w:t>
    </w:r>
  </w:p>
  <w:p w:rsidR="00D20D27" w:rsidRPr="00A54086" w:rsidP="00131859">
    <w:pPr>
      <w:pBdr>
        <w:top w:val="single" w:sz="4" w:space="1" w:color="808080"/>
      </w:pBdr>
      <w:tabs>
        <w:tab w:val="left" w:pos="6663"/>
      </w:tabs>
      <w:ind w:firstLine="708"/>
      <w:rPr>
        <w:rFonts w:ascii="Arial" w:hAnsi="Arial" w:cs="Arial"/>
        <w:color w:val="808080"/>
        <w:sz w:val="18"/>
        <w:szCs w:val="18"/>
        <w:u w:color="808080"/>
      </w:rPr>
    </w:pPr>
    <w:r w:rsidRPr="00A54086">
      <w:rPr>
        <w:rFonts w:ascii="Arial" w:hAnsi="Arial" w:cs="Arial"/>
        <w:color w:val="808080"/>
        <w:sz w:val="18"/>
        <w:szCs w:val="18"/>
        <w:u w:color="808080"/>
      </w:rPr>
      <w:tab/>
      <w:t>Fax: +420 257 042 788</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3E48BC"/>
    <w:multiLevelType w:val="hybridMultilevel"/>
    <w:tmpl w:val="63FC375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A1"/>
    <w:rPr>
      <w:sz w:val="20"/>
      <w:szCs w:val="20"/>
    </w:rPr>
  </w:style>
  <w:style w:type="paragraph" w:styleId="Heading1">
    <w:name w:val="heading 1"/>
    <w:basedOn w:val="Normal"/>
    <w:next w:val="Normal"/>
    <w:link w:val="Nadpis1Char"/>
    <w:uiPriority w:val="99"/>
    <w:qFormat/>
    <w:rsid w:val="00FD45D8"/>
    <w:pPr>
      <w:keepNext/>
      <w:tabs>
        <w:tab w:val="left" w:pos="5670"/>
        <w:tab w:val="left" w:pos="8222"/>
      </w:tabs>
      <w:spacing w:before="120" w:line="480" w:lineRule="auto"/>
      <w:jc w:val="center"/>
      <w:outlineLvl w:val="0"/>
    </w:pPr>
    <w:rPr>
      <w:rFonts w:ascii="Cambria" w:hAnsi="Cambria"/>
      <w:b/>
      <w:kern w:val="32"/>
      <w:sz w:val="32"/>
    </w:rPr>
  </w:style>
  <w:style w:type="paragraph" w:styleId="Heading2">
    <w:name w:val="heading 2"/>
    <w:basedOn w:val="Normal"/>
    <w:next w:val="Normal"/>
    <w:link w:val="Nadpis2Char"/>
    <w:uiPriority w:val="99"/>
    <w:qFormat/>
    <w:rsid w:val="00FD45D8"/>
    <w:pPr>
      <w:keepNext/>
      <w:tabs>
        <w:tab w:val="left" w:pos="5670"/>
        <w:tab w:val="left" w:pos="8222"/>
      </w:tabs>
      <w:outlineLvl w:val="1"/>
    </w:pPr>
    <w:rPr>
      <w:rFonts w:ascii="Cambria" w:hAnsi="Cambri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525EE3"/>
    <w:rPr>
      <w:rFonts w:ascii="Cambria" w:hAnsi="Cambria" w:cs="Times New Roman"/>
      <w:b/>
      <w:kern w:val="32"/>
      <w:sz w:val="32"/>
    </w:rPr>
  </w:style>
  <w:style w:type="character" w:customStyle="1" w:styleId="Nadpis2Char">
    <w:name w:val="Nadpis 2 Char"/>
    <w:basedOn w:val="DefaultParagraphFont"/>
    <w:link w:val="Heading2"/>
    <w:uiPriority w:val="99"/>
    <w:semiHidden/>
    <w:locked/>
    <w:rsid w:val="00525EE3"/>
    <w:rPr>
      <w:rFonts w:ascii="Cambria" w:hAnsi="Cambria" w:cs="Times New Roman"/>
      <w:b/>
      <w:i/>
      <w:sz w:val="28"/>
    </w:rPr>
  </w:style>
  <w:style w:type="paragraph" w:styleId="DocumentMap">
    <w:name w:val="Document Map"/>
    <w:basedOn w:val="Normal"/>
    <w:link w:val="RozloendokumentuChar"/>
    <w:uiPriority w:val="99"/>
    <w:semiHidden/>
    <w:rsid w:val="00FD45D8"/>
    <w:pPr>
      <w:shd w:val="clear" w:color="auto" w:fill="000080"/>
    </w:pPr>
    <w:rPr>
      <w:sz w:val="2"/>
    </w:rPr>
  </w:style>
  <w:style w:type="character" w:customStyle="1" w:styleId="RozloendokumentuChar">
    <w:name w:val="Rozložení dokumentu Char"/>
    <w:basedOn w:val="DefaultParagraphFont"/>
    <w:link w:val="DocumentMap"/>
    <w:uiPriority w:val="99"/>
    <w:semiHidden/>
    <w:locked/>
    <w:rsid w:val="00525EE3"/>
    <w:rPr>
      <w:rFonts w:cs="Times New Roman"/>
      <w:sz w:val="2"/>
    </w:rPr>
  </w:style>
  <w:style w:type="paragraph" w:styleId="Header">
    <w:name w:val="header"/>
    <w:basedOn w:val="Normal"/>
    <w:link w:val="ZhlavChar"/>
    <w:uiPriority w:val="99"/>
    <w:rsid w:val="003B6678"/>
    <w:pPr>
      <w:tabs>
        <w:tab w:val="center" w:pos="4536"/>
        <w:tab w:val="right" w:pos="9072"/>
      </w:tabs>
    </w:pPr>
  </w:style>
  <w:style w:type="character" w:customStyle="1" w:styleId="ZhlavChar">
    <w:name w:val="Záhlaví Char"/>
    <w:basedOn w:val="DefaultParagraphFont"/>
    <w:link w:val="Header"/>
    <w:uiPriority w:val="99"/>
    <w:semiHidden/>
    <w:locked/>
    <w:rsid w:val="00525EE3"/>
    <w:rPr>
      <w:rFonts w:cs="Times New Roman"/>
      <w:sz w:val="20"/>
    </w:rPr>
  </w:style>
  <w:style w:type="paragraph" w:styleId="Footer">
    <w:name w:val="footer"/>
    <w:basedOn w:val="Normal"/>
    <w:link w:val="ZpatChar"/>
    <w:uiPriority w:val="99"/>
    <w:rsid w:val="003B6678"/>
    <w:pPr>
      <w:tabs>
        <w:tab w:val="center" w:pos="4536"/>
        <w:tab w:val="right" w:pos="9072"/>
      </w:tabs>
    </w:pPr>
  </w:style>
  <w:style w:type="character" w:customStyle="1" w:styleId="ZpatChar">
    <w:name w:val="Zápatí Char"/>
    <w:basedOn w:val="DefaultParagraphFont"/>
    <w:link w:val="Footer"/>
    <w:uiPriority w:val="99"/>
    <w:semiHidden/>
    <w:locked/>
    <w:rsid w:val="00525EE3"/>
    <w:rPr>
      <w:rFonts w:cs="Times New Roman"/>
      <w:sz w:val="20"/>
    </w:rPr>
  </w:style>
  <w:style w:type="character" w:styleId="Hyperlink">
    <w:name w:val="Hyperlink"/>
    <w:basedOn w:val="DefaultParagraphFont"/>
    <w:uiPriority w:val="99"/>
    <w:rsid w:val="003B6678"/>
    <w:rPr>
      <w:rFonts w:cs="Times New Roman"/>
      <w:color w:val="0000FF"/>
      <w:u w:val="single"/>
    </w:rPr>
  </w:style>
  <w:style w:type="paragraph" w:styleId="BalloonText">
    <w:name w:val="Balloon Text"/>
    <w:basedOn w:val="Normal"/>
    <w:link w:val="TextbublinyChar"/>
    <w:uiPriority w:val="99"/>
    <w:semiHidden/>
    <w:rsid w:val="00152DA1"/>
    <w:rPr>
      <w:sz w:val="24"/>
    </w:rPr>
  </w:style>
  <w:style w:type="character" w:customStyle="1" w:styleId="TextbublinyChar">
    <w:name w:val="Text bubliny Char"/>
    <w:basedOn w:val="DefaultParagraphFont"/>
    <w:link w:val="BalloonText"/>
    <w:uiPriority w:val="99"/>
    <w:semiHidden/>
    <w:locked/>
    <w:rsid w:val="00152DA1"/>
    <w:rPr>
      <w:sz w:val="24"/>
      <w:szCs w:val="20"/>
    </w:rPr>
  </w:style>
  <w:style w:type="paragraph" w:customStyle="1" w:styleId="Identifiktory">
    <w:name w:val="Identifikátory"/>
    <w:basedOn w:val="Normal"/>
    <w:qFormat/>
    <w:rsid w:val="00252AA9"/>
    <w:pPr>
      <w:tabs>
        <w:tab w:val="left" w:pos="5670"/>
        <w:tab w:val="left" w:pos="8222"/>
      </w:tabs>
    </w:pPr>
    <w:rPr>
      <w:rFonts w:ascii="Arial" w:hAnsi="Arial" w:cs="Arial"/>
    </w:rPr>
  </w:style>
  <w:style w:type="paragraph" w:customStyle="1" w:styleId="Datumdopisu">
    <w:name w:val="Datum dopisu"/>
    <w:basedOn w:val="Normal"/>
    <w:qFormat/>
    <w:rsid w:val="00252AA9"/>
    <w:pPr>
      <w:tabs>
        <w:tab w:val="left" w:pos="5670"/>
        <w:tab w:val="left" w:pos="8222"/>
      </w:tabs>
      <w:jc w:val="right"/>
    </w:pPr>
    <w:rPr>
      <w:rFonts w:ascii="Arial" w:hAnsi="Arial" w:cs="Arial"/>
      <w:sz w:val="24"/>
      <w:szCs w:val="24"/>
    </w:rPr>
  </w:style>
  <w:style w:type="paragraph" w:customStyle="1" w:styleId="Textdopisu">
    <w:name w:val="Text dopisu"/>
    <w:basedOn w:val="Normal"/>
    <w:qFormat/>
    <w:rsid w:val="00252AA9"/>
    <w:pPr>
      <w:spacing w:after="240"/>
      <w:jc w:val="both"/>
    </w:pPr>
    <w:rPr>
      <w:rFonts w:ascii="Arial" w:hAnsi="Arial" w:cs="Arial"/>
      <w:sz w:val="24"/>
    </w:rPr>
  </w:style>
  <w:style w:type="paragraph" w:customStyle="1" w:styleId="Adrest">
    <w:name w:val="Adresát"/>
    <w:basedOn w:val="Normal"/>
    <w:qFormat/>
    <w:rsid w:val="00661459"/>
    <w:pPr>
      <w:tabs>
        <w:tab w:val="left" w:pos="8272"/>
      </w:tabs>
      <w:jc w:val="both"/>
      <w:outlineLvl w:val="0"/>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5</Pages>
  <Words>1563</Words>
  <Characters>9225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MFCR - Dopis_ministra_se_znakem_barevne</vt:lpstr>
    </vt:vector>
  </TitlesOfParts>
  <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2020-05-19T12:47:00Z</dcterms:created>
</cp:coreProperties>
</file>