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pPr w:leftFromText="141" w:rightFromText="141" w:horzAnchor="margin" w:tblpY="-781"/>
        <w:tblW w:w="9633" w:type="dxa"/>
        <w:tblCellMar>
          <w:left w:w="0" w:type="dxa"/>
          <w:right w:w="0" w:type="dxa"/>
        </w:tblCellMar>
        <w:tblLook w:val="04A0"/>
      </w:tblPr>
      <w:tblGrid>
        <w:gridCol w:w="4637"/>
        <w:gridCol w:w="4996"/>
      </w:tblGrid>
      <w:tr w:rsidTr="00B07229">
        <w:tblPrEx>
          <w:tblW w:w="9633" w:type="dxa"/>
          <w:tblCellMar>
            <w:left w:w="0" w:type="dxa"/>
            <w:right w:w="0" w:type="dxa"/>
          </w:tblCellMar>
          <w:tblLook w:val="04A0"/>
        </w:tblPrEx>
        <w:trPr>
          <w:trHeight w:val="187"/>
        </w:trPr>
        <w:tc>
          <w:tcPr>
            <w:tcW w:w="9633" w:type="dxa"/>
            <w:gridSpan w:val="2"/>
            <w:shd w:val="clear" w:color="auto" w:fill="FFFFFF"/>
            <w:tcMar>
              <w:top w:w="0" w:type="dxa"/>
              <w:left w:w="108" w:type="dxa"/>
              <w:bottom w:w="0" w:type="dxa"/>
              <w:right w:w="108" w:type="dxa"/>
            </w:tcMar>
            <w:vAlign w:val="bottom"/>
          </w:tcPr>
          <w:p w:rsidR="00AF28D7" w:rsidRPr="00810A92" w:rsidP="0087579E">
            <w:pPr>
              <w:keepNext/>
              <w:spacing w:before="120" w:after="120" w:line="240" w:lineRule="auto"/>
              <w:jc w:val="right"/>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VI.</w:t>
            </w:r>
          </w:p>
        </w:tc>
      </w:tr>
      <w:tr w:rsidTr="00B07229">
        <w:tblPrEx>
          <w:tblW w:w="9633" w:type="dxa"/>
          <w:tblCellMar>
            <w:left w:w="0" w:type="dxa"/>
            <w:right w:w="0" w:type="dxa"/>
          </w:tblCellMar>
          <w:tblLook w:val="04A0"/>
        </w:tblPrEx>
        <w:trPr>
          <w:trHeight w:val="187"/>
        </w:trPr>
        <w:tc>
          <w:tcPr>
            <w:tcW w:w="9633" w:type="dxa"/>
            <w:gridSpan w:val="2"/>
            <w:tcBorders>
              <w:bottom w:val="single" w:sz="6" w:space="0" w:color="000000"/>
            </w:tcBorders>
            <w:shd w:val="clear" w:color="auto" w:fill="FFFFFF"/>
            <w:tcMar>
              <w:top w:w="0" w:type="dxa"/>
              <w:left w:w="108" w:type="dxa"/>
              <w:bottom w:w="0" w:type="dxa"/>
              <w:right w:w="108" w:type="dxa"/>
            </w:tcMar>
            <w:vAlign w:val="bottom"/>
            <w:hideMark/>
          </w:tcPr>
          <w:p w:rsidR="00403DFA" w:rsidRPr="00810A92" w:rsidP="0087579E">
            <w:pPr>
              <w:keepNext/>
              <w:spacing w:before="120" w:after="120" w:line="240" w:lineRule="auto"/>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b/>
                <w:bCs/>
                <w:sz w:val="24"/>
                <w:szCs w:val="24"/>
                <w:lang w:val="en-GB" w:eastAsia="cs-CZ"/>
              </w:rPr>
              <w:t> </w:t>
            </w:r>
          </w:p>
          <w:p w:rsidR="00403DFA" w:rsidRPr="00810A92" w:rsidP="0087579E">
            <w:pPr>
              <w:keepNext/>
              <w:spacing w:before="120" w:after="120" w:line="240" w:lineRule="auto"/>
              <w:jc w:val="center"/>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b/>
                <w:bCs/>
                <w:sz w:val="24"/>
                <w:szCs w:val="24"/>
                <w:lang w:val="en-GB" w:eastAsia="cs-CZ"/>
              </w:rPr>
              <w:t>EXECUTIVE SUMMARY OF THE RIA FINAL REPORT</w:t>
            </w:r>
          </w:p>
        </w:tc>
      </w:tr>
      <w:tr w:rsidTr="00B07229">
        <w:tblPrEx>
          <w:tblW w:w="9633" w:type="dxa"/>
          <w:tblCellMar>
            <w:left w:w="0" w:type="dxa"/>
            <w:right w:w="0" w:type="dxa"/>
          </w:tblCellMar>
          <w:tblLook w:val="04A0"/>
        </w:tblPrEx>
        <w:trPr>
          <w:trHeight w:val="187"/>
        </w:trPr>
        <w:tc>
          <w:tcPr>
            <w:tcW w:w="9633" w:type="dxa"/>
            <w:gridSpan w:val="2"/>
            <w:tcBorders>
              <w:top w:val="single" w:sz="6" w:space="0" w:color="000000"/>
              <w:left w:val="single" w:sz="12" w:space="0" w:color="000000"/>
              <w:bottom w:val="single" w:sz="6" w:space="0" w:color="000000"/>
              <w:right w:val="single" w:sz="12" w:space="0" w:color="000000"/>
            </w:tcBorders>
            <w:shd w:val="clear" w:color="auto" w:fill="C6D9F1"/>
            <w:tcMar>
              <w:top w:w="0" w:type="dxa"/>
              <w:left w:w="108" w:type="dxa"/>
              <w:bottom w:w="0" w:type="dxa"/>
              <w:right w:w="108" w:type="dxa"/>
            </w:tcMar>
            <w:vAlign w:val="bottom"/>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VI</w:t>
            </w:r>
            <w:r w:rsidRPr="00810A92">
              <w:rPr>
                <w:rFonts w:ascii="Times New Roman" w:eastAsia="Times New Roman" w:hAnsi="Times New Roman" w:cs="Times New Roman"/>
                <w:sz w:val="24"/>
                <w:szCs w:val="24"/>
                <w:lang w:val="en-GB" w:eastAsia="cs-CZ"/>
              </w:rPr>
              <w:t>1. Basic identification data</w:t>
            </w:r>
          </w:p>
        </w:tc>
      </w:tr>
      <w:tr w:rsidTr="00B07229">
        <w:tblPrEx>
          <w:tblW w:w="9633" w:type="dxa"/>
          <w:tblCellMar>
            <w:left w:w="0" w:type="dxa"/>
            <w:right w:w="0" w:type="dxa"/>
          </w:tblCellMar>
          <w:tblLook w:val="04A0"/>
        </w:tblPrEx>
        <w:trPr>
          <w:trHeight w:val="979"/>
        </w:trPr>
        <w:tc>
          <w:tcPr>
            <w:tcW w:w="9633" w:type="dxa"/>
            <w:gridSpan w:val="2"/>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rsidR="00403DFA" w:rsidRPr="00810A92" w:rsidP="0087579E">
            <w:pPr>
              <w:keepNext/>
              <w:spacing w:before="120" w:after="120" w:line="240" w:lineRule="auto"/>
              <w:jc w:val="center"/>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Title of the proposal: </w:t>
            </w:r>
            <w:r w:rsidR="00FE0ACD">
              <w:rPr>
                <w:rFonts w:ascii="Times New Roman" w:eastAsia="Times New Roman" w:hAnsi="Times New Roman" w:cs="Times New Roman"/>
                <w:sz w:val="24"/>
                <w:szCs w:val="24"/>
                <w:lang w:val="en-GB" w:eastAsia="cs-CZ"/>
              </w:rPr>
              <w:t>Act</w:t>
            </w:r>
            <w:r w:rsidRPr="00810A92">
              <w:rPr>
                <w:rFonts w:ascii="Times New Roman" w:eastAsia="Times New Roman" w:hAnsi="Times New Roman" w:cs="Times New Roman"/>
                <w:sz w:val="24"/>
                <w:szCs w:val="24"/>
                <w:lang w:val="en-GB" w:eastAsia="cs-CZ"/>
              </w:rPr>
              <w:t xml:space="preserve"> amending certain acts in connection with the development of the capital market</w:t>
            </w:r>
          </w:p>
        </w:tc>
      </w:tr>
      <w:tr w:rsidTr="00B07229">
        <w:tblPrEx>
          <w:tblW w:w="9633" w:type="dxa"/>
          <w:tblCellMar>
            <w:left w:w="0" w:type="dxa"/>
            <w:right w:w="0" w:type="dxa"/>
          </w:tblCellMar>
          <w:tblLook w:val="04A0"/>
        </w:tblPrEx>
        <w:trPr>
          <w:trHeight w:val="979"/>
        </w:trPr>
        <w:tc>
          <w:tcPr>
            <w:tcW w:w="463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403DFA" w:rsidRPr="00810A92" w:rsidP="0087579E">
            <w:pPr>
              <w:keepNext/>
              <w:spacing w:before="120" w:after="120" w:line="240" w:lineRule="auto"/>
              <w:jc w:val="center"/>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Processor / representative of the </w:t>
            </w:r>
            <w:r w:rsidR="00FD5BC2">
              <w:rPr>
                <w:rFonts w:ascii="Times New Roman" w:eastAsia="Times New Roman" w:hAnsi="Times New Roman" w:cs="Times New Roman"/>
                <w:sz w:val="24"/>
                <w:szCs w:val="24"/>
                <w:lang w:val="en-GB" w:eastAsia="cs-CZ"/>
              </w:rPr>
              <w:t>submitter</w:t>
            </w:r>
            <w:r w:rsidRPr="00810A92">
              <w:rPr>
                <w:rFonts w:ascii="Times New Roman" w:eastAsia="Times New Roman" w:hAnsi="Times New Roman" w:cs="Times New Roman"/>
                <w:sz w:val="24"/>
                <w:szCs w:val="24"/>
                <w:lang w:val="en-GB" w:eastAsia="cs-CZ"/>
              </w:rPr>
              <w:t xml:space="preserve">: </w:t>
            </w:r>
          </w:p>
          <w:p w:rsidR="00403DFA" w:rsidRPr="00810A92" w:rsidP="0087579E">
            <w:pPr>
              <w:keepNext/>
              <w:spacing w:before="120" w:after="12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Ministry of Finance</w:t>
            </w:r>
          </w:p>
        </w:tc>
        <w:tc>
          <w:tcPr>
            <w:tcW w:w="499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403DFA" w:rsidRPr="00810A92" w:rsidP="0087579E">
            <w:pPr>
              <w:keepNext/>
              <w:spacing w:before="120" w:after="120" w:line="240" w:lineRule="auto"/>
              <w:jc w:val="center"/>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The expected date of entry into </w:t>
            </w:r>
            <w:r w:rsidR="00FD5BC2">
              <w:rPr>
                <w:rFonts w:ascii="Times New Roman" w:eastAsia="Times New Roman" w:hAnsi="Times New Roman" w:cs="Times New Roman"/>
                <w:sz w:val="24"/>
                <w:szCs w:val="24"/>
                <w:lang w:val="en-GB" w:eastAsia="cs-CZ"/>
              </w:rPr>
              <w:t>effect</w:t>
            </w:r>
            <w:r w:rsidRPr="00810A92">
              <w:rPr>
                <w:rFonts w:ascii="Times New Roman" w:eastAsia="Times New Roman" w:hAnsi="Times New Roman" w:cs="Times New Roman"/>
                <w:sz w:val="24"/>
                <w:szCs w:val="24"/>
                <w:lang w:val="en-GB" w:eastAsia="cs-CZ"/>
              </w:rPr>
              <w:t xml:space="preserve">, in the case of split efficiency </w:t>
            </w:r>
            <w:r w:rsidR="00FD5BC2">
              <w:rPr>
                <w:rFonts w:ascii="Times New Roman" w:eastAsia="Times New Roman" w:hAnsi="Times New Roman" w:cs="Times New Roman"/>
                <w:sz w:val="24"/>
                <w:szCs w:val="24"/>
                <w:lang w:val="en-GB" w:eastAsia="cs-CZ"/>
              </w:rPr>
              <w:t>expand</w:t>
            </w:r>
            <w:r w:rsidRPr="00810A92">
              <w:rPr>
                <w:rFonts w:ascii="Times New Roman" w:eastAsia="Times New Roman" w:hAnsi="Times New Roman" w:cs="Times New Roman"/>
                <w:sz w:val="24"/>
                <w:szCs w:val="24"/>
                <w:lang w:val="en-GB" w:eastAsia="cs-CZ"/>
              </w:rPr>
              <w:t> </w:t>
            </w:r>
          </w:p>
          <w:p w:rsidR="00403DFA" w:rsidRPr="00810A92" w:rsidP="0087579E">
            <w:pPr>
              <w:keepNext/>
              <w:spacing w:before="120" w:after="120" w:line="240" w:lineRule="auto"/>
              <w:jc w:val="center"/>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01.2022</w:t>
            </w:r>
          </w:p>
        </w:tc>
      </w:tr>
      <w:tr w:rsidTr="00B07229">
        <w:tblPrEx>
          <w:tblW w:w="9633" w:type="dxa"/>
          <w:tblCellMar>
            <w:left w:w="0" w:type="dxa"/>
            <w:right w:w="0" w:type="dxa"/>
          </w:tblCellMar>
          <w:tblLook w:val="04A0"/>
        </w:tblPrEx>
        <w:trPr>
          <w:trHeight w:val="1080"/>
        </w:trPr>
        <w:tc>
          <w:tcPr>
            <w:tcW w:w="9633" w:type="dxa"/>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Implementation of EU law: No; (if you choose Yes):</w:t>
            </w:r>
          </w:p>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 indicate the deadline for implementation: </w:t>
            </w:r>
            <w:r w:rsidRPr="00810A92">
              <w:rPr>
                <w:rFonts w:ascii="Times New Roman" w:eastAsia="Times New Roman" w:hAnsi="Times New Roman" w:cs="Times New Roman"/>
                <w:i/>
                <w:iCs/>
                <w:sz w:val="24"/>
                <w:szCs w:val="24"/>
                <w:lang w:val="en-GB" w:eastAsia="cs-CZ"/>
              </w:rPr>
              <w:t>-</w:t>
            </w:r>
          </w:p>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indicate whether the proposal goes beyond the requirements set out in the EU regulation</w:t>
            </w:r>
            <w:r w:rsidRPr="00810A92">
              <w:rPr>
                <w:rFonts w:ascii="Times New Roman" w:eastAsia="Times New Roman" w:hAnsi="Times New Roman" w:cs="Times New Roman"/>
                <w:sz w:val="24"/>
                <w:szCs w:val="24"/>
                <w:lang w:val="en-GB" w:eastAsia="cs-CZ"/>
              </w:rPr>
              <w:t>?:</w:t>
            </w:r>
            <w:r w:rsidRPr="00810A92">
              <w:rPr>
                <w:rFonts w:ascii="Times New Roman" w:eastAsia="Times New Roman" w:hAnsi="Times New Roman" w:cs="Times New Roman"/>
                <w:sz w:val="24"/>
                <w:szCs w:val="24"/>
                <w:lang w:val="en-GB" w:eastAsia="cs-CZ"/>
              </w:rPr>
              <w:t xml:space="preserve"> -</w:t>
            </w:r>
          </w:p>
        </w:tc>
      </w:tr>
      <w:tr w:rsidTr="00B07229">
        <w:tblPrEx>
          <w:tblW w:w="9633" w:type="dxa"/>
          <w:tblCellMar>
            <w:left w:w="0" w:type="dxa"/>
            <w:right w:w="0" w:type="dxa"/>
          </w:tblCellMar>
          <w:tblLook w:val="04A0"/>
        </w:tblPrEx>
        <w:tc>
          <w:tcPr>
            <w:tcW w:w="9633" w:type="dxa"/>
            <w:gridSpan w:val="2"/>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2. The aim of the </w:t>
            </w:r>
            <w:r w:rsidR="00FE0ACD">
              <w:rPr>
                <w:rFonts w:ascii="Times New Roman" w:eastAsia="Times New Roman" w:hAnsi="Times New Roman" w:cs="Times New Roman"/>
                <w:sz w:val="24"/>
                <w:szCs w:val="24"/>
                <w:lang w:val="en-GB" w:eastAsia="cs-CZ"/>
              </w:rPr>
              <w:t>act</w:t>
            </w:r>
            <w:r w:rsidRPr="00810A92">
              <w:rPr>
                <w:rFonts w:ascii="Times New Roman" w:eastAsia="Times New Roman" w:hAnsi="Times New Roman" w:cs="Times New Roman"/>
                <w:sz w:val="24"/>
                <w:szCs w:val="24"/>
                <w:lang w:val="en-GB" w:eastAsia="cs-CZ"/>
              </w:rPr>
              <w:t xml:space="preserve"> </w:t>
            </w: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The </w:t>
            </w:r>
            <w:r w:rsidR="00FE0ACD">
              <w:rPr>
                <w:rFonts w:ascii="Times New Roman" w:eastAsia="Times New Roman" w:hAnsi="Times New Roman" w:cs="Times New Roman"/>
                <w:i/>
                <w:iCs/>
                <w:sz w:val="24"/>
                <w:szCs w:val="24"/>
                <w:lang w:val="en-GB" w:eastAsia="cs-CZ"/>
              </w:rPr>
              <w:t>act</w:t>
            </w:r>
            <w:r w:rsidRPr="00810A92">
              <w:rPr>
                <w:rFonts w:ascii="Times New Roman" w:eastAsia="Times New Roman" w:hAnsi="Times New Roman" w:cs="Times New Roman"/>
                <w:i/>
                <w:iCs/>
                <w:sz w:val="24"/>
                <w:szCs w:val="24"/>
                <w:lang w:val="en-GB" w:eastAsia="cs-CZ"/>
              </w:rPr>
              <w:t xml:space="preserve"> aims to implement the legislative measures resulting from the</w:t>
            </w:r>
            <w:r w:rsidR="00254E72">
              <w:rPr>
                <w:rFonts w:ascii="Times New Roman" w:eastAsia="Times New Roman" w:hAnsi="Times New Roman" w:cs="Times New Roman"/>
                <w:i/>
                <w:iCs/>
                <w:sz w:val="24"/>
                <w:szCs w:val="24"/>
                <w:lang w:val="en-GB" w:eastAsia="cs-CZ"/>
              </w:rPr>
              <w:t xml:space="preserve"> </w:t>
            </w:r>
            <w:r w:rsidRPr="00254E72" w:rsidR="00254E72">
              <w:rPr>
                <w:rFonts w:ascii="Times New Roman" w:eastAsia="Times New Roman" w:hAnsi="Times New Roman" w:cs="Times New Roman"/>
                <w:i/>
                <w:iCs/>
                <w:sz w:val="24"/>
                <w:szCs w:val="24"/>
                <w:lang w:val="en-GB" w:eastAsia="cs-CZ"/>
              </w:rPr>
              <w:t>National Strategy for the Development of the Capital Market in the Czech Republic 2019 - 2023</w:t>
            </w:r>
            <w:r w:rsidR="00254E72">
              <w:rPr>
                <w:rFonts w:ascii="Times New Roman" w:eastAsia="Times New Roman" w:hAnsi="Times New Roman" w:cs="Times New Roman"/>
                <w:i/>
                <w:iCs/>
                <w:sz w:val="24"/>
                <w:szCs w:val="24"/>
                <w:lang w:val="en-GB" w:eastAsia="cs-CZ"/>
              </w:rPr>
              <w:t xml:space="preserve"> </w:t>
            </w:r>
            <w:r w:rsidRPr="00810A92">
              <w:rPr>
                <w:rFonts w:ascii="Times New Roman" w:eastAsia="Times New Roman" w:hAnsi="Times New Roman" w:cs="Times New Roman"/>
                <w:i/>
                <w:iCs/>
                <w:sz w:val="24"/>
                <w:szCs w:val="24"/>
                <w:lang w:val="en-GB" w:eastAsia="cs-CZ"/>
              </w:rPr>
              <w:t xml:space="preserve">(hereinafter </w:t>
            </w:r>
            <w:r w:rsidR="00FE0ACD">
              <w:rPr>
                <w:rFonts w:ascii="Times New Roman" w:eastAsia="Times New Roman" w:hAnsi="Times New Roman" w:cs="Times New Roman"/>
                <w:i/>
                <w:iCs/>
                <w:sz w:val="24"/>
                <w:szCs w:val="24"/>
                <w:lang w:val="en-GB" w:eastAsia="cs-CZ"/>
              </w:rPr>
              <w:t xml:space="preserve">also </w:t>
            </w:r>
            <w:r w:rsidRPr="00810A92">
              <w:rPr>
                <w:rFonts w:ascii="Times New Roman" w:eastAsia="Times New Roman" w:hAnsi="Times New Roman" w:cs="Times New Roman"/>
                <w:i/>
                <w:iCs/>
                <w:sz w:val="24"/>
                <w:szCs w:val="24"/>
                <w:lang w:val="en-GB" w:eastAsia="cs-CZ"/>
              </w:rPr>
              <w:t>referred to as the “</w:t>
            </w:r>
            <w:r w:rsidR="00254E72">
              <w:rPr>
                <w:rFonts w:ascii="Times New Roman" w:eastAsia="Times New Roman" w:hAnsi="Times New Roman" w:cs="Times New Roman"/>
                <w:i/>
                <w:iCs/>
                <w:sz w:val="24"/>
                <w:szCs w:val="24"/>
                <w:lang w:val="en-GB" w:eastAsia="cs-CZ"/>
              </w:rPr>
              <w:t>Strategy</w:t>
            </w:r>
            <w:r w:rsidRPr="00810A92">
              <w:rPr>
                <w:rFonts w:ascii="Times New Roman" w:eastAsia="Times New Roman" w:hAnsi="Times New Roman" w:cs="Times New Roman"/>
                <w:i/>
                <w:iCs/>
                <w:sz w:val="24"/>
                <w:szCs w:val="24"/>
                <w:lang w:val="en-GB" w:eastAsia="cs-CZ"/>
              </w:rPr>
              <w:t xml:space="preserve">”). The </w:t>
            </w:r>
            <w:r w:rsidR="00254E72">
              <w:rPr>
                <w:rFonts w:ascii="Times New Roman" w:eastAsia="Times New Roman" w:hAnsi="Times New Roman" w:cs="Times New Roman"/>
                <w:i/>
                <w:iCs/>
                <w:sz w:val="24"/>
                <w:szCs w:val="24"/>
                <w:lang w:val="en-GB" w:eastAsia="cs-CZ"/>
              </w:rPr>
              <w:t>Strategy</w:t>
            </w:r>
            <w:r w:rsidRPr="00810A92">
              <w:rPr>
                <w:rFonts w:ascii="Times New Roman" w:eastAsia="Times New Roman" w:hAnsi="Times New Roman" w:cs="Times New Roman"/>
                <w:i/>
                <w:iCs/>
                <w:sz w:val="24"/>
                <w:szCs w:val="24"/>
                <w:lang w:val="en-GB" w:eastAsia="cs-CZ"/>
              </w:rPr>
              <w:t xml:space="preserve"> is a non-legislative document approved by the Government of the Czech Republic at its meeting on 4 March 2019 (Resolution No. 156).</w:t>
            </w:r>
            <w:r w:rsidR="0087579E">
              <w:rPr>
                <w:rFonts w:ascii="Times New Roman" w:eastAsia="Times New Roman" w:hAnsi="Times New Roman" w:cs="Times New Roman"/>
                <w:i/>
                <w:iCs/>
                <w:sz w:val="24"/>
                <w:szCs w:val="24"/>
                <w:lang w:val="en-GB" w:eastAsia="cs-CZ"/>
              </w:rPr>
              <w:t xml:space="preserve"> </w:t>
            </w:r>
          </w:p>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The </w:t>
            </w:r>
            <w:r w:rsidR="00254E72">
              <w:rPr>
                <w:rFonts w:ascii="Times New Roman" w:eastAsia="Times New Roman" w:hAnsi="Times New Roman" w:cs="Times New Roman"/>
                <w:i/>
                <w:iCs/>
                <w:sz w:val="24"/>
                <w:szCs w:val="24"/>
                <w:lang w:val="en-GB" w:eastAsia="cs-CZ"/>
              </w:rPr>
              <w:t>Strategy</w:t>
            </w:r>
            <w:r w:rsidRPr="00810A92">
              <w:rPr>
                <w:rFonts w:ascii="Times New Roman" w:eastAsia="Times New Roman" w:hAnsi="Times New Roman" w:cs="Times New Roman"/>
                <w:i/>
                <w:iCs/>
                <w:sz w:val="24"/>
                <w:szCs w:val="24"/>
                <w:lang w:val="en-GB" w:eastAsia="cs-CZ"/>
              </w:rPr>
              <w:t xml:space="preserve"> contains 27 areas that need to be revised and 34 measures of a legislative and non-legislative nature are proposed for their implementation. The </w:t>
            </w:r>
            <w:r w:rsidR="00FE0ACD">
              <w:rPr>
                <w:rFonts w:ascii="Times New Roman" w:eastAsia="Times New Roman" w:hAnsi="Times New Roman" w:cs="Times New Roman"/>
                <w:i/>
                <w:iCs/>
                <w:sz w:val="24"/>
                <w:szCs w:val="24"/>
                <w:lang w:val="en-GB" w:eastAsia="cs-CZ"/>
              </w:rPr>
              <w:t>act</w:t>
            </w:r>
            <w:r w:rsidRPr="00810A92">
              <w:rPr>
                <w:rFonts w:ascii="Times New Roman" w:eastAsia="Times New Roman" w:hAnsi="Times New Roman" w:cs="Times New Roman"/>
                <w:i/>
                <w:iCs/>
                <w:sz w:val="24"/>
                <w:szCs w:val="24"/>
                <w:lang w:val="en-GB" w:eastAsia="cs-CZ"/>
              </w:rPr>
              <w:t xml:space="preserve"> will focus on legislative measures that require amendment of the law. At the same time, the proposed amendment is in line with the </w:t>
            </w:r>
            <w:r w:rsidRPr="007F5A68" w:rsidR="007F5A68">
              <w:rPr>
                <w:rFonts w:ascii="Times New Roman" w:eastAsia="Times New Roman" w:hAnsi="Times New Roman" w:cs="Times New Roman"/>
                <w:i/>
                <w:iCs/>
                <w:sz w:val="24"/>
                <w:szCs w:val="24"/>
                <w:lang w:val="en-GB" w:eastAsia="cs-CZ"/>
              </w:rPr>
              <w:t>Policy Statement of the Government of the Czech Republic</w:t>
            </w:r>
            <w:r w:rsidRPr="00810A92">
              <w:rPr>
                <w:rFonts w:ascii="Times New Roman" w:eastAsia="Times New Roman" w:hAnsi="Times New Roman" w:cs="Times New Roman"/>
                <w:i/>
                <w:iCs/>
                <w:sz w:val="24"/>
                <w:szCs w:val="24"/>
                <w:lang w:val="en-GB" w:eastAsia="cs-CZ"/>
              </w:rPr>
              <w:t>, which states, inter alia: “We will support the development of the financial market and strengthen its resilience. We will also focus on protecting the rights of consumers of financial services and developing financial education.</w:t>
            </w:r>
            <w:r w:rsidRPr="00810A92">
              <w:rPr>
                <w:rFonts w:ascii="Times New Roman" w:eastAsia="Times New Roman" w:hAnsi="Times New Roman" w:cs="Times New Roman"/>
                <w:i/>
                <w:iCs/>
                <w:sz w:val="24"/>
                <w:szCs w:val="24"/>
                <w:lang w:val="en-GB" w:eastAsia="cs-CZ"/>
              </w:rPr>
              <w:t>”.</w:t>
            </w: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12"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 Aggregated impacts of the </w:t>
            </w:r>
            <w:r w:rsidR="00FE0ACD">
              <w:rPr>
                <w:rFonts w:ascii="Times New Roman" w:eastAsia="Times New Roman" w:hAnsi="Times New Roman" w:cs="Times New Roman"/>
                <w:sz w:val="24"/>
                <w:szCs w:val="24"/>
                <w:lang w:val="en-GB" w:eastAsia="cs-CZ"/>
              </w:rPr>
              <w:t>act</w:t>
            </w: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3.1 Impacts on the state budget and other public budgets: </w:t>
            </w:r>
            <w:r w:rsidR="000B144C">
              <w:rPr>
                <w:rFonts w:ascii="Times New Roman" w:eastAsia="Times New Roman" w:hAnsi="Times New Roman" w:cs="Times New Roman"/>
                <w:sz w:val="24"/>
                <w:szCs w:val="24"/>
                <w:lang w:val="en-GB" w:eastAsia="cs-CZ"/>
              </w:rPr>
              <w:t>Yes</w:t>
            </w: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after="0" w:line="240" w:lineRule="auto"/>
              <w:rPr>
                <w:rFonts w:ascii="Times New Roman" w:eastAsia="Times New Roman" w:hAnsi="Times New Roman" w:cs="Times New Roman"/>
                <w:sz w:val="24"/>
                <w:szCs w:val="24"/>
                <w:lang w:val="en-GB" w:eastAsia="cs-CZ"/>
              </w:rPr>
            </w:pP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The introduction of tax support for the </w:t>
            </w:r>
            <w:r w:rsidR="008F46DE">
              <w:rPr>
                <w:rFonts w:ascii="Times New Roman" w:eastAsia="Times New Roman" w:hAnsi="Times New Roman" w:cs="Times New Roman"/>
                <w:i/>
                <w:iCs/>
                <w:sz w:val="24"/>
                <w:szCs w:val="24"/>
                <w:lang w:val="en-GB" w:eastAsia="cs-CZ"/>
              </w:rPr>
              <w:t>Long-Term Investment Account</w:t>
            </w:r>
            <w:r w:rsidRPr="00810A92">
              <w:rPr>
                <w:rFonts w:ascii="Times New Roman" w:eastAsia="Times New Roman" w:hAnsi="Times New Roman" w:cs="Times New Roman"/>
                <w:i/>
                <w:iCs/>
                <w:sz w:val="24"/>
                <w:szCs w:val="24"/>
                <w:lang w:val="en-GB" w:eastAsia="cs-CZ"/>
              </w:rPr>
              <w:t xml:space="preserve"> will have a negative impact on the national collection of personal income tax.</w:t>
            </w:r>
          </w:p>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With regard to the extension of the Financial </w:t>
            </w:r>
            <w:r w:rsidR="0044192E">
              <w:rPr>
                <w:rFonts w:ascii="Times New Roman" w:eastAsia="Times New Roman" w:hAnsi="Times New Roman" w:cs="Times New Roman"/>
                <w:i/>
                <w:iCs/>
                <w:sz w:val="24"/>
                <w:szCs w:val="24"/>
                <w:lang w:val="en-GB" w:eastAsia="cs-CZ"/>
              </w:rPr>
              <w:t>Arbitrator</w:t>
            </w:r>
            <w:r w:rsidRPr="00810A92">
              <w:rPr>
                <w:rFonts w:ascii="Times New Roman" w:eastAsia="Times New Roman" w:hAnsi="Times New Roman" w:cs="Times New Roman"/>
                <w:i/>
                <w:iCs/>
                <w:sz w:val="24"/>
                <w:szCs w:val="24"/>
                <w:lang w:val="en-GB" w:eastAsia="cs-CZ"/>
              </w:rPr>
              <w:t xml:space="preserve">'s material scope in relation to the </w:t>
            </w:r>
            <w:r w:rsidR="008F46DE">
              <w:rPr>
                <w:rFonts w:ascii="Times New Roman" w:eastAsia="Times New Roman" w:hAnsi="Times New Roman" w:cs="Times New Roman"/>
                <w:i/>
                <w:iCs/>
                <w:sz w:val="24"/>
                <w:szCs w:val="24"/>
                <w:lang w:val="en-GB" w:eastAsia="cs-CZ"/>
              </w:rPr>
              <w:t>Long-Term Investment Account</w:t>
            </w:r>
            <w:r w:rsidRPr="00810A92">
              <w:rPr>
                <w:rFonts w:ascii="Times New Roman" w:eastAsia="Times New Roman" w:hAnsi="Times New Roman" w:cs="Times New Roman"/>
                <w:i/>
                <w:iCs/>
                <w:sz w:val="24"/>
                <w:szCs w:val="24"/>
                <w:lang w:val="en-GB" w:eastAsia="cs-CZ"/>
              </w:rPr>
              <w:t xml:space="preserve">, the proposal to introduce this institute into the legal order may entail negative costs for the Financial </w:t>
            </w:r>
            <w:r w:rsidR="0044192E">
              <w:rPr>
                <w:rFonts w:ascii="Times New Roman" w:eastAsia="Times New Roman" w:hAnsi="Times New Roman" w:cs="Times New Roman"/>
                <w:i/>
                <w:iCs/>
                <w:sz w:val="24"/>
                <w:szCs w:val="24"/>
                <w:lang w:val="en-GB" w:eastAsia="cs-CZ"/>
              </w:rPr>
              <w:t>Arbitrator</w:t>
            </w:r>
            <w:r w:rsidRPr="00810A92">
              <w:rPr>
                <w:rFonts w:ascii="Times New Roman" w:eastAsia="Times New Roman" w:hAnsi="Times New Roman" w:cs="Times New Roman"/>
                <w:i/>
                <w:iCs/>
                <w:sz w:val="24"/>
                <w:szCs w:val="24"/>
                <w:lang w:val="en-GB" w:eastAsia="cs-CZ"/>
              </w:rPr>
              <w:t>, or public budgets.</w:t>
            </w:r>
          </w:p>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In some cases, the proposed legislation may entail increased costs for the CNB.</w:t>
            </w:r>
          </w:p>
        </w:tc>
      </w:tr>
      <w:tr w:rsidTr="00B07229">
        <w:tblPrEx>
          <w:tblW w:w="9633" w:type="dxa"/>
          <w:tblCellMar>
            <w:left w:w="0" w:type="dxa"/>
            <w:right w:w="0" w:type="dxa"/>
          </w:tblCellMar>
          <w:tblLook w:val="04A0"/>
        </w:tblPrEx>
        <w:tc>
          <w:tcPr>
            <w:tcW w:w="9633" w:type="dxa"/>
            <w:gridSpan w:val="2"/>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3.2 Impacts on the Czech Republic's </w:t>
            </w:r>
            <w:r w:rsidR="001C212E">
              <w:rPr>
                <w:rFonts w:ascii="Times New Roman" w:eastAsia="Times New Roman" w:hAnsi="Times New Roman" w:cs="Times New Roman"/>
                <w:sz w:val="24"/>
                <w:szCs w:val="24"/>
                <w:lang w:val="en-GB" w:eastAsia="cs-CZ"/>
              </w:rPr>
              <w:t>i</w:t>
            </w:r>
            <w:r w:rsidRPr="00810A92">
              <w:rPr>
                <w:rFonts w:ascii="Times New Roman" w:eastAsia="Times New Roman" w:hAnsi="Times New Roman" w:cs="Times New Roman"/>
                <w:sz w:val="24"/>
                <w:szCs w:val="24"/>
                <w:lang w:val="en-GB" w:eastAsia="cs-CZ"/>
              </w:rPr>
              <w:t xml:space="preserve">nternational </w:t>
            </w:r>
            <w:r w:rsidR="001C212E">
              <w:rPr>
                <w:rFonts w:ascii="Times New Roman" w:eastAsia="Times New Roman" w:hAnsi="Times New Roman" w:cs="Times New Roman"/>
                <w:sz w:val="24"/>
                <w:szCs w:val="24"/>
                <w:lang w:val="en-GB" w:eastAsia="cs-CZ"/>
              </w:rPr>
              <w:t>c</w:t>
            </w:r>
            <w:r w:rsidRPr="00810A92">
              <w:rPr>
                <w:rFonts w:ascii="Times New Roman" w:eastAsia="Times New Roman" w:hAnsi="Times New Roman" w:cs="Times New Roman"/>
                <w:sz w:val="24"/>
                <w:szCs w:val="24"/>
                <w:lang w:val="en-GB" w:eastAsia="cs-CZ"/>
              </w:rPr>
              <w:t>ompetitiveness: Yes</w:t>
            </w: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International competitiveness is expected to increase as the capital market is expected to evolve under this amendment through modernization and addressing the shortcomings of the existing </w:t>
            </w:r>
            <w:r w:rsidRPr="00810A92">
              <w:rPr>
                <w:rFonts w:ascii="Times New Roman" w:eastAsia="Times New Roman" w:hAnsi="Times New Roman" w:cs="Times New Roman"/>
                <w:i/>
                <w:iCs/>
                <w:sz w:val="24"/>
                <w:szCs w:val="24"/>
                <w:lang w:val="en-GB" w:eastAsia="cs-CZ"/>
              </w:rPr>
              <w:t xml:space="preserve">legislation. In accordance with the </w:t>
            </w:r>
            <w:r w:rsidR="00254E72">
              <w:rPr>
                <w:rFonts w:ascii="Times New Roman" w:eastAsia="Times New Roman" w:hAnsi="Times New Roman" w:cs="Times New Roman"/>
                <w:i/>
                <w:iCs/>
                <w:sz w:val="24"/>
                <w:szCs w:val="24"/>
                <w:lang w:val="en-GB" w:eastAsia="cs-CZ"/>
              </w:rPr>
              <w:t>Strategy</w:t>
            </w:r>
            <w:r w:rsidRPr="00810A92">
              <w:rPr>
                <w:rFonts w:ascii="Times New Roman" w:eastAsia="Times New Roman" w:hAnsi="Times New Roman" w:cs="Times New Roman"/>
                <w:i/>
                <w:iCs/>
                <w:sz w:val="24"/>
                <w:szCs w:val="24"/>
                <w:lang w:val="en-GB" w:eastAsia="cs-CZ"/>
              </w:rPr>
              <w:t>, the proposed legislative solutions are intended to help develop and make the capital market environment more attractive in the Czech Republic.</w:t>
            </w:r>
            <w:r w:rsidR="0087579E">
              <w:rPr>
                <w:rFonts w:ascii="Times New Roman" w:eastAsia="Times New Roman" w:hAnsi="Times New Roman" w:cs="Times New Roman"/>
                <w:i/>
                <w:iCs/>
                <w:sz w:val="24"/>
                <w:szCs w:val="24"/>
                <w:lang w:val="en-GB" w:eastAsia="cs-CZ"/>
              </w:rPr>
              <w:t xml:space="preserve"> </w:t>
            </w:r>
          </w:p>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For example, the new sub-funds for </w:t>
            </w:r>
            <w:r w:rsidR="00254E72">
              <w:rPr>
                <w:rFonts w:ascii="Times New Roman" w:eastAsia="Times New Roman" w:hAnsi="Times New Roman" w:cs="Times New Roman"/>
                <w:i/>
                <w:iCs/>
                <w:sz w:val="24"/>
                <w:szCs w:val="24"/>
                <w:lang w:val="en-GB" w:eastAsia="cs-CZ"/>
              </w:rPr>
              <w:t>joint</w:t>
            </w:r>
            <w:r w:rsidR="00B07229">
              <w:rPr>
                <w:rFonts w:ascii="Times New Roman" w:eastAsia="Times New Roman" w:hAnsi="Times New Roman" w:cs="Times New Roman"/>
                <w:i/>
                <w:iCs/>
                <w:sz w:val="24"/>
                <w:szCs w:val="24"/>
                <w:lang w:val="en-GB" w:eastAsia="cs-CZ"/>
              </w:rPr>
              <w:t xml:space="preserve"> </w:t>
            </w:r>
            <w:r w:rsidR="00254E72">
              <w:rPr>
                <w:rFonts w:ascii="Times New Roman" w:eastAsia="Times New Roman" w:hAnsi="Times New Roman" w:cs="Times New Roman"/>
                <w:i/>
                <w:iCs/>
                <w:sz w:val="24"/>
                <w:szCs w:val="24"/>
                <w:lang w:val="en-GB" w:eastAsia="cs-CZ"/>
              </w:rPr>
              <w:t xml:space="preserve">stock </w:t>
            </w:r>
            <w:r w:rsidRPr="00254E72" w:rsidR="00254E72">
              <w:rPr>
                <w:rFonts w:ascii="Times New Roman" w:eastAsia="Times New Roman" w:hAnsi="Times New Roman" w:cs="Times New Roman"/>
                <w:i/>
                <w:iCs/>
                <w:sz w:val="24"/>
                <w:szCs w:val="24"/>
                <w:lang w:val="en-GB" w:eastAsia="cs-CZ"/>
              </w:rPr>
              <w:t>companies</w:t>
            </w:r>
            <w:r w:rsidRPr="00254E72">
              <w:rPr>
                <w:rFonts w:ascii="Times New Roman" w:eastAsia="Times New Roman" w:hAnsi="Times New Roman" w:cs="Times New Roman"/>
                <w:i/>
                <w:iCs/>
                <w:sz w:val="24"/>
                <w:szCs w:val="24"/>
                <w:lang w:val="en-GB" w:eastAsia="cs-CZ"/>
              </w:rPr>
              <w:t xml:space="preserve"> and KSIL have</w:t>
            </w:r>
            <w:r w:rsidRPr="00810A92">
              <w:rPr>
                <w:rFonts w:ascii="Times New Roman" w:eastAsia="Times New Roman" w:hAnsi="Times New Roman" w:cs="Times New Roman"/>
                <w:i/>
                <w:iCs/>
                <w:sz w:val="24"/>
                <w:szCs w:val="24"/>
                <w:lang w:val="en-GB" w:eastAsia="cs-CZ"/>
              </w:rPr>
              <w:t xml:space="preserve"> as their primary objective to increase the competitiveness of the Czech capital market.</w:t>
            </w:r>
          </w:p>
        </w:tc>
      </w:tr>
      <w:tr w:rsidTr="00B07229">
        <w:tblPrEx>
          <w:tblW w:w="9633" w:type="dxa"/>
          <w:tblCellMar>
            <w:left w:w="0" w:type="dxa"/>
            <w:right w:w="0" w:type="dxa"/>
          </w:tblCellMar>
          <w:tblLook w:val="04A0"/>
        </w:tblPrEx>
        <w:tc>
          <w:tcPr>
            <w:tcW w:w="9633" w:type="dxa"/>
            <w:gridSpan w:val="2"/>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3.3 Impacts on the business environment: Yes</w:t>
            </w:r>
          </w:p>
        </w:tc>
      </w:tr>
      <w:tr w:rsidTr="00B07229">
        <w:tblPrEx>
          <w:tblW w:w="9633" w:type="dxa"/>
          <w:tblCellMar>
            <w:left w:w="0" w:type="dxa"/>
            <w:right w:w="0" w:type="dxa"/>
          </w:tblCellMar>
          <w:tblLook w:val="04A0"/>
        </w:tblPrEx>
        <w:trPr>
          <w:trHeight w:val="369"/>
        </w:trPr>
        <w:tc>
          <w:tcPr>
            <w:tcW w:w="9633" w:type="dxa"/>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The proposed legislation should predominantly have a positive impact on the business environment, consisting in the development of the capital market.</w:t>
            </w:r>
            <w:r w:rsidR="0087579E">
              <w:rPr>
                <w:rFonts w:ascii="Times New Roman" w:eastAsia="Times New Roman" w:hAnsi="Times New Roman" w:cs="Times New Roman"/>
                <w:i/>
                <w:iCs/>
                <w:sz w:val="24"/>
                <w:szCs w:val="24"/>
                <w:lang w:val="en-GB" w:eastAsia="cs-CZ"/>
              </w:rPr>
              <w:t xml:space="preserve"> </w:t>
            </w:r>
          </w:p>
        </w:tc>
      </w:tr>
      <w:tr w:rsidTr="00B07229">
        <w:tblPrEx>
          <w:tblW w:w="9633" w:type="dxa"/>
          <w:tblCellMar>
            <w:left w:w="0" w:type="dxa"/>
            <w:right w:w="0" w:type="dxa"/>
          </w:tblCellMar>
          <w:tblLook w:val="04A0"/>
        </w:tblPrEx>
        <w:tc>
          <w:tcPr>
            <w:tcW w:w="9633" w:type="dxa"/>
            <w:gridSpan w:val="2"/>
            <w:tcBorders>
              <w:top w:val="single" w:sz="6"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keepNext/>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3.4 Impacts on territorial self-governing units (municipalities, regions): </w:t>
            </w:r>
            <w:r w:rsidR="009661E2">
              <w:rPr>
                <w:rFonts w:ascii="Times New Roman" w:eastAsia="Times New Roman" w:hAnsi="Times New Roman" w:cs="Times New Roman"/>
                <w:sz w:val="24"/>
                <w:szCs w:val="24"/>
                <w:lang w:val="en-GB" w:eastAsia="cs-CZ"/>
              </w:rPr>
              <w:t>Yes</w:t>
            </w:r>
          </w:p>
        </w:tc>
      </w:tr>
    </w:tbl>
    <w:tbl>
      <w:tblPr>
        <w:tblW w:w="9980" w:type="dxa"/>
        <w:tblInd w:w="-15" w:type="dxa"/>
        <w:tblCellMar>
          <w:left w:w="0" w:type="dxa"/>
          <w:right w:w="0" w:type="dxa"/>
        </w:tblCellMar>
        <w:tblLook w:val="04A0"/>
      </w:tblPr>
      <w:tblGrid>
        <w:gridCol w:w="9639"/>
        <w:gridCol w:w="341"/>
      </w:tblGrid>
      <w:tr w:rsidTr="0087579E">
        <w:tblPrEx>
          <w:tblW w:w="9980" w:type="dxa"/>
          <w:tblInd w:w="-15" w:type="dxa"/>
          <w:tblCellMar>
            <w:left w:w="0" w:type="dxa"/>
            <w:right w:w="0" w:type="dxa"/>
          </w:tblCellMar>
          <w:tblLook w:val="04A0"/>
        </w:tblPrEx>
        <w:trPr>
          <w:gridAfter w:val="1"/>
          <w:wAfter w:w="341" w:type="dxa"/>
        </w:trPr>
        <w:tc>
          <w:tcPr>
            <w:tcW w:w="9639" w:type="dxa"/>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i/>
                <w:iCs/>
                <w:sz w:val="24"/>
                <w:szCs w:val="24"/>
                <w:lang w:val="en-GB" w:eastAsia="cs-CZ"/>
              </w:rPr>
              <w:t>The p</w:t>
            </w:r>
            <w:r w:rsidRPr="00810A92">
              <w:rPr>
                <w:rFonts w:ascii="Times New Roman" w:eastAsia="Times New Roman" w:hAnsi="Times New Roman" w:cs="Times New Roman"/>
                <w:i/>
                <w:iCs/>
                <w:sz w:val="24"/>
                <w:szCs w:val="24"/>
                <w:lang w:val="en-GB" w:eastAsia="cs-CZ"/>
              </w:rPr>
              <w:t>ropose</w:t>
            </w:r>
            <w:r>
              <w:rPr>
                <w:rFonts w:ascii="Times New Roman" w:eastAsia="Times New Roman" w:hAnsi="Times New Roman" w:cs="Times New Roman"/>
                <w:i/>
                <w:iCs/>
                <w:sz w:val="24"/>
                <w:szCs w:val="24"/>
                <w:lang w:val="en-GB" w:eastAsia="cs-CZ"/>
              </w:rPr>
              <w:t xml:space="preserve">d </w:t>
            </w:r>
            <w:r w:rsidRPr="00810A92">
              <w:rPr>
                <w:rFonts w:ascii="Times New Roman" w:eastAsia="Times New Roman" w:hAnsi="Times New Roman" w:cs="Times New Roman"/>
                <w:i/>
                <w:iCs/>
                <w:sz w:val="24"/>
                <w:szCs w:val="24"/>
                <w:lang w:val="en-GB" w:eastAsia="cs-CZ"/>
              </w:rPr>
              <w:t xml:space="preserve">legislation should have </w:t>
            </w:r>
            <w:r>
              <w:rPr>
                <w:rFonts w:ascii="Times New Roman" w:eastAsia="Times New Roman" w:hAnsi="Times New Roman" w:cs="Times New Roman"/>
                <w:i/>
                <w:iCs/>
                <w:sz w:val="24"/>
                <w:szCs w:val="24"/>
                <w:lang w:val="en-GB" w:eastAsia="cs-CZ"/>
              </w:rPr>
              <w:t>certain impacts</w:t>
            </w:r>
            <w:r w:rsidRPr="00810A92">
              <w:rPr>
                <w:rFonts w:ascii="Times New Roman" w:eastAsia="Times New Roman" w:hAnsi="Times New Roman" w:cs="Times New Roman"/>
                <w:i/>
                <w:iCs/>
                <w:sz w:val="24"/>
                <w:szCs w:val="24"/>
                <w:lang w:val="en-GB" w:eastAsia="cs-CZ"/>
              </w:rPr>
              <w:t xml:space="preserve"> in relation to the proposed supervisory responsibilities of regional business offices in connection with the change of </w:t>
            </w:r>
            <w:r w:rsidRPr="00C67FEB">
              <w:rPr>
                <w:rFonts w:ascii="Times New Roman" w:eastAsia="Times New Roman" w:hAnsi="Times New Roman" w:cs="Times New Roman"/>
                <w:i/>
                <w:iCs/>
                <w:sz w:val="24"/>
                <w:szCs w:val="24"/>
                <w:lang w:val="en-GB" w:eastAsia="cs-CZ"/>
              </w:rPr>
              <w:t>the Advertising Act.</w:t>
            </w:r>
            <w:r w:rsidR="0087579E">
              <w:rPr>
                <w:rFonts w:ascii="Times New Roman" w:eastAsia="Times New Roman" w:hAnsi="Times New Roman" w:cs="Times New Roman"/>
                <w:i/>
                <w:iCs/>
                <w:sz w:val="24"/>
                <w:szCs w:val="24"/>
                <w:lang w:val="en-GB" w:eastAsia="cs-CZ"/>
              </w:rPr>
              <w:t xml:space="preserve"> </w:t>
            </w:r>
          </w:p>
        </w:tc>
      </w:tr>
      <w:tr w:rsidTr="0087579E">
        <w:tblPrEx>
          <w:tblW w:w="9980" w:type="dxa"/>
          <w:tblInd w:w="-15" w:type="dxa"/>
          <w:tblCellMar>
            <w:left w:w="0" w:type="dxa"/>
            <w:right w:w="0" w:type="dxa"/>
          </w:tblCellMar>
          <w:tblLook w:val="04A0"/>
        </w:tblPrEx>
        <w:trPr>
          <w:gridAfter w:val="1"/>
          <w:wAfter w:w="341" w:type="dxa"/>
        </w:trPr>
        <w:tc>
          <w:tcPr>
            <w:tcW w:w="9639" w:type="dxa"/>
            <w:tcBorders>
              <w:top w:val="single" w:sz="6"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3.5 Social impacts: </w:t>
            </w:r>
            <w:r w:rsidR="009661E2">
              <w:rPr>
                <w:rFonts w:ascii="Times New Roman" w:eastAsia="Times New Roman" w:hAnsi="Times New Roman" w:cs="Times New Roman"/>
                <w:sz w:val="24"/>
                <w:szCs w:val="24"/>
                <w:lang w:val="en-GB" w:eastAsia="cs-CZ"/>
              </w:rPr>
              <w:t>Yes</w:t>
            </w:r>
          </w:p>
        </w:tc>
      </w:tr>
      <w:tr w:rsidTr="0087579E">
        <w:tblPrEx>
          <w:tblW w:w="9980" w:type="dxa"/>
          <w:tblInd w:w="-15" w:type="dxa"/>
          <w:tblCellMar>
            <w:left w:w="0" w:type="dxa"/>
            <w:right w:w="0" w:type="dxa"/>
          </w:tblCellMar>
          <w:tblLook w:val="04A0"/>
        </w:tblPrEx>
        <w:trPr>
          <w:gridAfter w:val="1"/>
          <w:wAfter w:w="341" w:type="dxa"/>
        </w:trPr>
        <w:tc>
          <w:tcPr>
            <w:tcW w:w="9639" w:type="dxa"/>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 xml:space="preserve">The proposed adjustments to the </w:t>
            </w:r>
            <w:r w:rsidR="008F46DE">
              <w:rPr>
                <w:rFonts w:ascii="Times New Roman" w:eastAsia="Times New Roman" w:hAnsi="Times New Roman" w:cs="Times New Roman"/>
                <w:i/>
                <w:iCs/>
                <w:sz w:val="24"/>
                <w:szCs w:val="24"/>
                <w:lang w:val="en-GB" w:eastAsia="cs-CZ"/>
              </w:rPr>
              <w:t>Long-Term Investment Account</w:t>
            </w:r>
            <w:r w:rsidRPr="00810A92">
              <w:rPr>
                <w:rFonts w:ascii="Times New Roman" w:eastAsia="Times New Roman" w:hAnsi="Times New Roman" w:cs="Times New Roman"/>
                <w:i/>
                <w:iCs/>
                <w:sz w:val="24"/>
                <w:szCs w:val="24"/>
                <w:lang w:val="en-GB" w:eastAsia="cs-CZ"/>
              </w:rPr>
              <w:t xml:space="preserve"> and the adjustment of the new alternative fund should have a positive impact on the savings of Czech households.</w:t>
            </w:r>
          </w:p>
        </w:tc>
      </w:tr>
      <w:tr w:rsidTr="0087579E">
        <w:tblPrEx>
          <w:tblW w:w="9980" w:type="dxa"/>
          <w:tblInd w:w="-15" w:type="dxa"/>
          <w:tblCellMar>
            <w:left w:w="0" w:type="dxa"/>
            <w:right w:w="0" w:type="dxa"/>
          </w:tblCellMar>
          <w:tblLook w:val="04A0"/>
        </w:tblPrEx>
        <w:trPr>
          <w:gridAfter w:val="1"/>
          <w:wAfter w:w="341" w:type="dxa"/>
        </w:trPr>
        <w:tc>
          <w:tcPr>
            <w:tcW w:w="9639" w:type="dxa"/>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3.6 Impact on consumers: Yes</w:t>
            </w:r>
          </w:p>
        </w:tc>
      </w:tr>
      <w:tr w:rsidTr="0087579E">
        <w:tblPrEx>
          <w:tblW w:w="9980" w:type="dxa"/>
          <w:tblInd w:w="-15" w:type="dxa"/>
          <w:tblCellMar>
            <w:left w:w="0" w:type="dxa"/>
            <w:right w:w="0" w:type="dxa"/>
          </w:tblCellMar>
          <w:tblLook w:val="04A0"/>
        </w:tblPrEx>
        <w:trPr>
          <w:gridAfter w:val="1"/>
          <w:wAfter w:w="341" w:type="dxa"/>
        </w:trPr>
        <w:tc>
          <w:tcPr>
            <w:tcW w:w="9639" w:type="dxa"/>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C67FEB"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proposed legislation should not have any negative impact on consumers. The protection of retail investors should not be reduced by this proposal.</w:t>
            </w:r>
            <w:r w:rsidRPr="00C67FEB" w:rsidR="000B144C">
              <w:rPr>
                <w:rFonts w:ascii="Times New Roman" w:eastAsia="Times New Roman" w:hAnsi="Times New Roman" w:cs="Times New Roman"/>
                <w:i/>
                <w:iCs/>
                <w:sz w:val="24"/>
                <w:szCs w:val="24"/>
                <w:lang w:val="en-GB" w:eastAsia="cs-CZ"/>
              </w:rPr>
              <w:t xml:space="preserve"> Also</w:t>
            </w:r>
            <w:r w:rsidRPr="00C67FEB">
              <w:rPr>
                <w:rFonts w:ascii="Times New Roman" w:eastAsia="Times New Roman" w:hAnsi="Times New Roman" w:cs="Times New Roman"/>
                <w:i/>
                <w:iCs/>
                <w:sz w:val="24"/>
                <w:szCs w:val="24"/>
                <w:lang w:val="en-GB" w:eastAsia="cs-CZ"/>
              </w:rPr>
              <w:t xml:space="preserve"> </w:t>
            </w:r>
            <w:r w:rsidR="00B07229">
              <w:rPr>
                <w:rFonts w:ascii="Times New Roman" w:eastAsia="Times New Roman" w:hAnsi="Times New Roman" w:cs="Times New Roman"/>
                <w:i/>
                <w:iCs/>
                <w:sz w:val="24"/>
                <w:szCs w:val="24"/>
                <w:lang w:val="en-GB" w:eastAsia="cs-CZ"/>
              </w:rPr>
              <w:t>the regulation</w:t>
            </w:r>
            <w:r w:rsidRPr="00C67FEB">
              <w:rPr>
                <w:rFonts w:ascii="Times New Roman" w:eastAsia="Times New Roman" w:hAnsi="Times New Roman" w:cs="Times New Roman"/>
                <w:i/>
                <w:iCs/>
                <w:sz w:val="24"/>
                <w:szCs w:val="24"/>
                <w:lang w:val="en-GB" w:eastAsia="cs-CZ"/>
              </w:rPr>
              <w:t xml:space="preserve"> in the Bonds Act and the </w:t>
            </w:r>
            <w:r w:rsidRPr="00C67FEB" w:rsidR="00C67FEB">
              <w:rPr>
                <w:rFonts w:ascii="Times New Roman" w:eastAsia="Times New Roman" w:hAnsi="Times New Roman" w:cs="Times New Roman"/>
                <w:i/>
                <w:iCs/>
                <w:sz w:val="24"/>
                <w:szCs w:val="24"/>
                <w:lang w:val="en-GB" w:eastAsia="cs-CZ"/>
              </w:rPr>
              <w:t>Advertising Act</w:t>
            </w:r>
            <w:r w:rsidRPr="00C67FEB">
              <w:rPr>
                <w:rFonts w:ascii="Times New Roman" w:eastAsia="Times New Roman" w:hAnsi="Times New Roman" w:cs="Times New Roman"/>
                <w:i/>
                <w:iCs/>
                <w:sz w:val="24"/>
                <w:szCs w:val="24"/>
                <w:lang w:val="en-GB" w:eastAsia="cs-CZ"/>
              </w:rPr>
              <w:t xml:space="preserve"> should lead to greater </w:t>
            </w:r>
            <w:r w:rsidR="00B07229">
              <w:rPr>
                <w:rFonts w:ascii="Times New Roman" w:eastAsia="Times New Roman" w:hAnsi="Times New Roman" w:cs="Times New Roman"/>
                <w:i/>
                <w:iCs/>
                <w:sz w:val="24"/>
                <w:szCs w:val="24"/>
                <w:lang w:val="en-GB" w:eastAsia="cs-CZ"/>
              </w:rPr>
              <w:t>protection of investors</w:t>
            </w:r>
            <w:r w:rsidRPr="00C67FEB">
              <w:rPr>
                <w:rFonts w:ascii="Times New Roman" w:eastAsia="Times New Roman" w:hAnsi="Times New Roman" w:cs="Times New Roman"/>
                <w:i/>
                <w:iCs/>
                <w:sz w:val="24"/>
                <w:szCs w:val="24"/>
                <w:lang w:val="en-GB" w:eastAsia="cs-CZ"/>
              </w:rPr>
              <w:t xml:space="preserve"> in bonds. In relation to the introduction of the institute of investor declaration, it is about strengthening consumer protection.</w:t>
            </w:r>
            <w:r w:rsidR="0087579E">
              <w:rPr>
                <w:rFonts w:ascii="Times New Roman" w:eastAsia="Times New Roman" w:hAnsi="Times New Roman" w:cs="Times New Roman"/>
                <w:i/>
                <w:iCs/>
                <w:sz w:val="24"/>
                <w:szCs w:val="24"/>
                <w:lang w:val="en-GB" w:eastAsia="cs-CZ"/>
              </w:rPr>
              <w:t xml:space="preserve"> </w:t>
            </w:r>
          </w:p>
        </w:tc>
      </w:tr>
      <w:tr w:rsidTr="0087579E">
        <w:tblPrEx>
          <w:tblW w:w="9980" w:type="dxa"/>
          <w:tblInd w:w="-15" w:type="dxa"/>
          <w:tblCellMar>
            <w:left w:w="0" w:type="dxa"/>
            <w:right w:w="0" w:type="dxa"/>
          </w:tblCellMar>
          <w:tblLook w:val="04A0"/>
        </w:tblPrEx>
        <w:trPr>
          <w:gridAfter w:val="1"/>
          <w:wAfter w:w="341" w:type="dxa"/>
        </w:trPr>
        <w:tc>
          <w:tcPr>
            <w:tcW w:w="9639" w:type="dxa"/>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C67FEB"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3.7 Environmental impacts: </w:t>
            </w:r>
            <w:r w:rsidRPr="00C67FEB" w:rsidR="000B144C">
              <w:rPr>
                <w:rFonts w:ascii="Times New Roman" w:eastAsia="Times New Roman" w:hAnsi="Times New Roman" w:cs="Times New Roman"/>
                <w:sz w:val="24"/>
                <w:szCs w:val="24"/>
                <w:lang w:val="en-GB" w:eastAsia="cs-CZ"/>
              </w:rPr>
              <w:t>No</w:t>
            </w:r>
          </w:p>
        </w:tc>
      </w:tr>
      <w:tr w:rsidTr="0087579E">
        <w:tblPrEx>
          <w:tblW w:w="9980" w:type="dxa"/>
          <w:tblInd w:w="-15" w:type="dxa"/>
          <w:tblCellMar>
            <w:left w:w="0" w:type="dxa"/>
            <w:right w:w="0" w:type="dxa"/>
          </w:tblCellMar>
          <w:tblLook w:val="04A0"/>
        </w:tblPrEx>
        <w:trPr>
          <w:gridAfter w:val="1"/>
          <w:wAfter w:w="341" w:type="dxa"/>
          <w:trHeight w:val="455"/>
        </w:trPr>
        <w:tc>
          <w:tcPr>
            <w:tcW w:w="9639" w:type="dxa"/>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C67FEB"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C67FEB"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3.8. Impacts with regard to non-discrimination and gender equality:</w:t>
            </w:r>
            <w:r w:rsidR="0087579E">
              <w:rPr>
                <w:rFonts w:ascii="Times New Roman" w:eastAsia="Times New Roman" w:hAnsi="Times New Roman" w:cs="Times New Roman"/>
                <w:sz w:val="24"/>
                <w:szCs w:val="24"/>
                <w:lang w:val="en-GB" w:eastAsia="cs-CZ"/>
              </w:rPr>
              <w:t xml:space="preserve"> </w:t>
            </w:r>
            <w:r w:rsidRPr="00C67FEB" w:rsidR="000B144C">
              <w:rPr>
                <w:rFonts w:ascii="Times New Roman" w:eastAsia="Times New Roman" w:hAnsi="Times New Roman" w:cs="Times New Roman"/>
                <w:sz w:val="24"/>
                <w:szCs w:val="24"/>
                <w:lang w:val="en-GB" w:eastAsia="cs-CZ"/>
              </w:rPr>
              <w:t>No</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hideMark/>
          </w:tcPr>
          <w:p w:rsidR="00403DFA" w:rsidRPr="00C67FEB"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3.9 Impacts on the performance of the State Statistical Service: </w:t>
            </w:r>
            <w:r w:rsidRPr="00C67FEB" w:rsidR="000B144C">
              <w:rPr>
                <w:rFonts w:ascii="Times New Roman" w:eastAsia="Times New Roman" w:hAnsi="Times New Roman" w:cs="Times New Roman"/>
                <w:sz w:val="24"/>
                <w:szCs w:val="24"/>
                <w:lang w:val="en-GB" w:eastAsia="cs-CZ"/>
              </w:rPr>
              <w:t>No</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hideMark/>
          </w:tcPr>
          <w:p w:rsidR="00403DFA"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3.10 Corruption risks: </w:t>
            </w:r>
            <w:r w:rsidR="000B144C">
              <w:rPr>
                <w:rFonts w:ascii="Times New Roman" w:eastAsia="Times New Roman" w:hAnsi="Times New Roman" w:cs="Times New Roman"/>
                <w:sz w:val="24"/>
                <w:szCs w:val="24"/>
                <w:lang w:val="en-GB" w:eastAsia="cs-CZ"/>
              </w:rPr>
              <w:t>No</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12" w:space="0" w:color="000000"/>
              <w:left w:val="single" w:sz="12" w:space="0" w:color="000000"/>
              <w:bottom w:val="single" w:sz="6" w:space="0" w:color="000000"/>
              <w:right w:val="single" w:sz="12" w:space="0" w:color="000000"/>
            </w:tcBorders>
            <w:shd w:val="clear" w:color="auto" w:fill="FFFFFF" w:themeFill="background1"/>
            <w:tcMar>
              <w:top w:w="0" w:type="dxa"/>
              <w:left w:w="108" w:type="dxa"/>
              <w:bottom w:w="0" w:type="dxa"/>
              <w:right w:w="108" w:type="dxa"/>
            </w:tcMar>
          </w:tcPr>
          <w:p w:rsidR="000B144C"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i/>
                <w:iCs/>
                <w:sz w:val="24"/>
                <w:szCs w:val="24"/>
                <w:lang w:val="en-GB" w:eastAsia="cs-CZ"/>
              </w:rPr>
              <w:t>-</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12" w:space="0" w:color="000000"/>
              <w:left w:val="single" w:sz="12" w:space="0" w:color="000000"/>
              <w:bottom w:val="single" w:sz="6" w:space="0" w:color="000000"/>
              <w:right w:val="single" w:sz="12" w:space="0" w:color="000000"/>
            </w:tcBorders>
            <w:shd w:val="clear" w:color="auto" w:fill="99CCFF"/>
            <w:tcMar>
              <w:top w:w="0" w:type="dxa"/>
              <w:left w:w="108" w:type="dxa"/>
              <w:bottom w:w="0" w:type="dxa"/>
              <w:right w:w="108" w:type="dxa"/>
            </w:tcMar>
          </w:tcPr>
          <w:p w:rsidR="000B144C" w:rsidRPr="00810A92" w:rsidP="0087579E">
            <w:pPr>
              <w:spacing w:before="120" w:after="120" w:line="240" w:lineRule="auto"/>
              <w:jc w:val="both"/>
              <w:rPr>
                <w:rFonts w:ascii="Times New Roman" w:eastAsia="Times New Roman" w:hAnsi="Times New Roman" w:cs="Times New Roman"/>
                <w:sz w:val="24"/>
                <w:szCs w:val="24"/>
                <w:lang w:val="en-GB" w:eastAsia="cs-CZ"/>
              </w:rPr>
            </w:pPr>
            <w:r w:rsidRPr="00810A92">
              <w:rPr>
                <w:rFonts w:ascii="Times New Roman" w:eastAsia="Times New Roman" w:hAnsi="Times New Roman" w:cs="Times New Roman"/>
                <w:sz w:val="24"/>
                <w:szCs w:val="24"/>
                <w:lang w:val="en-GB" w:eastAsia="cs-CZ"/>
              </w:rPr>
              <w:t xml:space="preserve">3.11. Impacts on national security or </w:t>
            </w:r>
            <w:r w:rsidRPr="00810A92" w:rsidR="00B07229">
              <w:rPr>
                <w:rFonts w:ascii="Times New Roman" w:eastAsia="Times New Roman" w:hAnsi="Times New Roman" w:cs="Times New Roman"/>
                <w:sz w:val="24"/>
                <w:szCs w:val="24"/>
                <w:lang w:val="en-GB" w:eastAsia="cs-CZ"/>
              </w:rPr>
              <w:t>defence</w:t>
            </w:r>
            <w:r w:rsidRPr="00810A92">
              <w:rPr>
                <w:rFonts w:ascii="Times New Roman" w:eastAsia="Times New Roman" w:hAnsi="Times New Roman" w:cs="Times New Roman"/>
                <w:sz w:val="24"/>
                <w:szCs w:val="24"/>
                <w:lang w:val="en-GB" w:eastAsia="cs-CZ"/>
              </w:rPr>
              <w:t xml:space="preserve">: </w:t>
            </w:r>
            <w:r>
              <w:rPr>
                <w:rFonts w:ascii="Times New Roman" w:eastAsia="Times New Roman" w:hAnsi="Times New Roman" w:cs="Times New Roman"/>
                <w:sz w:val="24"/>
                <w:szCs w:val="24"/>
                <w:lang w:val="en-GB" w:eastAsia="cs-CZ"/>
              </w:rPr>
              <w:t>No</w:t>
            </w:r>
          </w:p>
        </w:tc>
      </w:tr>
      <w:tr w:rsidTr="0087579E">
        <w:tblPrEx>
          <w:tblW w:w="9980" w:type="dxa"/>
          <w:tblInd w:w="-15" w:type="dxa"/>
          <w:tblCellMar>
            <w:left w:w="0" w:type="dxa"/>
            <w:right w:w="0" w:type="dxa"/>
          </w:tblCellMar>
          <w:tblLook w:val="04A0"/>
        </w:tblPrEx>
        <w:trPr>
          <w:gridAfter w:val="1"/>
          <w:wAfter w:w="341" w:type="dxa"/>
          <w:trHeight w:val="411"/>
        </w:trPr>
        <w:tc>
          <w:tcPr>
            <w:tcW w:w="9639" w:type="dxa"/>
            <w:tcBorders>
              <w:top w:val="single" w:sz="12" w:space="0" w:color="000000"/>
              <w:left w:val="single" w:sz="12" w:space="0" w:color="000000"/>
              <w:bottom w:val="single" w:sz="6" w:space="0" w:color="000000"/>
              <w:right w:val="single" w:sz="12" w:space="0" w:color="000000"/>
            </w:tcBorders>
            <w:shd w:val="clear" w:color="auto" w:fill="FFFFFF" w:themeFill="background1"/>
            <w:tcMar>
              <w:top w:w="0" w:type="dxa"/>
              <w:left w:w="108" w:type="dxa"/>
              <w:bottom w:w="0" w:type="dxa"/>
              <w:right w:w="108" w:type="dxa"/>
            </w:tcMar>
          </w:tcPr>
          <w:p w:rsidR="000B144C" w:rsidRPr="00810A92" w:rsidP="0087579E">
            <w:pPr>
              <w:spacing w:before="120" w:after="12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p>
        </w:tc>
      </w:tr>
      <w:tr w:rsidTr="0087579E">
        <w:tblPrEx>
          <w:tblW w:w="9980" w:type="dxa"/>
          <w:tblInd w:w="-15" w:type="dxa"/>
          <w:tblCellMar>
            <w:left w:w="0" w:type="dxa"/>
            <w:right w:w="0" w:type="dxa"/>
          </w:tblCellMar>
          <w:tblLook w:val="04A0"/>
        </w:tblPrEx>
        <w:trPr>
          <w:trHeight w:val="411"/>
        </w:trPr>
        <w:tc>
          <w:tcPr>
            <w:tcW w:w="9639" w:type="dxa"/>
            <w:vAlign w:val="center"/>
            <w:hideMark/>
          </w:tcPr>
          <w:p w:rsidR="00403DFA" w:rsidRPr="00B07229" w:rsidP="0087579E">
            <w:pPr>
              <w:keepNext/>
              <w:spacing w:after="0" w:line="240" w:lineRule="auto"/>
              <w:jc w:val="center"/>
              <w:rPr>
                <w:rFonts w:ascii="Times New Roman" w:eastAsia="Times New Roman" w:hAnsi="Times New Roman" w:cs="Times New Roman"/>
                <w:b/>
                <w:bCs/>
                <w:sz w:val="24"/>
                <w:szCs w:val="24"/>
                <w:lang w:val="en-GB" w:eastAsia="cs-CZ"/>
              </w:rPr>
            </w:pPr>
            <w:bookmarkStart w:id="0" w:name="_Toc526419218"/>
            <w:bookmarkEnd w:id="0"/>
            <w:r w:rsidRPr="00B07229">
              <w:rPr>
                <w:rFonts w:ascii="Times New Roman" w:eastAsia="Times New Roman" w:hAnsi="Times New Roman" w:cs="Times New Roman"/>
                <w:b/>
                <w:bCs/>
                <w:caps/>
                <w:sz w:val="24"/>
                <w:szCs w:val="24"/>
                <w:lang w:val="en-GB" w:eastAsia="cs-CZ"/>
              </w:rPr>
              <w:t>Abbreviations</w:t>
            </w:r>
          </w:p>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u w:val="single"/>
                <w:lang w:val="en-GB" w:eastAsia="cs-CZ"/>
              </w:rPr>
              <w:t>List of abbreviations of legislation</w:t>
            </w:r>
          </w:p>
          <w:tbl>
            <w:tblPr>
              <w:tblW w:w="9184" w:type="dxa"/>
              <w:tblCellMar>
                <w:left w:w="0" w:type="dxa"/>
                <w:right w:w="0" w:type="dxa"/>
              </w:tblCellMar>
              <w:tblLook w:val="04A0"/>
            </w:tblPr>
            <w:tblGrid>
              <w:gridCol w:w="1904"/>
              <w:gridCol w:w="7280"/>
            </w:tblGrid>
            <w:tr>
              <w:tblPrEx>
                <w:tblW w:w="9184" w:type="dxa"/>
                <w:tblCellMar>
                  <w:left w:w="0" w:type="dxa"/>
                  <w:right w:w="0" w:type="dxa"/>
                </w:tblCellMar>
                <w:tblLook w:val="04A0"/>
              </w:tblPrEx>
              <w:trPr>
                <w:trHeight w:val="20"/>
              </w:trPr>
              <w:tc>
                <w:tcPr>
                  <w:tcW w:w="1904" w:type="dxa"/>
                  <w:tcMar>
                    <w:top w:w="57" w:type="dxa"/>
                    <w:left w:w="108" w:type="dxa"/>
                    <w:bottom w:w="57" w:type="dxa"/>
                    <w:right w:w="108" w:type="dxa"/>
                  </w:tcMar>
                  <w:hideMark/>
                </w:tcPr>
                <w:p w:rsidR="00403DFA" w:rsidRPr="00B07229" w:rsidP="0087579E">
                  <w:pPr>
                    <w:keepNext/>
                    <w:spacing w:before="120" w:after="20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Execution Order</w:t>
                  </w:r>
                </w:p>
              </w:tc>
              <w:tc>
                <w:tcPr>
                  <w:tcW w:w="7280" w:type="dxa"/>
                  <w:tcMar>
                    <w:top w:w="57" w:type="dxa"/>
                    <w:left w:w="108" w:type="dxa"/>
                    <w:bottom w:w="57" w:type="dxa"/>
                    <w:right w:w="108"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Act No. 120/2001 Coll., on </w:t>
                  </w:r>
                  <w:r w:rsidRPr="00C67FEB">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 as amended</w:t>
                  </w:r>
                  <w:r w:rsidRPr="00C67FEB">
                    <w:rPr>
                      <w:rFonts w:ascii="Times New Roman" w:eastAsia="Times New Roman" w:hAnsi="Times New Roman" w:cs="Times New Roman"/>
                      <w:sz w:val="24"/>
                      <w:szCs w:val="24"/>
                      <w:lang w:val="en-GB" w:eastAsia="cs-CZ"/>
                    </w:rPr>
                    <w:t> </w:t>
                  </w:r>
                </w:p>
              </w:tc>
            </w:tr>
            <w:tr>
              <w:tblPrEx>
                <w:tblW w:w="9184" w:type="dxa"/>
                <w:tblCellMar>
                  <w:left w:w="0" w:type="dxa"/>
                  <w:right w:w="0" w:type="dxa"/>
                </w:tblCellMar>
                <w:tblLook w:val="04A0"/>
              </w:tblPrEx>
              <w:trPr>
                <w:trHeight w:val="20"/>
              </w:trPr>
              <w:tc>
                <w:tcPr>
                  <w:tcW w:w="1904" w:type="dxa"/>
                  <w:tcMar>
                    <w:top w:w="57" w:type="dxa"/>
                    <w:left w:w="108" w:type="dxa"/>
                    <w:bottom w:w="57" w:type="dxa"/>
                    <w:right w:w="108"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Income Taxes Act</w:t>
                  </w:r>
                </w:p>
              </w:tc>
              <w:tc>
                <w:tcPr>
                  <w:tcW w:w="7280" w:type="dxa"/>
                  <w:tcMar>
                    <w:top w:w="57" w:type="dxa"/>
                    <w:left w:w="108" w:type="dxa"/>
                    <w:bottom w:w="57" w:type="dxa"/>
                    <w:right w:w="108"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Act No. 586/1992 Coll., on Income Taxes, as amended</w:t>
                  </w:r>
                  <w:r w:rsidR="0087579E">
                    <w:rPr>
                      <w:rFonts w:ascii="Times New Roman" w:eastAsia="Times New Roman" w:hAnsi="Times New Roman" w:cs="Times New Roman"/>
                      <w:sz w:val="24"/>
                      <w:szCs w:val="24"/>
                      <w:lang w:val="en-GB" w:eastAsia="cs-CZ"/>
                    </w:rPr>
                    <w:t xml:space="preserve"> </w:t>
                  </w:r>
                </w:p>
              </w:tc>
            </w:tr>
            <w:tr>
              <w:tblPrEx>
                <w:tblW w:w="9184" w:type="dxa"/>
                <w:tblCellMar>
                  <w:left w:w="0" w:type="dxa"/>
                  <w:right w:w="0" w:type="dxa"/>
                </w:tblCellMar>
                <w:tblLook w:val="04A0"/>
              </w:tblPrEx>
              <w:trPr>
                <w:trHeight w:val="20"/>
              </w:trPr>
              <w:tc>
                <w:tcPr>
                  <w:tcW w:w="1904" w:type="dxa"/>
                  <w:tcMar>
                    <w:top w:w="57" w:type="dxa"/>
                    <w:left w:w="108" w:type="dxa"/>
                    <w:bottom w:w="57" w:type="dxa"/>
                    <w:right w:w="108"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Supplementary Pension Savings Act</w:t>
                  </w:r>
                </w:p>
              </w:tc>
              <w:tc>
                <w:tcPr>
                  <w:tcW w:w="7280" w:type="dxa"/>
                  <w:tcMar>
                    <w:top w:w="57" w:type="dxa"/>
                    <w:left w:w="108" w:type="dxa"/>
                    <w:bottom w:w="57" w:type="dxa"/>
                    <w:right w:w="108"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Act No. 427/2011 Coll., on Supplementary Pension Savings, as amended</w:t>
                  </w:r>
                </w:p>
              </w:tc>
            </w:tr>
            <w:tr>
              <w:tblPrEx>
                <w:tblW w:w="9184" w:type="dxa"/>
                <w:tblCellMar>
                  <w:left w:w="0" w:type="dxa"/>
                  <w:right w:w="0" w:type="dxa"/>
                </w:tblCellMar>
                <w:tblLook w:val="04A0"/>
              </w:tblPrEx>
              <w:trPr>
                <w:trHeight w:val="20"/>
              </w:trPr>
              <w:tc>
                <w:tcPr>
                  <w:tcW w:w="1904" w:type="dxa"/>
                  <w:tcMar>
                    <w:top w:w="57" w:type="dxa"/>
                    <w:left w:w="108" w:type="dxa"/>
                    <w:bottom w:w="57" w:type="dxa"/>
                    <w:right w:w="108"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Management Companies and Investment Funds Act</w:t>
                  </w:r>
                </w:p>
              </w:tc>
              <w:tc>
                <w:tcPr>
                  <w:tcW w:w="7280" w:type="dxa"/>
                  <w:tcMar>
                    <w:top w:w="57" w:type="dxa"/>
                    <w:left w:w="108" w:type="dxa"/>
                    <w:bottom w:w="57" w:type="dxa"/>
                    <w:right w:w="108"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Act No. 240/2013 Coll., on Management Companies and Investment Funds, as amended</w:t>
                  </w:r>
                </w:p>
              </w:tc>
            </w:tr>
            <w:tr>
              <w:tblPrEx>
                <w:tblW w:w="9184" w:type="dxa"/>
                <w:tblCellMar>
                  <w:left w:w="0" w:type="dxa"/>
                  <w:right w:w="0" w:type="dxa"/>
                </w:tblCellMar>
                <w:tblLook w:val="04A0"/>
              </w:tblPrEx>
              <w:trPr>
                <w:trHeight w:val="20"/>
              </w:trPr>
              <w:tc>
                <w:tcPr>
                  <w:tcW w:w="1904" w:type="dxa"/>
                  <w:tcMar>
                    <w:top w:w="57" w:type="dxa"/>
                    <w:left w:w="108" w:type="dxa"/>
                    <w:bottom w:w="57" w:type="dxa"/>
                    <w:right w:w="108"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Bonds Act</w:t>
                  </w:r>
                </w:p>
              </w:tc>
              <w:tc>
                <w:tcPr>
                  <w:tcW w:w="7280" w:type="dxa"/>
                  <w:tcMar>
                    <w:top w:w="57" w:type="dxa"/>
                    <w:left w:w="108" w:type="dxa"/>
                    <w:bottom w:w="57" w:type="dxa"/>
                    <w:right w:w="108"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eastAsia="cs-CZ"/>
                    </w:rPr>
                  </w:pPr>
                  <w:r w:rsidRPr="00C67FEB">
                    <w:rPr>
                      <w:rFonts w:ascii="Times New Roman" w:eastAsia="Times New Roman" w:hAnsi="Times New Roman" w:cs="Times New Roman"/>
                      <w:sz w:val="24"/>
                      <w:szCs w:val="24"/>
                      <w:lang w:val="en-GB" w:eastAsia="cs-CZ"/>
                    </w:rPr>
                    <w:t>Act No. 190/2004 Coll., on Bonds, as amended</w:t>
                  </w:r>
                </w:p>
              </w:tc>
            </w:tr>
            <w:tr>
              <w:tblPrEx>
                <w:tblW w:w="9184" w:type="dxa"/>
                <w:tblCellMar>
                  <w:left w:w="0" w:type="dxa"/>
                  <w:right w:w="0" w:type="dxa"/>
                </w:tblCellMar>
                <w:tblLook w:val="04A0"/>
              </w:tblPrEx>
              <w:trPr>
                <w:trHeight w:val="20"/>
              </w:trPr>
              <w:tc>
                <w:tcPr>
                  <w:tcW w:w="1904" w:type="dxa"/>
                  <w:tcMar>
                    <w:top w:w="57" w:type="dxa"/>
                    <w:left w:w="108" w:type="dxa"/>
                    <w:bottom w:w="57" w:type="dxa"/>
                    <w:right w:w="108"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Capital Market Business Act</w:t>
                  </w:r>
                </w:p>
              </w:tc>
              <w:tc>
                <w:tcPr>
                  <w:tcW w:w="7280" w:type="dxa"/>
                  <w:tcMar>
                    <w:top w:w="57" w:type="dxa"/>
                    <w:left w:w="108" w:type="dxa"/>
                    <w:bottom w:w="57" w:type="dxa"/>
                    <w:right w:w="108"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Act No. 256/2004 Coll., on Capital Market Business, as amended</w:t>
                  </w:r>
                </w:p>
              </w:tc>
            </w:tr>
          </w:tbl>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u w:val="single"/>
                <w:lang w:val="en-GB" w:eastAsia="cs-CZ"/>
              </w:rPr>
              <w:t>List of other abbreviations</w:t>
            </w:r>
          </w:p>
          <w:tbl>
            <w:tblPr>
              <w:tblW w:w="8946" w:type="dxa"/>
              <w:tblCellMar>
                <w:left w:w="0" w:type="dxa"/>
                <w:right w:w="0" w:type="dxa"/>
              </w:tblCellMar>
              <w:tblLook w:val="04A0"/>
            </w:tblPr>
            <w:tblGrid>
              <w:gridCol w:w="1858"/>
              <w:gridCol w:w="7088"/>
            </w:tblGrid>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CNB</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Czech National Bank</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C</w:t>
                  </w:r>
                  <w:r w:rsidRPr="00B07229">
                    <w:rPr>
                      <w:rFonts w:ascii="Times New Roman" w:eastAsia="Times New Roman" w:hAnsi="Times New Roman" w:cs="Times New Roman"/>
                      <w:b/>
                      <w:bCs/>
                      <w:sz w:val="24"/>
                      <w:szCs w:val="24"/>
                      <w:lang w:val="en-GB" w:eastAsia="cs-CZ"/>
                    </w:rPr>
                    <w:t>R</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Czech Republic</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EU</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European Union</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FA</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Financial </w:t>
                  </w:r>
                  <w:r w:rsidRPr="00C67FEB" w:rsidR="0044192E">
                    <w:rPr>
                      <w:rFonts w:ascii="Times New Roman" w:eastAsia="Times New Roman" w:hAnsi="Times New Roman" w:cs="Times New Roman"/>
                      <w:sz w:val="24"/>
                      <w:szCs w:val="24"/>
                      <w:lang w:val="en-GB" w:eastAsia="cs-CZ"/>
                    </w:rPr>
                    <w:t>Arbitrator</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CZK</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Czech crown</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KSIL</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Limited Partnership with Investment Certificates</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IF</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Investment firm</w:t>
                  </w:r>
                  <w:r w:rsidRPr="00C67FEB">
                    <w:rPr>
                      <w:rFonts w:ascii="Times New Roman" w:eastAsia="Times New Roman" w:hAnsi="Times New Roman" w:cs="Times New Roman"/>
                      <w:sz w:val="24"/>
                      <w:szCs w:val="24"/>
                      <w:lang w:val="en-GB" w:eastAsia="cs-CZ"/>
                    </w:rPr>
                    <w:t> </w:t>
                  </w: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pension fund</w:t>
                  </w:r>
                </w:p>
              </w:tc>
              <w:tc>
                <w:tcPr>
                  <w:tcW w:w="7088" w:type="dxa"/>
                  <w:tcMar>
                    <w:top w:w="0" w:type="dxa"/>
                    <w:left w:w="70" w:type="dxa"/>
                    <w:bottom w:w="0" w:type="dxa"/>
                    <w:right w:w="70" w:type="dxa"/>
                  </w:tcMar>
                  <w:hideMark/>
                </w:tcPr>
                <w:p w:rsidR="00393C54"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Participation fund or transformed fund </w:t>
                  </w:r>
                </w:p>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p>
              </w:tc>
            </w:tr>
            <w:tr>
              <w:tblPrEx>
                <w:tblW w:w="8946" w:type="dxa"/>
                <w:tblCellMar>
                  <w:left w:w="0" w:type="dxa"/>
                  <w:right w:w="0" w:type="dxa"/>
                </w:tblCellMar>
                <w:tblLook w:val="04A0"/>
              </w:tblPrEx>
              <w:trPr>
                <w:trHeight w:val="499"/>
              </w:trPr>
              <w:tc>
                <w:tcPr>
                  <w:tcW w:w="1858" w:type="dxa"/>
                  <w:tcMar>
                    <w:top w:w="0" w:type="dxa"/>
                    <w:left w:w="70" w:type="dxa"/>
                    <w:bottom w:w="0" w:type="dxa"/>
                    <w:right w:w="70" w:type="dxa"/>
                  </w:tcMar>
                  <w:hideMark/>
                </w:tcPr>
                <w:p w:rsidR="00403DFA" w:rsidRPr="00B07229"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SICAV</w:t>
                  </w:r>
                </w:p>
              </w:tc>
              <w:tc>
                <w:tcPr>
                  <w:tcW w:w="7088" w:type="dxa"/>
                  <w:tcMar>
                    <w:top w:w="0" w:type="dxa"/>
                    <w:left w:w="70" w:type="dxa"/>
                    <w:bottom w:w="0" w:type="dxa"/>
                    <w:right w:w="70" w:type="dxa"/>
                  </w:tcMar>
                  <w:hideMark/>
                </w:tcPr>
                <w:p w:rsidR="00403DFA" w:rsidRPr="00C67FEB" w:rsidP="0087579E">
                  <w:pPr>
                    <w:keepNext/>
                    <w:spacing w:before="120"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Joint Stock Company with Variable Capital (</w:t>
                  </w:r>
                  <w:r w:rsidRPr="00C67FEB">
                    <w:rPr>
                      <w:rFonts w:ascii="Times New Roman" w:eastAsia="Times New Roman" w:hAnsi="Times New Roman" w:cs="Times New Roman"/>
                      <w:sz w:val="24"/>
                      <w:szCs w:val="24"/>
                      <w:lang w:val="en-GB" w:eastAsia="cs-CZ"/>
                    </w:rPr>
                    <w:t>société</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d'investissement</w:t>
                  </w:r>
                  <w:r w:rsidRPr="00C67FEB">
                    <w:rPr>
                      <w:rFonts w:ascii="Times New Roman" w:eastAsia="Times New Roman" w:hAnsi="Times New Roman" w:cs="Times New Roman"/>
                      <w:sz w:val="24"/>
                      <w:szCs w:val="24"/>
                      <w:lang w:val="en-GB" w:eastAsia="cs-CZ"/>
                    </w:rPr>
                    <w:t xml:space="preserve"> à capital variable)</w:t>
                  </w:r>
                </w:p>
              </w:tc>
            </w:tr>
          </w:tbl>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C67FEB">
              <w:rPr>
                <w:rFonts w:ascii="Times New Roman" w:eastAsia="Times New Roman" w:hAnsi="Times New Roman" w:cs="Times New Roman"/>
                <w:sz w:val="24"/>
                <w:szCs w:val="24"/>
                <w:lang w:val="en-GB" w:eastAsia="cs-CZ"/>
              </w:rPr>
              <w:br w:type="page"/>
            </w:r>
            <w:bookmarkStart w:id="1" w:name="_Toc526421143"/>
            <w:bookmarkStart w:id="2" w:name="_Toc526419219"/>
            <w:bookmarkEnd w:id="1"/>
            <w:bookmarkEnd w:id="2"/>
            <w:r w:rsidRPr="00B07229">
              <w:rPr>
                <w:rFonts w:ascii="Times New Roman" w:eastAsia="Times New Roman" w:hAnsi="Times New Roman" w:cs="Times New Roman"/>
                <w:b/>
                <w:bCs/>
                <w:sz w:val="24"/>
                <w:szCs w:val="24"/>
                <w:lang w:val="en-GB" w:eastAsia="cs-CZ"/>
              </w:rPr>
              <w:t>A. GENERAL PART</w:t>
            </w:r>
          </w:p>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A. Final </w:t>
            </w:r>
            <w:r w:rsidRPr="00B07229" w:rsidR="000B144C">
              <w:rPr>
                <w:rFonts w:ascii="Times New Roman" w:eastAsia="Times New Roman" w:hAnsi="Times New Roman" w:cs="Times New Roman"/>
                <w:b/>
                <w:bCs/>
                <w:sz w:val="24"/>
                <w:szCs w:val="24"/>
                <w:lang w:val="en-GB" w:eastAsia="cs-CZ"/>
              </w:rPr>
              <w:t>Regulatory Impact Analysis</w:t>
            </w:r>
            <w:r w:rsidRPr="00B07229">
              <w:rPr>
                <w:rFonts w:ascii="Times New Roman" w:eastAsia="Times New Roman" w:hAnsi="Times New Roman" w:cs="Times New Roman"/>
                <w:b/>
                <w:bCs/>
                <w:sz w:val="24"/>
                <w:szCs w:val="24"/>
                <w:lang w:val="en-GB" w:eastAsia="cs-CZ"/>
              </w:rPr>
              <w:t xml:space="preserve"> (RIA) </w:t>
            </w:r>
          </w:p>
          <w:p w:rsidR="00403DFA" w:rsidRPr="00B07229" w:rsidP="0087579E">
            <w:pPr>
              <w:keepNext/>
              <w:pBdr>
                <w:top w:val="single" w:sz="6" w:space="1" w:color="000000"/>
                <w:left w:val="single" w:sz="6" w:space="4" w:color="000000"/>
                <w:bottom w:val="single" w:sz="6" w:space="1" w:color="000000"/>
                <w:right w:val="single" w:sz="6" w:space="4" w:color="000000"/>
              </w:pBdr>
              <w:spacing w:before="120" w:after="120" w:line="240" w:lineRule="auto"/>
              <w:jc w:val="center"/>
              <w:rPr>
                <w:rFonts w:ascii="Times New Roman" w:eastAsia="Times New Roman" w:hAnsi="Times New Roman" w:cs="Times New Roman"/>
                <w:b/>
                <w:bCs/>
                <w:sz w:val="24"/>
                <w:szCs w:val="24"/>
                <w:lang w:val="en-GB" w:eastAsia="cs-CZ"/>
              </w:rPr>
            </w:pPr>
            <w:bookmarkStart w:id="3" w:name="_Toc526419220"/>
            <w:bookmarkStart w:id="4" w:name="_Toc526421144"/>
            <w:bookmarkEnd w:id="3"/>
            <w:r w:rsidRPr="00B07229">
              <w:rPr>
                <w:rFonts w:ascii="Times New Roman" w:eastAsia="Times New Roman" w:hAnsi="Times New Roman" w:cs="Times New Roman"/>
                <w:b/>
                <w:bCs/>
                <w:sz w:val="24"/>
                <w:szCs w:val="24"/>
                <w:lang w:val="en-GB" w:eastAsia="cs-CZ"/>
              </w:rPr>
              <w:t>1. GROUNDS FOR SUBMISSION AND OBJECTIVES</w:t>
            </w:r>
            <w:bookmarkEnd w:id="4"/>
          </w:p>
          <w:p w:rsidR="00403DFA" w:rsidRPr="00B07229" w:rsidP="0087579E">
            <w:pPr>
              <w:keepNext/>
              <w:spacing w:before="120" w:after="120" w:line="240" w:lineRule="auto"/>
              <w:ind w:hanging="360"/>
              <w:jc w:val="center"/>
              <w:rPr>
                <w:rFonts w:ascii="Times New Roman" w:eastAsia="Times New Roman" w:hAnsi="Times New Roman" w:cs="Times New Roman"/>
                <w:b/>
                <w:bCs/>
                <w:sz w:val="24"/>
                <w:szCs w:val="24"/>
                <w:lang w:val="en-GB" w:eastAsia="cs-CZ"/>
              </w:rPr>
            </w:pPr>
            <w:bookmarkStart w:id="5" w:name="_Toc420486208"/>
            <w:bookmarkStart w:id="6" w:name="_Toc526421145"/>
            <w:bookmarkStart w:id="7" w:name="_Toc526419221"/>
            <w:bookmarkStart w:id="8" w:name="_Toc444701031"/>
            <w:bookmarkEnd w:id="5"/>
            <w:bookmarkEnd w:id="6"/>
            <w:bookmarkEnd w:id="7"/>
            <w:r w:rsidRPr="00B07229">
              <w:rPr>
                <w:rFonts w:ascii="Times New Roman" w:eastAsia="Times New Roman" w:hAnsi="Times New Roman" w:cs="Times New Roman"/>
                <w:b/>
                <w:bCs/>
                <w:sz w:val="24"/>
                <w:szCs w:val="24"/>
                <w:lang w:val="en-GB" w:eastAsia="cs-CZ"/>
              </w:rPr>
              <w:t>1.1 Name</w:t>
            </w:r>
            <w:bookmarkEnd w:id="8"/>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bookmarkStart w:id="9" w:name="_Toc526419223"/>
            <w:bookmarkStart w:id="10" w:name="_Toc526421147"/>
            <w:bookmarkEnd w:id="9"/>
            <w:r w:rsidRPr="00C67FEB">
              <w:rPr>
                <w:rFonts w:ascii="Times New Roman" w:eastAsia="Times New Roman" w:hAnsi="Times New Roman" w:cs="Times New Roman"/>
                <w:sz w:val="24"/>
                <w:szCs w:val="24"/>
                <w:lang w:val="en-GB" w:eastAsia="cs-CZ"/>
              </w:rPr>
              <w:t>Act</w:t>
            </w:r>
            <w:r w:rsidRPr="00C67FEB">
              <w:rPr>
                <w:rFonts w:ascii="Times New Roman" w:eastAsia="Times New Roman" w:hAnsi="Times New Roman" w:cs="Times New Roman"/>
                <w:sz w:val="24"/>
                <w:szCs w:val="24"/>
                <w:lang w:val="en-GB" w:eastAsia="cs-CZ"/>
              </w:rPr>
              <w:t xml:space="preserve"> amending certain acts in connection with capital market development </w:t>
            </w:r>
            <w:bookmarkEnd w:id="10"/>
          </w:p>
          <w:p w:rsidR="00403DFA" w:rsidRPr="00B07229" w:rsidP="0087579E">
            <w:pPr>
              <w:keepNext/>
              <w:spacing w:before="120" w:after="120" w:line="240" w:lineRule="auto"/>
              <w:ind w:hanging="360"/>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1.2 Problem definition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bookmarkStart w:id="11" w:name="_Toc420486209"/>
            <w:bookmarkStart w:id="12" w:name="_Toc444701032"/>
            <w:bookmarkEnd w:id="11"/>
            <w:r w:rsidRPr="00C67FEB">
              <w:rPr>
                <w:rFonts w:ascii="Times New Roman" w:eastAsia="Times New Roman" w:hAnsi="Times New Roman" w:cs="Times New Roman"/>
                <w:sz w:val="24"/>
                <w:szCs w:val="24"/>
                <w:lang w:val="en-GB" w:eastAsia="cs-CZ"/>
              </w:rPr>
              <w:t>The capital market in the Czech Republic is not sufficiently fulfilling its main function, i</w:t>
            </w:r>
            <w:r w:rsidRPr="00C67FEB" w:rsidR="007338B9">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7338B9">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to effectively redistribute free financial resources from savers and investors (households) to entrepreneurs who need to finance their development. Even for historical reasons, traditional banking financing (deposits and loans) prevails in the Czech Republic today</w:t>
            </w:r>
            <w:r w:rsidRPr="00C67FEB" w:rsidR="007338B9">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and relying on subsidies from the European Union also plays an important role. </w:t>
            </w:r>
            <w:bookmarkEnd w:id="12"/>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summary, the obstacles to the development of the capital market in the Czech Republic are, in particular, the conservative distribution of household assets, low old-age savings, low awareness of entrepreneurs about financing </w:t>
            </w:r>
            <w:r w:rsidRPr="00C67FEB" w:rsidR="007338B9">
              <w:rPr>
                <w:rFonts w:ascii="Times New Roman" w:eastAsia="Times New Roman" w:hAnsi="Times New Roman" w:cs="Times New Roman"/>
                <w:sz w:val="24"/>
                <w:szCs w:val="24"/>
                <w:lang w:val="en-GB" w:eastAsia="cs-CZ"/>
              </w:rPr>
              <w:t xml:space="preserve">oh </w:t>
            </w:r>
            <w:r w:rsidRPr="00C67FEB">
              <w:rPr>
                <w:rFonts w:ascii="Times New Roman" w:eastAsia="Times New Roman" w:hAnsi="Times New Roman" w:cs="Times New Roman"/>
                <w:sz w:val="24"/>
                <w:szCs w:val="24"/>
                <w:lang w:val="en-GB" w:eastAsia="cs-CZ"/>
              </w:rPr>
              <w:t xml:space="preserve">business and research through the capital market and low supply of domestic investment instruments </w:t>
            </w:r>
            <w:r w:rsidRPr="00C67FEB" w:rsidR="007338B9">
              <w:rPr>
                <w:rFonts w:ascii="Times New Roman" w:eastAsia="Times New Roman" w:hAnsi="Times New Roman" w:cs="Times New Roman"/>
                <w:sz w:val="24"/>
                <w:szCs w:val="24"/>
                <w:lang w:val="en-GB" w:eastAsia="cs-CZ"/>
              </w:rPr>
              <w:t xml:space="preserve">in comparison with </w:t>
            </w:r>
            <w:r w:rsidRPr="00C67FEB">
              <w:rPr>
                <w:rFonts w:ascii="Times New Roman" w:eastAsia="Times New Roman" w:hAnsi="Times New Roman" w:cs="Times New Roman"/>
                <w:sz w:val="24"/>
                <w:szCs w:val="24"/>
                <w:lang w:val="en-GB" w:eastAsia="cs-CZ"/>
              </w:rPr>
              <w:t xml:space="preserve">Western Europe. </w:t>
            </w:r>
          </w:p>
          <w:p w:rsidR="00403DFA" w:rsidRPr="00B07229" w:rsidP="0087579E">
            <w:pPr>
              <w:keepNext/>
              <w:spacing w:before="120" w:after="120" w:line="240" w:lineRule="auto"/>
              <w:ind w:hanging="360"/>
              <w:jc w:val="center"/>
              <w:rPr>
                <w:rFonts w:ascii="Times New Roman" w:eastAsia="Times New Roman" w:hAnsi="Times New Roman" w:cs="Times New Roman"/>
                <w:b/>
                <w:bCs/>
                <w:sz w:val="24"/>
                <w:szCs w:val="24"/>
                <w:lang w:val="en-GB" w:eastAsia="cs-CZ"/>
              </w:rPr>
            </w:pPr>
            <w:bookmarkStart w:id="13" w:name="_Toc526419224"/>
            <w:bookmarkStart w:id="14" w:name="_Toc526421148"/>
            <w:bookmarkEnd w:id="13"/>
            <w:r w:rsidRPr="00B07229">
              <w:rPr>
                <w:rFonts w:ascii="Times New Roman" w:eastAsia="Times New Roman" w:hAnsi="Times New Roman" w:cs="Times New Roman"/>
                <w:b/>
                <w:bCs/>
                <w:sz w:val="24"/>
                <w:szCs w:val="24"/>
                <w:lang w:val="en-GB" w:eastAsia="cs-CZ"/>
              </w:rPr>
              <w:t>1.3 Description of the existing legal situation in the area </w:t>
            </w:r>
            <w:bookmarkEnd w:id="14"/>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When describing the situation b</w:t>
            </w:r>
            <w:r w:rsidRPr="00C67FEB">
              <w:rPr>
                <w:rFonts w:ascii="Times New Roman" w:eastAsia="Times New Roman" w:hAnsi="Times New Roman" w:cs="Times New Roman"/>
                <w:sz w:val="24"/>
                <w:szCs w:val="24"/>
                <w:lang w:val="en-GB" w:eastAsia="cs-CZ"/>
              </w:rPr>
              <w:t>efore 1989 it</w:t>
            </w:r>
            <w:r w:rsidRPr="00C67FEB">
              <w:rPr>
                <w:rFonts w:ascii="Times New Roman" w:eastAsia="Times New Roman" w:hAnsi="Times New Roman" w:cs="Times New Roman"/>
                <w:sz w:val="24"/>
                <w:szCs w:val="24"/>
                <w:lang w:val="en-GB" w:eastAsia="cs-CZ"/>
              </w:rPr>
              <w:t xml:space="preserve"> is</w:t>
            </w:r>
            <w:r w:rsidRPr="00C67FEB">
              <w:rPr>
                <w:rFonts w:ascii="Times New Roman" w:eastAsia="Times New Roman" w:hAnsi="Times New Roman" w:cs="Times New Roman"/>
                <w:sz w:val="24"/>
                <w:szCs w:val="24"/>
                <w:lang w:val="en-GB" w:eastAsia="cs-CZ"/>
              </w:rPr>
              <w:t xml:space="preserve"> not possible to talk about the business environment in our country, because it did not exist because of the economy planned by the state. Since the fall of the Iron Curtain, nothing has been done for the capital market to support it. The bad experience with voucher privatization has also not contributed to its </w:t>
            </w:r>
            <w:r w:rsidRPr="00C67FEB">
              <w:rPr>
                <w:rFonts w:ascii="Times New Roman" w:eastAsia="Times New Roman" w:hAnsi="Times New Roman" w:cs="Times New Roman"/>
                <w:sz w:val="24"/>
                <w:szCs w:val="24"/>
                <w:lang w:val="en-GB" w:eastAsia="cs-CZ"/>
              </w:rPr>
              <w:t>attractiveness but</w:t>
            </w:r>
            <w:r w:rsidRPr="00C67FEB">
              <w:rPr>
                <w:rFonts w:ascii="Times New Roman" w:eastAsia="Times New Roman" w:hAnsi="Times New Roman" w:cs="Times New Roman"/>
                <w:sz w:val="24"/>
                <w:szCs w:val="24"/>
                <w:lang w:val="en-GB" w:eastAsia="cs-CZ"/>
              </w:rPr>
              <w:t xml:space="preserve"> has largely stigmatized it.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view of the above, the Government of the Czech Republic approved at its meeting on 4 March 2019 (Resolution No. 156) a non-legislative document entitled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sz w:val="24"/>
                <w:szCs w:val="24"/>
                <w:lang w:val="en-GB" w:eastAsia="cs-CZ"/>
              </w:rPr>
              <w:t>” (hereinafter referred to as the “</w:t>
            </w:r>
            <w:r w:rsidRPr="00C67FEB" w:rsidR="00254E72">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This government document is an </w:t>
            </w:r>
            <w:r w:rsidRPr="00C67FEB" w:rsidR="007F5A68">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 xml:space="preserve">ct </w:t>
            </w:r>
            <w:r w:rsidRPr="00C67FEB" w:rsidR="007F5A68">
              <w:rPr>
                <w:rFonts w:ascii="Times New Roman" w:eastAsia="Times New Roman" w:hAnsi="Times New Roman" w:cs="Times New Roman"/>
                <w:sz w:val="24"/>
                <w:szCs w:val="24"/>
                <w:lang w:val="en-GB" w:eastAsia="cs-CZ"/>
              </w:rPr>
              <w:t>signalling</w:t>
            </w:r>
            <w:r w:rsidRPr="00C67FEB">
              <w:rPr>
                <w:rFonts w:ascii="Times New Roman" w:eastAsia="Times New Roman" w:hAnsi="Times New Roman" w:cs="Times New Roman"/>
                <w:sz w:val="24"/>
                <w:szCs w:val="24"/>
                <w:lang w:val="en-GB" w:eastAsia="cs-CZ"/>
              </w:rPr>
              <w:t xml:space="preserve"> that the Czech Republic is interested in supporting the capital market.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w:t>
            </w:r>
            <w:r w:rsidRPr="00C67FEB" w:rsidR="00254E72">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contains 27 areas that need to be revised and 34 measures of a legislative and non-legislative nature are proposed for their implementation. The </w:t>
            </w:r>
            <w:r w:rsidRPr="00C67FEB" w:rsidR="007F5A68">
              <w:rPr>
                <w:rFonts w:ascii="Times New Roman" w:eastAsia="Times New Roman" w:hAnsi="Times New Roman" w:cs="Times New Roman"/>
                <w:sz w:val="24"/>
                <w:szCs w:val="24"/>
                <w:lang w:val="en-GB" w:eastAsia="cs-CZ"/>
              </w:rPr>
              <w:t>a</w:t>
            </w:r>
            <w:r w:rsidRPr="00C67FEB" w:rsidR="00FE0ACD">
              <w:rPr>
                <w:rFonts w:ascii="Times New Roman" w:eastAsia="Times New Roman" w:hAnsi="Times New Roman" w:cs="Times New Roman"/>
                <w:sz w:val="24"/>
                <w:szCs w:val="24"/>
                <w:lang w:val="en-GB" w:eastAsia="cs-CZ"/>
              </w:rPr>
              <w:t>ct</w:t>
            </w:r>
            <w:r w:rsidRPr="00C67FEB">
              <w:rPr>
                <w:rFonts w:ascii="Times New Roman" w:eastAsia="Times New Roman" w:hAnsi="Times New Roman" w:cs="Times New Roman"/>
                <w:sz w:val="24"/>
                <w:szCs w:val="24"/>
                <w:lang w:val="en-GB" w:eastAsia="cs-CZ"/>
              </w:rPr>
              <w:t xml:space="preserve"> will focus on legislative measures that require amendment of the law. At the same time, the proposed amendment is in line with the </w:t>
            </w:r>
            <w:r w:rsidRPr="00C67FEB" w:rsidR="007F5A68">
              <w:rPr>
                <w:rFonts w:ascii="Times New Roman" w:eastAsia="Times New Roman" w:hAnsi="Times New Roman" w:cs="Times New Roman"/>
                <w:sz w:val="24"/>
                <w:szCs w:val="24"/>
                <w:lang w:val="en-GB" w:eastAsia="cs-CZ"/>
              </w:rPr>
              <w:t>Policy Statement of the Government of the Czech Republic</w:t>
            </w:r>
            <w:r w:rsidRPr="00C67FEB">
              <w:rPr>
                <w:rFonts w:ascii="Times New Roman" w:eastAsia="Times New Roman" w:hAnsi="Times New Roman" w:cs="Times New Roman"/>
                <w:sz w:val="24"/>
                <w:szCs w:val="24"/>
                <w:lang w:val="en-GB" w:eastAsia="cs-CZ"/>
              </w:rPr>
              <w:t>, which provides inter alia: “We will support the development of the financial market and strengthen its resilience. We will also focus on protecting the rights of consumers of financial services and developing financial education.</w:t>
            </w:r>
            <w:r w:rsidRPr="00C67FE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w:t>
            </w:r>
            <w:r w:rsidRPr="00C67FEB" w:rsidR="007F5A68">
              <w:rPr>
                <w:rFonts w:ascii="Times New Roman" w:eastAsia="Times New Roman" w:hAnsi="Times New Roman" w:cs="Times New Roman"/>
                <w:sz w:val="24"/>
                <w:szCs w:val="24"/>
                <w:lang w:val="en-GB" w:eastAsia="cs-CZ"/>
              </w:rPr>
              <w:t>a</w:t>
            </w:r>
            <w:r w:rsidRPr="00C67FEB" w:rsidR="00FE0ACD">
              <w:rPr>
                <w:rFonts w:ascii="Times New Roman" w:eastAsia="Times New Roman" w:hAnsi="Times New Roman" w:cs="Times New Roman"/>
                <w:sz w:val="24"/>
                <w:szCs w:val="24"/>
                <w:lang w:val="en-GB" w:eastAsia="cs-CZ"/>
              </w:rPr>
              <w:t>ct</w:t>
            </w:r>
            <w:r w:rsidRPr="00C67FEB">
              <w:rPr>
                <w:rFonts w:ascii="Times New Roman" w:eastAsia="Times New Roman" w:hAnsi="Times New Roman" w:cs="Times New Roman"/>
                <w:sz w:val="24"/>
                <w:szCs w:val="24"/>
                <w:lang w:val="en-GB" w:eastAsia="cs-CZ"/>
              </w:rPr>
              <w:t xml:space="preserve">, which is expected to focus on legislative measures of the </w:t>
            </w:r>
            <w:r w:rsidRPr="00C67FEB" w:rsidR="00254E72">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which require changes </w:t>
            </w:r>
            <w:r w:rsidRPr="00C67FEB" w:rsidR="007F5A68">
              <w:rPr>
                <w:rFonts w:ascii="Times New Roman" w:eastAsia="Times New Roman" w:hAnsi="Times New Roman" w:cs="Times New Roman"/>
                <w:sz w:val="24"/>
                <w:szCs w:val="24"/>
                <w:lang w:val="en-GB" w:eastAsia="cs-CZ"/>
              </w:rPr>
              <w:t>of</w:t>
            </w:r>
            <w:r w:rsidRPr="00C67FEB">
              <w:rPr>
                <w:rFonts w:ascii="Times New Roman" w:eastAsia="Times New Roman" w:hAnsi="Times New Roman" w:cs="Times New Roman"/>
                <w:sz w:val="24"/>
                <w:szCs w:val="24"/>
                <w:lang w:val="en-GB" w:eastAsia="cs-CZ"/>
              </w:rPr>
              <w:t xml:space="preserve"> diverse laws, can be used in connection with the description of the legal situation in the area to evaluate as follows.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At present, the state supports only pension funds and life insurance in the form of tax deductions, although </w:t>
            </w:r>
            <w:r w:rsidRPr="00C67FEB" w:rsidR="007409AC">
              <w:rPr>
                <w:rFonts w:ascii="Times New Roman" w:eastAsia="Times New Roman" w:hAnsi="Times New Roman" w:cs="Times New Roman"/>
                <w:sz w:val="24"/>
                <w:szCs w:val="24"/>
                <w:lang w:val="en-GB" w:eastAsia="cs-CZ"/>
              </w:rPr>
              <w:t>old-age savings</w:t>
            </w:r>
            <w:r w:rsidRPr="00C67FEB">
              <w:rPr>
                <w:rFonts w:ascii="Times New Roman" w:eastAsia="Times New Roman" w:hAnsi="Times New Roman" w:cs="Times New Roman"/>
                <w:sz w:val="24"/>
                <w:szCs w:val="24"/>
                <w:lang w:val="en-GB" w:eastAsia="cs-CZ"/>
              </w:rPr>
              <w:t xml:space="preserve"> can also be generated using other financial products. The current legislation is in the Income Tax</w:t>
            </w:r>
            <w:r w:rsidRPr="00C67FEB" w:rsidR="00D169AF">
              <w:rPr>
                <w:rFonts w:ascii="Times New Roman" w:eastAsia="Times New Roman" w:hAnsi="Times New Roman" w:cs="Times New Roman"/>
                <w:sz w:val="24"/>
                <w:szCs w:val="24"/>
                <w:lang w:val="en-GB" w:eastAsia="cs-CZ"/>
              </w:rPr>
              <w:t>es</w:t>
            </w:r>
            <w:r w:rsidRPr="00C67FEB">
              <w:rPr>
                <w:rFonts w:ascii="Times New Roman" w:eastAsia="Times New Roman" w:hAnsi="Times New Roman" w:cs="Times New Roman"/>
                <w:sz w:val="24"/>
                <w:szCs w:val="24"/>
                <w:lang w:val="en-GB" w:eastAsia="cs-CZ"/>
              </w:rPr>
              <w:t xml:space="preserve"> Act.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Currently, there are internet advertising portals that allow issuers to offer their bonds without these portals being regulated or subject to CNB supervision, so it is advisable to regulate advertising for investment instruments with the new rules being complied with by all entities performing such advertising, and thus also entities regulated by the CNB (it is proposed t</w:t>
            </w:r>
            <w:r w:rsidRPr="00C67FEB" w:rsidR="007409AC">
              <w:rPr>
                <w:rFonts w:ascii="Times New Roman" w:eastAsia="Times New Roman" w:hAnsi="Times New Roman" w:cs="Times New Roman"/>
                <w:sz w:val="24"/>
                <w:szCs w:val="24"/>
                <w:lang w:val="en-GB" w:eastAsia="cs-CZ"/>
              </w:rPr>
              <w:t>ake</w:t>
            </w:r>
            <w:r w:rsidRPr="00C67FEB">
              <w:rPr>
                <w:rFonts w:ascii="Times New Roman" w:eastAsia="Times New Roman" w:hAnsi="Times New Roman" w:cs="Times New Roman"/>
                <w:sz w:val="24"/>
                <w:szCs w:val="24"/>
                <w:lang w:val="en-GB" w:eastAsia="cs-CZ"/>
              </w:rPr>
              <w:t xml:space="preserve"> inspir</w:t>
            </w:r>
            <w:r w:rsidRPr="00C67FEB" w:rsidR="007409AC">
              <w:rPr>
                <w:rFonts w:ascii="Times New Roman" w:eastAsia="Times New Roman" w:hAnsi="Times New Roman" w:cs="Times New Roman"/>
                <w:sz w:val="24"/>
                <w:szCs w:val="24"/>
                <w:lang w:val="en-GB" w:eastAsia="cs-CZ"/>
              </w:rPr>
              <w:t>ation</w:t>
            </w:r>
            <w:r w:rsidRPr="00C67FEB">
              <w:rPr>
                <w:rFonts w:ascii="Times New Roman" w:eastAsia="Times New Roman" w:hAnsi="Times New Roman" w:cs="Times New Roman"/>
                <w:sz w:val="24"/>
                <w:szCs w:val="24"/>
                <w:lang w:val="en-GB" w:eastAsia="cs-CZ"/>
              </w:rPr>
              <w:t xml:space="preserve"> </w:t>
            </w:r>
            <w:r w:rsidRPr="00C67FEB" w:rsidR="007409AC">
              <w:rPr>
                <w:rFonts w:ascii="Times New Roman" w:eastAsia="Times New Roman" w:hAnsi="Times New Roman" w:cs="Times New Roman"/>
                <w:sz w:val="24"/>
                <w:szCs w:val="24"/>
                <w:lang w:val="en-GB" w:eastAsia="cs-CZ"/>
              </w:rPr>
              <w:t>from</w:t>
            </w:r>
            <w:r w:rsidRPr="00C67FEB">
              <w:rPr>
                <w:rFonts w:ascii="Times New Roman" w:eastAsia="Times New Roman" w:hAnsi="Times New Roman" w:cs="Times New Roman"/>
                <w:sz w:val="24"/>
                <w:szCs w:val="24"/>
                <w:lang w:val="en-GB" w:eastAsia="cs-CZ"/>
              </w:rPr>
              <w:t xml:space="preserve"> the regulation of gambling advertising). The current legislation is in the Advertising Act.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Bailiffs</w:t>
            </w:r>
            <w:r w:rsidRPr="00C67FEB">
              <w:rPr>
                <w:rFonts w:ascii="Times New Roman" w:eastAsia="Times New Roman" w:hAnsi="Times New Roman" w:cs="Times New Roman"/>
                <w:sz w:val="24"/>
                <w:szCs w:val="24"/>
                <w:lang w:val="en-GB" w:eastAsia="cs-CZ"/>
              </w:rPr>
              <w:t xml:space="preserve"> are now obliged to use the XML format only when communicating with banks. This causes unjustified market inequality and higher costs for non-banking financial institutions in executing </w:t>
            </w:r>
            <w:r w:rsidRPr="00C67FEB">
              <w:rPr>
                <w:rFonts w:ascii="Times New Roman" w:eastAsia="Times New Roman" w:hAnsi="Times New Roman" w:cs="Times New Roman"/>
                <w:sz w:val="24"/>
                <w:szCs w:val="24"/>
                <w:lang w:val="en-GB" w:eastAsia="cs-CZ"/>
              </w:rPr>
              <w:t>bailiff</w:t>
            </w:r>
            <w:r w:rsidRPr="00C67FEB">
              <w:rPr>
                <w:rFonts w:ascii="Times New Roman" w:eastAsia="Times New Roman" w:hAnsi="Times New Roman" w:cs="Times New Roman"/>
                <w:sz w:val="24"/>
                <w:szCs w:val="24"/>
                <w:lang w:val="en-GB" w:eastAsia="cs-CZ"/>
              </w:rPr>
              <w:t xml:space="preserve">s' requests. The existing legislation is in the </w:t>
            </w:r>
            <w:r w:rsidRPr="00C67FEB" w:rsidR="00D169AF">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At present, the </w:t>
            </w:r>
            <w:r w:rsidRPr="00C67FEB" w:rsidR="005A680A">
              <w:rPr>
                <w:rFonts w:ascii="Times New Roman" w:eastAsia="Times New Roman" w:hAnsi="Times New Roman" w:cs="Times New Roman"/>
                <w:sz w:val="24"/>
                <w:szCs w:val="24"/>
                <w:lang w:val="en-GB" w:eastAsia="cs-CZ"/>
              </w:rPr>
              <w:t>terms of issue</w:t>
            </w:r>
            <w:r w:rsidRPr="00C67FEB">
              <w:rPr>
                <w:rFonts w:ascii="Times New Roman" w:eastAsia="Times New Roman" w:hAnsi="Times New Roman" w:cs="Times New Roman"/>
                <w:sz w:val="24"/>
                <w:szCs w:val="24"/>
                <w:lang w:val="en-GB" w:eastAsia="cs-CZ"/>
              </w:rPr>
              <w:t xml:space="preserve"> and the bonds do not, in principle, contain any information about the issuer, so that it is not possible to assess the issuer's ability to repay these bonds. Typically, the prospectus contains information on both the issue and the issuer, however, the prospectus is not prepared for bond issues up to EUR 1 million. In April 2019, the </w:t>
            </w:r>
            <w:r w:rsidRPr="00C67FEB" w:rsidR="005A680A">
              <w:rPr>
                <w:rFonts w:ascii="Times New Roman" w:eastAsia="Times New Roman" w:hAnsi="Times New Roman" w:cs="Times New Roman"/>
                <w:sz w:val="24"/>
                <w:szCs w:val="24"/>
                <w:lang w:val="en-GB" w:eastAsia="cs-CZ"/>
              </w:rPr>
              <w:t>Ministry of Finance</w:t>
            </w:r>
            <w:r w:rsidRPr="00C67FEB">
              <w:rPr>
                <w:rFonts w:ascii="Times New Roman" w:eastAsia="Times New Roman" w:hAnsi="Times New Roman" w:cs="Times New Roman"/>
                <w:sz w:val="24"/>
                <w:szCs w:val="24"/>
                <w:lang w:val="en-GB" w:eastAsia="cs-CZ"/>
              </w:rPr>
              <w:t xml:space="preserve"> published a public consultation on Corporate Bond</w:t>
            </w:r>
            <w:r w:rsidRPr="00C67FEB" w:rsidR="005A680A">
              <w:rPr>
                <w:rFonts w:ascii="Times New Roman" w:eastAsia="Times New Roman" w:hAnsi="Times New Roman" w:cs="Times New Roman"/>
                <w:sz w:val="24"/>
                <w:szCs w:val="24"/>
                <w:lang w:val="en-GB" w:eastAsia="cs-CZ"/>
              </w:rPr>
              <w:t xml:space="preserve"> Scorecard</w:t>
            </w:r>
            <w:r w:rsidRPr="00C67FEB">
              <w:rPr>
                <w:rFonts w:ascii="Times New Roman" w:eastAsia="Times New Roman" w:hAnsi="Times New Roman" w:cs="Times New Roman"/>
                <w:sz w:val="24"/>
                <w:szCs w:val="24"/>
                <w:lang w:val="en-GB" w:eastAsia="cs-CZ"/>
              </w:rPr>
              <w:t xml:space="preserve">, which allows investors to better assess the risk of corporate bonds, but there is often the problem that the bond issuer does not disclose its financial information (typically in the Commercial Register), or </w:t>
            </w:r>
            <w:r w:rsidRPr="00C67FEB" w:rsidR="005A680A">
              <w:rPr>
                <w:rFonts w:ascii="Times New Roman" w:eastAsia="Times New Roman" w:hAnsi="Times New Roman" w:cs="Times New Roman"/>
                <w:sz w:val="24"/>
                <w:szCs w:val="24"/>
                <w:lang w:val="en-GB" w:eastAsia="cs-CZ"/>
              </w:rPr>
              <w:t>the information is dated and</w:t>
            </w:r>
            <w:r w:rsidRPr="00C67FEB">
              <w:rPr>
                <w:rFonts w:ascii="Times New Roman" w:eastAsia="Times New Roman" w:hAnsi="Times New Roman" w:cs="Times New Roman"/>
                <w:sz w:val="24"/>
                <w:szCs w:val="24"/>
                <w:lang w:val="en-GB" w:eastAsia="cs-CZ"/>
              </w:rPr>
              <w:t xml:space="preserve"> do not take into account the planned bond issue. Moreover, even if the information is part of the </w:t>
            </w:r>
            <w:r w:rsidRPr="00C67FEB" w:rsidR="005A680A">
              <w:rPr>
                <w:rFonts w:ascii="Times New Roman" w:eastAsia="Times New Roman" w:hAnsi="Times New Roman" w:cs="Times New Roman"/>
                <w:sz w:val="24"/>
                <w:szCs w:val="24"/>
                <w:lang w:val="en-GB" w:eastAsia="cs-CZ"/>
              </w:rPr>
              <w:t>terms of issue</w:t>
            </w:r>
            <w:r w:rsidRPr="00C67FEB">
              <w:rPr>
                <w:rFonts w:ascii="Times New Roman" w:eastAsia="Times New Roman" w:hAnsi="Times New Roman" w:cs="Times New Roman"/>
                <w:sz w:val="24"/>
                <w:szCs w:val="24"/>
                <w:lang w:val="en-GB" w:eastAsia="cs-CZ"/>
              </w:rPr>
              <w:t xml:space="preserve"> (or is included in the prospectus today), it does not allow investors to make a simple comparison of individual issues for the scope of these documents, which in addition do not provide some indicators at all</w:t>
            </w:r>
            <w:r w:rsidRPr="00C67FEB" w:rsidR="005A680A">
              <w:rPr>
                <w:rFonts w:ascii="Times New Roman" w:eastAsia="Times New Roman" w:hAnsi="Times New Roman" w:cs="Times New Roman"/>
                <w:sz w:val="24"/>
                <w:szCs w:val="24"/>
                <w:lang w:val="en-GB" w:eastAsia="cs-CZ"/>
              </w:rPr>
              <w:t>, so it is necessary to</w:t>
            </w:r>
            <w:r w:rsidRPr="00C67FEB">
              <w:rPr>
                <w:rFonts w:ascii="Times New Roman" w:eastAsia="Times New Roman" w:hAnsi="Times New Roman" w:cs="Times New Roman"/>
                <w:sz w:val="24"/>
                <w:szCs w:val="24"/>
                <w:lang w:val="en-GB" w:eastAsia="cs-CZ"/>
              </w:rPr>
              <w:t xml:space="preserve"> </w:t>
            </w:r>
            <w:r w:rsidRPr="00C67FEB" w:rsidR="004D4079">
              <w:rPr>
                <w:rFonts w:ascii="Times New Roman" w:eastAsia="Times New Roman" w:hAnsi="Times New Roman" w:cs="Times New Roman"/>
                <w:sz w:val="24"/>
                <w:szCs w:val="24"/>
                <w:lang w:val="en-GB" w:eastAsia="cs-CZ"/>
              </w:rPr>
              <w:t xml:space="preserve">search in financial statements (which could not </w:t>
            </w:r>
            <w:r w:rsidRPr="00C67FEB">
              <w:rPr>
                <w:rFonts w:ascii="Times New Roman" w:eastAsia="Times New Roman" w:hAnsi="Times New Roman" w:cs="Times New Roman"/>
                <w:sz w:val="24"/>
                <w:szCs w:val="24"/>
                <w:lang w:val="en-GB" w:eastAsia="cs-CZ"/>
              </w:rPr>
              <w:t>be up-to-date). The existing legislation is in the Bonds Act.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Nowadays, the state supports tax investments in life insurance or pension funds, which </w:t>
            </w:r>
            <w:r w:rsidRPr="00C67FEB" w:rsidR="004D4079">
              <w:rPr>
                <w:rFonts w:ascii="Times New Roman" w:eastAsia="Times New Roman" w:hAnsi="Times New Roman" w:cs="Times New Roman"/>
                <w:sz w:val="24"/>
                <w:szCs w:val="24"/>
                <w:lang w:val="en-GB" w:eastAsia="cs-CZ"/>
              </w:rPr>
              <w:t>impedes usage of</w:t>
            </w:r>
            <w:r w:rsidRPr="00C67FEB">
              <w:rPr>
                <w:rFonts w:ascii="Times New Roman" w:eastAsia="Times New Roman" w:hAnsi="Times New Roman" w:cs="Times New Roman"/>
                <w:sz w:val="24"/>
                <w:szCs w:val="24"/>
                <w:lang w:val="en-GB" w:eastAsia="cs-CZ"/>
              </w:rPr>
              <w:t xml:space="preserve"> other products of </w:t>
            </w:r>
            <w:r w:rsidRPr="00C67FEB" w:rsidR="004D4079">
              <w:rPr>
                <w:rFonts w:ascii="Times New Roman" w:eastAsia="Times New Roman" w:hAnsi="Times New Roman" w:cs="Times New Roman"/>
                <w:sz w:val="24"/>
                <w:szCs w:val="24"/>
                <w:lang w:val="en-GB" w:eastAsia="cs-CZ"/>
              </w:rPr>
              <w:t>old-age savings</w:t>
            </w:r>
            <w:r w:rsidRPr="00C67FEB">
              <w:rPr>
                <w:rFonts w:ascii="Times New Roman" w:eastAsia="Times New Roman" w:hAnsi="Times New Roman" w:cs="Times New Roman"/>
                <w:sz w:val="24"/>
                <w:szCs w:val="24"/>
                <w:lang w:val="en-GB" w:eastAsia="cs-CZ"/>
              </w:rPr>
              <w:t xml:space="preserve"> - this is primarily addressed by the amendment to the</w:t>
            </w:r>
            <w:r w:rsidRPr="00C67FEB" w:rsidR="00D169AF">
              <w:rPr>
                <w:rFonts w:ascii="Times New Roman" w:eastAsia="Times New Roman" w:hAnsi="Times New Roman" w:cs="Times New Roman"/>
                <w:sz w:val="24"/>
                <w:szCs w:val="24"/>
                <w:lang w:val="en-GB" w:eastAsia="cs-CZ"/>
              </w:rPr>
              <w:t xml:space="preserve"> Income Taxes Act</w:t>
            </w:r>
            <w:r w:rsidRPr="00C67FEB">
              <w:rPr>
                <w:rFonts w:ascii="Times New Roman" w:eastAsia="Times New Roman" w:hAnsi="Times New Roman" w:cs="Times New Roman"/>
                <w:sz w:val="24"/>
                <w:szCs w:val="24"/>
                <w:lang w:val="en-GB" w:eastAsia="cs-CZ"/>
              </w:rPr>
              <w:t>, but in order to meet it, it is necessary to introduce appropriate sectoral regulation to ensure compliance with at least minimum requirements and supervision</w:t>
            </w:r>
            <w:r w:rsidRPr="00C67FEB" w:rsidR="004D4079">
              <w:rPr>
                <w:rFonts w:ascii="Times New Roman" w:eastAsia="Times New Roman" w:hAnsi="Times New Roman" w:cs="Times New Roman"/>
                <w:sz w:val="24"/>
                <w:szCs w:val="24"/>
                <w:lang w:val="en-GB" w:eastAsia="cs-CZ"/>
              </w:rPr>
              <w:t xml:space="preserve"> of the</w:t>
            </w:r>
            <w:r w:rsidRPr="00C67FEB">
              <w:rPr>
                <w:rFonts w:ascii="Times New Roman" w:eastAsia="Times New Roman" w:hAnsi="Times New Roman" w:cs="Times New Roman"/>
                <w:sz w:val="24"/>
                <w:szCs w:val="24"/>
                <w:lang w:val="en-GB" w:eastAsia="cs-CZ"/>
              </w:rPr>
              <w:t xml:space="preserve"> CNB. Although some advertising portals today report that they are not subject to </w:t>
            </w:r>
            <w:r w:rsidRPr="00C67FEB" w:rsidR="004D4079">
              <w:rPr>
                <w:rFonts w:ascii="Times New Roman" w:eastAsia="Times New Roman" w:hAnsi="Times New Roman" w:cs="Times New Roman"/>
                <w:sz w:val="24"/>
                <w:szCs w:val="24"/>
                <w:lang w:val="en-GB" w:eastAsia="cs-CZ"/>
              </w:rPr>
              <w:t xml:space="preserve">the </w:t>
            </w:r>
            <w:r w:rsidRPr="00C67FEB">
              <w:rPr>
                <w:rFonts w:ascii="Times New Roman" w:eastAsia="Times New Roman" w:hAnsi="Times New Roman" w:cs="Times New Roman"/>
                <w:sz w:val="24"/>
                <w:szCs w:val="24"/>
                <w:lang w:val="en-GB" w:eastAsia="cs-CZ"/>
              </w:rPr>
              <w:t xml:space="preserve">CNB supervision, they do so voluntarily and unsystematically, moreover, they do not face penalties for not disclosing this data, and this </w:t>
            </w:r>
            <w:r w:rsidRPr="00C67FEB">
              <w:rPr>
                <w:rFonts w:ascii="Times New Roman" w:eastAsia="Times New Roman" w:hAnsi="Times New Roman" w:cs="Times New Roman"/>
                <w:i/>
                <w:iCs/>
                <w:sz w:val="24"/>
                <w:szCs w:val="24"/>
                <w:lang w:val="en-GB" w:eastAsia="cs-CZ"/>
              </w:rPr>
              <w:t xml:space="preserve">disclaimer </w:t>
            </w:r>
            <w:r w:rsidRPr="00C67FEB">
              <w:rPr>
                <w:rFonts w:ascii="Times New Roman" w:eastAsia="Times New Roman" w:hAnsi="Times New Roman" w:cs="Times New Roman"/>
                <w:sz w:val="24"/>
                <w:szCs w:val="24"/>
                <w:lang w:val="en-GB" w:eastAsia="cs-CZ"/>
              </w:rPr>
              <w:t xml:space="preserve">is often presented in a </w:t>
            </w:r>
            <w:r w:rsidRPr="00C67FEB" w:rsidR="004D4079">
              <w:rPr>
                <w:rFonts w:ascii="Times New Roman" w:eastAsia="Times New Roman" w:hAnsi="Times New Roman" w:cs="Times New Roman"/>
                <w:sz w:val="24"/>
                <w:szCs w:val="24"/>
                <w:lang w:val="en-GB" w:eastAsia="cs-CZ"/>
              </w:rPr>
              <w:t>grey</w:t>
            </w:r>
            <w:r w:rsidRPr="00C67FEB">
              <w:rPr>
                <w:rFonts w:ascii="Times New Roman" w:eastAsia="Times New Roman" w:hAnsi="Times New Roman" w:cs="Times New Roman"/>
                <w:sz w:val="24"/>
                <w:szCs w:val="24"/>
                <w:lang w:val="en-GB" w:eastAsia="cs-CZ"/>
              </w:rPr>
              <w:t xml:space="preserve"> manner (smaller pale font at the bottom of the website)</w:t>
            </w:r>
            <w:r w:rsidRPr="00C67FEB" w:rsidR="004D4079">
              <w:rPr>
                <w:rFonts w:ascii="Times New Roman" w:eastAsia="Times New Roman" w:hAnsi="Times New Roman" w:cs="Times New Roman"/>
                <w:sz w:val="24"/>
                <w:szCs w:val="24"/>
                <w:lang w:val="en-GB" w:eastAsia="cs-CZ"/>
              </w:rPr>
              <w:t>, which should be corrected</w:t>
            </w:r>
            <w:r w:rsidRPr="00C67FEB">
              <w:rPr>
                <w:rFonts w:ascii="Times New Roman" w:eastAsia="Times New Roman" w:hAnsi="Times New Roman" w:cs="Times New Roman"/>
                <w:sz w:val="24"/>
                <w:szCs w:val="24"/>
                <w:lang w:val="en-GB" w:eastAsia="cs-CZ"/>
              </w:rPr>
              <w:t xml:space="preserve"> .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Pension funds have a very limited investment strategy that follows almost literally the regulation of UCITS funds harmonized by EU law, which is characterized, inter alia, by permanently offering redemption to its investors and therefore ha</w:t>
            </w:r>
            <w:r w:rsidRPr="00C67FEB" w:rsidR="00242415">
              <w:rPr>
                <w:rFonts w:ascii="Times New Roman" w:eastAsia="Times New Roman" w:hAnsi="Times New Roman" w:cs="Times New Roman"/>
                <w:sz w:val="24"/>
                <w:szCs w:val="24"/>
                <w:lang w:val="en-GB" w:eastAsia="cs-CZ"/>
              </w:rPr>
              <w:t>ve</w:t>
            </w:r>
            <w:r w:rsidRPr="00C67FEB">
              <w:rPr>
                <w:rFonts w:ascii="Times New Roman" w:eastAsia="Times New Roman" w:hAnsi="Times New Roman" w:cs="Times New Roman"/>
                <w:sz w:val="24"/>
                <w:szCs w:val="24"/>
                <w:lang w:val="en-GB" w:eastAsia="cs-CZ"/>
              </w:rPr>
              <w:t xml:space="preserve"> to invest only in highly liquid assets (typically listed shares and bonds). In addition, limiting the maximum amount of the remuneration of a pension company, which is additionally designed as an </w:t>
            </w:r>
            <w:r w:rsidRPr="00C67FEB">
              <w:rPr>
                <w:rFonts w:ascii="Times New Roman" w:eastAsia="Times New Roman" w:hAnsi="Times New Roman" w:cs="Times New Roman"/>
                <w:i/>
                <w:iCs/>
                <w:sz w:val="24"/>
                <w:szCs w:val="24"/>
                <w:lang w:val="en-GB" w:eastAsia="cs-CZ"/>
              </w:rPr>
              <w:t xml:space="preserve">all-in-one </w:t>
            </w:r>
            <w:r w:rsidRPr="00C67FEB">
              <w:rPr>
                <w:rFonts w:ascii="Times New Roman" w:eastAsia="Times New Roman" w:hAnsi="Times New Roman" w:cs="Times New Roman"/>
                <w:sz w:val="24"/>
                <w:szCs w:val="24"/>
                <w:lang w:val="en-GB" w:eastAsia="cs-CZ"/>
              </w:rPr>
              <w:t>(i</w:t>
            </w:r>
            <w:r w:rsidRPr="00C67FEB" w:rsidR="00242415">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242415">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no costs can be charged directly to the fund), and the obligation to reduce this remuneration by the remuneration paid to the fund manager </w:t>
            </w:r>
            <w:r w:rsidRPr="00C67FEB" w:rsidR="00242415">
              <w:rPr>
                <w:rFonts w:ascii="Times New Roman" w:eastAsia="Times New Roman" w:hAnsi="Times New Roman" w:cs="Times New Roman"/>
                <w:sz w:val="24"/>
                <w:szCs w:val="24"/>
                <w:lang w:val="en-GB" w:eastAsia="cs-CZ"/>
              </w:rPr>
              <w:t xml:space="preserve">leads </w:t>
            </w:r>
            <w:r w:rsidRPr="00C67FEB">
              <w:rPr>
                <w:rFonts w:ascii="Times New Roman" w:eastAsia="Times New Roman" w:hAnsi="Times New Roman" w:cs="Times New Roman"/>
                <w:sz w:val="24"/>
                <w:szCs w:val="24"/>
                <w:lang w:val="en-GB" w:eastAsia="cs-CZ"/>
              </w:rPr>
              <w:t xml:space="preserve">to the fact that Czech pension funds do not invest in assets that are common for pension funds in advanced economies, especially in so-called </w:t>
            </w:r>
            <w:r w:rsidRPr="00C67FEB">
              <w:rPr>
                <w:rFonts w:ascii="Times New Roman" w:eastAsia="Times New Roman" w:hAnsi="Times New Roman" w:cs="Times New Roman"/>
                <w:i/>
                <w:iCs/>
                <w:sz w:val="24"/>
                <w:szCs w:val="24"/>
                <w:lang w:val="en-GB" w:eastAsia="cs-CZ"/>
              </w:rPr>
              <w:t xml:space="preserve">private equity </w:t>
            </w:r>
            <w:r w:rsidRPr="00C67FEB">
              <w:rPr>
                <w:rFonts w:ascii="Times New Roman" w:eastAsia="Times New Roman" w:hAnsi="Times New Roman" w:cs="Times New Roman"/>
                <w:sz w:val="24"/>
                <w:szCs w:val="24"/>
                <w:lang w:val="en-GB" w:eastAsia="cs-CZ"/>
              </w:rPr>
              <w:t xml:space="preserve">funds (funds investing in large unlisted companies with an investment horizon of 10 years) and infrastructure projects. Most of the participants remain in the transformed funds, which are closed to new entrants, but the existing participants continue to contribute regularly, while the transformed funds are due to the </w:t>
            </w:r>
            <w:r w:rsidRPr="00C67FEB" w:rsidR="00242415">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black zero guarantee</w:t>
            </w:r>
            <w:r w:rsidRPr="00C67FEB" w:rsidR="00242415">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(no year </w:t>
            </w:r>
            <w:r w:rsidRPr="00C67FEB" w:rsidR="00242415">
              <w:rPr>
                <w:rFonts w:ascii="Times New Roman" w:eastAsia="Times New Roman" w:hAnsi="Times New Roman" w:cs="Times New Roman"/>
                <w:sz w:val="24"/>
                <w:szCs w:val="24"/>
                <w:lang w:val="en-GB" w:eastAsia="cs-CZ"/>
              </w:rPr>
              <w:t>can end in loss</w:t>
            </w:r>
            <w:r w:rsidRPr="00C67FEB">
              <w:rPr>
                <w:rFonts w:ascii="Times New Roman" w:eastAsia="Times New Roman" w:hAnsi="Times New Roman" w:cs="Times New Roman"/>
                <w:sz w:val="24"/>
                <w:szCs w:val="24"/>
                <w:lang w:val="en-GB" w:eastAsia="cs-CZ"/>
              </w:rPr>
              <w:t xml:space="preserve">, otherwise the pension company has to pay the loss from its </w:t>
            </w:r>
            <w:r w:rsidRPr="00C67FEB" w:rsidR="00242415">
              <w:rPr>
                <w:rFonts w:ascii="Times New Roman" w:eastAsia="Times New Roman" w:hAnsi="Times New Roman" w:cs="Times New Roman"/>
                <w:sz w:val="24"/>
                <w:szCs w:val="24"/>
                <w:lang w:val="en-GB" w:eastAsia="cs-CZ"/>
              </w:rPr>
              <w:t>assets</w:t>
            </w:r>
            <w:r w:rsidRPr="00C67FEB">
              <w:rPr>
                <w:rFonts w:ascii="Times New Roman" w:eastAsia="Times New Roman" w:hAnsi="Times New Roman" w:cs="Times New Roman"/>
                <w:sz w:val="24"/>
                <w:szCs w:val="24"/>
                <w:lang w:val="en-GB" w:eastAsia="cs-CZ"/>
              </w:rPr>
              <w:t xml:space="preserve">) are </w:t>
            </w:r>
            <w:r w:rsidRPr="00C67FEB" w:rsidR="00242415">
              <w:rPr>
                <w:rFonts w:ascii="Times New Roman" w:eastAsia="Times New Roman" w:hAnsi="Times New Roman" w:cs="Times New Roman"/>
                <w:sz w:val="24"/>
                <w:szCs w:val="24"/>
                <w:lang w:val="en-GB" w:eastAsia="cs-CZ"/>
              </w:rPr>
              <w:t xml:space="preserve">investing </w:t>
            </w:r>
            <w:r w:rsidRPr="00C67FEB">
              <w:rPr>
                <w:rFonts w:ascii="Times New Roman" w:eastAsia="Times New Roman" w:hAnsi="Times New Roman" w:cs="Times New Roman"/>
                <w:sz w:val="24"/>
                <w:szCs w:val="24"/>
                <w:lang w:val="en-GB" w:eastAsia="cs-CZ"/>
              </w:rPr>
              <w:t>very conservative</w:t>
            </w:r>
            <w:r w:rsidRPr="00C67FEB" w:rsidR="00242415">
              <w:rPr>
                <w:rFonts w:ascii="Times New Roman" w:eastAsia="Times New Roman" w:hAnsi="Times New Roman" w:cs="Times New Roman"/>
                <w:sz w:val="24"/>
                <w:szCs w:val="24"/>
                <w:lang w:val="en-GB" w:eastAsia="cs-CZ"/>
              </w:rPr>
              <w:t>ly</w:t>
            </w:r>
            <w:r w:rsidRPr="00C67FEB">
              <w:rPr>
                <w:rFonts w:ascii="Times New Roman" w:eastAsia="Times New Roman" w:hAnsi="Times New Roman" w:cs="Times New Roman"/>
                <w:sz w:val="24"/>
                <w:szCs w:val="24"/>
                <w:lang w:val="en-GB" w:eastAsia="cs-CZ"/>
              </w:rPr>
              <w:t xml:space="preserve"> and in most cases are not able to cover inflation, which in the long term leads to devaluation of invested funds. In addition, due to a very conservative strategy (enforced by virtually a guarantee), they invest only in government bonds and bank deposits and thus do not contribute to the development of the capital market in the Czech Republic (and at the same time represent a significant and </w:t>
            </w:r>
            <w:r w:rsidRPr="00C67FEB" w:rsidR="00C92CF4">
              <w:rPr>
                <w:rFonts w:ascii="Times New Roman" w:eastAsia="Times New Roman" w:hAnsi="Times New Roman" w:cs="Times New Roman"/>
                <w:sz w:val="24"/>
                <w:szCs w:val="24"/>
                <w:lang w:val="en-GB" w:eastAsia="cs-CZ"/>
              </w:rPr>
              <w:t>weighty</w:t>
            </w:r>
            <w:r w:rsidRPr="00C67FEB">
              <w:rPr>
                <w:rFonts w:ascii="Times New Roman" w:eastAsia="Times New Roman" w:hAnsi="Times New Roman" w:cs="Times New Roman"/>
                <w:sz w:val="24"/>
                <w:szCs w:val="24"/>
                <w:lang w:val="en-GB" w:eastAsia="cs-CZ"/>
              </w:rPr>
              <w:t xml:space="preserve"> share of Czech citizens' old</w:t>
            </w:r>
            <w:r w:rsidRPr="00C67FEB" w:rsidR="00C92CF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age savings). Although transformed funds are closed to new entrants, existing participants have no incentive to transfer their funds to particip</w:t>
            </w:r>
            <w:r w:rsidRPr="00C67FEB" w:rsidR="00D169AF">
              <w:rPr>
                <w:rFonts w:ascii="Times New Roman" w:eastAsia="Times New Roman" w:hAnsi="Times New Roman" w:cs="Times New Roman"/>
                <w:sz w:val="24"/>
                <w:szCs w:val="24"/>
                <w:lang w:val="en-GB" w:eastAsia="cs-CZ"/>
              </w:rPr>
              <w:t>ation</w:t>
            </w:r>
            <w:r w:rsidRPr="00C67FEB">
              <w:rPr>
                <w:rFonts w:ascii="Times New Roman" w:eastAsia="Times New Roman" w:hAnsi="Times New Roman" w:cs="Times New Roman"/>
                <w:sz w:val="24"/>
                <w:szCs w:val="24"/>
                <w:lang w:val="en-GB" w:eastAsia="cs-CZ"/>
              </w:rPr>
              <w:t xml:space="preserve"> funds which, while not offering a guarantee (and also </w:t>
            </w:r>
            <w:r w:rsidRPr="00C67FEB" w:rsidR="00C92CF4">
              <w:rPr>
                <w:rFonts w:ascii="Times New Roman" w:eastAsia="Times New Roman" w:hAnsi="Times New Roman" w:cs="Times New Roman"/>
                <w:sz w:val="24"/>
                <w:szCs w:val="24"/>
                <w:lang w:val="en-GB" w:eastAsia="cs-CZ"/>
              </w:rPr>
              <w:t xml:space="preserve">being </w:t>
            </w:r>
            <w:r w:rsidRPr="00C67FEB">
              <w:rPr>
                <w:rFonts w:ascii="Times New Roman" w:eastAsia="Times New Roman" w:hAnsi="Times New Roman" w:cs="Times New Roman"/>
                <w:sz w:val="24"/>
                <w:szCs w:val="24"/>
                <w:lang w:val="en-GB" w:eastAsia="cs-CZ"/>
              </w:rPr>
              <w:t>more risky), can offer potentially more attractive returns that easily cover inflation in the long run and they can also offer a return on inflation (according to the dynamics of the participant's chosen investment strategy). As a reason why participants do not switch from transformed funds to participa</w:t>
            </w:r>
            <w:r w:rsidRPr="00C67FEB" w:rsidR="00D169AF">
              <w:rPr>
                <w:rFonts w:ascii="Times New Roman" w:eastAsia="Times New Roman" w:hAnsi="Times New Roman" w:cs="Times New Roman"/>
                <w:sz w:val="24"/>
                <w:szCs w:val="24"/>
                <w:lang w:val="en-GB" w:eastAsia="cs-CZ"/>
              </w:rPr>
              <w:t>tion</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funds ,</w:t>
            </w:r>
            <w:r w:rsidRPr="00C67FEB">
              <w:rPr>
                <w:rFonts w:ascii="Times New Roman" w:eastAsia="Times New Roman" w:hAnsi="Times New Roman" w:cs="Times New Roman"/>
                <w:sz w:val="24"/>
                <w:szCs w:val="24"/>
                <w:lang w:val="en-GB" w:eastAsia="cs-CZ"/>
              </w:rPr>
              <w:t xml:space="preserve"> it is often stated that they do not want to lose their entitlements from the transformed fund (e</w:t>
            </w:r>
            <w:r w:rsidRPr="00C67FEB" w:rsidR="00C92CF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g</w:t>
            </w:r>
            <w:r w:rsidRPr="00C67FEB" w:rsidR="00C92CF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the so-called retirement pension) where the current law does not allow them to participate in the transformed fund</w:t>
            </w:r>
            <w:r w:rsidRPr="00C67FEB" w:rsidR="00C92CF4">
              <w:rPr>
                <w:rFonts w:ascii="Times New Roman" w:eastAsia="Times New Roman" w:hAnsi="Times New Roman" w:cs="Times New Roman"/>
                <w:sz w:val="24"/>
                <w:szCs w:val="24"/>
                <w:lang w:val="en-GB" w:eastAsia="cs-CZ"/>
              </w:rPr>
              <w:t>, if the participant is at the same time the</w:t>
            </w:r>
            <w:r w:rsidRPr="00C67FEB">
              <w:rPr>
                <w:rFonts w:ascii="Times New Roman" w:eastAsia="Times New Roman" w:hAnsi="Times New Roman" w:cs="Times New Roman"/>
                <w:sz w:val="24"/>
                <w:szCs w:val="24"/>
                <w:lang w:val="en-GB" w:eastAsia="cs-CZ"/>
              </w:rPr>
              <w:t xml:space="preserve"> participant of participa</w:t>
            </w:r>
            <w:r w:rsidRPr="00C67FEB" w:rsidR="00D169AF">
              <w:rPr>
                <w:rFonts w:ascii="Times New Roman" w:eastAsia="Times New Roman" w:hAnsi="Times New Roman" w:cs="Times New Roman"/>
                <w:sz w:val="24"/>
                <w:szCs w:val="24"/>
                <w:lang w:val="en-GB" w:eastAsia="cs-CZ"/>
              </w:rPr>
              <w:t>tion</w:t>
            </w:r>
            <w:r w:rsidRPr="00C67FEB">
              <w:rPr>
                <w:rFonts w:ascii="Times New Roman" w:eastAsia="Times New Roman" w:hAnsi="Times New Roman" w:cs="Times New Roman"/>
                <w:sz w:val="24"/>
                <w:szCs w:val="24"/>
                <w:lang w:val="en-GB" w:eastAsia="cs-CZ"/>
              </w:rPr>
              <w:t xml:space="preserve"> fund.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So far, no investment fund has been established in the Czech Republic as a trust fund - the main reason is that wealthy investors would like to invest for the benefit of their children, but they cannot because their children are not qualified investors.</w:t>
            </w:r>
            <w:r w:rsidRPr="00C67FEB" w:rsidR="00C92CF4">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Also</w:t>
            </w:r>
            <w:r w:rsidRPr="00C67FEB" w:rsidR="00C92CF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in the Czech Republic, no </w:t>
            </w:r>
            <w:r w:rsidRPr="00C67FEB" w:rsidR="00D169AF">
              <w:rPr>
                <w:rFonts w:ascii="Times New Roman" w:eastAsia="Times New Roman" w:hAnsi="Times New Roman" w:cs="Times New Roman"/>
                <w:sz w:val="24"/>
                <w:szCs w:val="24"/>
                <w:lang w:val="en-GB" w:eastAsia="cs-CZ"/>
              </w:rPr>
              <w:t>Limited Partnership with Investment Certificates</w:t>
            </w:r>
            <w:r w:rsidRPr="00C67FEB">
              <w:rPr>
                <w:rFonts w:ascii="Times New Roman" w:eastAsia="Times New Roman" w:hAnsi="Times New Roman" w:cs="Times New Roman"/>
                <w:sz w:val="24"/>
                <w:szCs w:val="24"/>
                <w:lang w:val="en-GB" w:eastAsia="cs-CZ"/>
              </w:rPr>
              <w:t xml:space="preserve"> has been established yet, although amendments have been made in the past to make it more attractive. </w:t>
            </w:r>
            <w:r w:rsidRPr="00C67FEB" w:rsidR="00C92CF4">
              <w:rPr>
                <w:rFonts w:ascii="Times New Roman" w:eastAsia="Times New Roman" w:hAnsi="Times New Roman" w:cs="Times New Roman"/>
                <w:sz w:val="24"/>
                <w:szCs w:val="24"/>
                <w:lang w:val="en-GB" w:eastAsia="cs-CZ"/>
              </w:rPr>
              <w:t>According to the</w:t>
            </w:r>
            <w:r w:rsidRPr="00C67FEB">
              <w:rPr>
                <w:rFonts w:ascii="Times New Roman" w:eastAsia="Times New Roman" w:hAnsi="Times New Roman" w:cs="Times New Roman"/>
                <w:sz w:val="24"/>
                <w:szCs w:val="24"/>
                <w:lang w:val="en-GB" w:eastAsia="cs-CZ"/>
              </w:rPr>
              <w:t xml:space="preserve"> market proposals </w:t>
            </w:r>
            <w:r w:rsidRPr="00C67FEB" w:rsidR="00C92CF4">
              <w:rPr>
                <w:rFonts w:ascii="Times New Roman" w:eastAsia="Times New Roman" w:hAnsi="Times New Roman" w:cs="Times New Roman"/>
                <w:sz w:val="24"/>
                <w:szCs w:val="24"/>
                <w:lang w:val="en-GB" w:eastAsia="cs-CZ"/>
              </w:rPr>
              <w:t xml:space="preserve">it </w:t>
            </w:r>
            <w:r w:rsidRPr="00C67FEB">
              <w:rPr>
                <w:rFonts w:ascii="Times New Roman" w:eastAsia="Times New Roman" w:hAnsi="Times New Roman" w:cs="Times New Roman"/>
                <w:sz w:val="24"/>
                <w:szCs w:val="24"/>
                <w:lang w:val="en-GB" w:eastAsia="cs-CZ"/>
              </w:rPr>
              <w:t>could lead to the use of this legal form, for example, if it was possible to create sub-funds. Similarly, there is a demand for the possibility of sub-funds in a closed-ended joint</w:t>
            </w:r>
            <w:r w:rsidRPr="00C67FEB" w:rsidR="00A0249E">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stock company, which is an investment fund. Making the legal form of a </w:t>
            </w:r>
            <w:r w:rsidRPr="00C67FEB" w:rsidR="00D169AF">
              <w:rPr>
                <w:rFonts w:ascii="Times New Roman" w:eastAsia="Times New Roman" w:hAnsi="Times New Roman" w:cs="Times New Roman"/>
                <w:sz w:val="24"/>
                <w:szCs w:val="24"/>
                <w:lang w:val="en-GB" w:eastAsia="cs-CZ"/>
              </w:rPr>
              <w:t xml:space="preserve">Limited Partnership with Investment Certificates </w:t>
            </w:r>
            <w:r w:rsidRPr="00C67FEB">
              <w:rPr>
                <w:rFonts w:ascii="Times New Roman" w:eastAsia="Times New Roman" w:hAnsi="Times New Roman" w:cs="Times New Roman"/>
                <w:sz w:val="24"/>
                <w:szCs w:val="24"/>
                <w:lang w:val="en-GB" w:eastAsia="cs-CZ"/>
              </w:rPr>
              <w:t xml:space="preserve">more attractive could also be made possible by the use of the international abbreviation SICAR in the name of the company, or by making the otherwise mandatory regulation of profit distribution in the Corporations Act </w:t>
            </w:r>
            <w:r w:rsidRPr="00C67FEB" w:rsidR="00C92CF4">
              <w:rPr>
                <w:rFonts w:ascii="Times New Roman" w:eastAsia="Times New Roman" w:hAnsi="Times New Roman" w:cs="Times New Roman"/>
                <w:sz w:val="24"/>
                <w:szCs w:val="24"/>
                <w:lang w:val="en-GB" w:eastAsia="cs-CZ"/>
              </w:rPr>
              <w:t>non-prescriptive and thus more</w:t>
            </w:r>
            <w:r w:rsidRPr="00C67FEB">
              <w:rPr>
                <w:rFonts w:ascii="Times New Roman" w:eastAsia="Times New Roman" w:hAnsi="Times New Roman" w:cs="Times New Roman"/>
                <w:sz w:val="24"/>
                <w:szCs w:val="24"/>
                <w:lang w:val="en-GB" w:eastAsia="cs-CZ"/>
              </w:rPr>
              <w:t xml:space="preserve"> attractive. The current legislation is in the </w:t>
            </w:r>
            <w:r w:rsidRPr="00C67FEB" w:rsidR="00D169AF">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According to </w:t>
            </w:r>
            <w:r w:rsidRPr="00C67FEB" w:rsidR="00127079">
              <w:rPr>
                <w:rFonts w:ascii="Times New Roman" w:eastAsia="Times New Roman" w:hAnsi="Times New Roman" w:cs="Times New Roman"/>
                <w:sz w:val="24"/>
                <w:szCs w:val="24"/>
                <w:lang w:val="en-GB" w:eastAsia="cs-CZ"/>
              </w:rPr>
              <w:t>current</w:t>
            </w:r>
            <w:r w:rsidRPr="00C67FEB">
              <w:rPr>
                <w:rFonts w:ascii="Times New Roman" w:eastAsia="Times New Roman" w:hAnsi="Times New Roman" w:cs="Times New Roman"/>
                <w:sz w:val="24"/>
                <w:szCs w:val="24"/>
                <w:lang w:val="en-GB" w:eastAsia="cs-CZ"/>
              </w:rPr>
              <w:t xml:space="preserve"> legislation, a joint-stock company requires </w:t>
            </w:r>
            <w:r w:rsidRPr="00C67FEB" w:rsidR="00127079">
              <w:rPr>
                <w:rFonts w:ascii="Times New Roman" w:eastAsia="Times New Roman" w:hAnsi="Times New Roman" w:cs="Times New Roman"/>
                <w:sz w:val="24"/>
                <w:szCs w:val="24"/>
                <w:lang w:val="en-GB" w:eastAsia="cs-CZ"/>
              </w:rPr>
              <w:t xml:space="preserve">registered </w:t>
            </w:r>
            <w:r w:rsidRPr="00C67FEB">
              <w:rPr>
                <w:rFonts w:ascii="Times New Roman" w:eastAsia="Times New Roman" w:hAnsi="Times New Roman" w:cs="Times New Roman"/>
                <w:sz w:val="24"/>
                <w:szCs w:val="24"/>
                <w:lang w:val="en-GB" w:eastAsia="cs-CZ"/>
              </w:rPr>
              <w:t xml:space="preserve">capital of CZK 2 million or </w:t>
            </w:r>
            <w:r w:rsidRPr="00C67FEB" w:rsidR="00127079">
              <w:rPr>
                <w:rFonts w:ascii="Times New Roman" w:eastAsia="Times New Roman" w:hAnsi="Times New Roman" w:cs="Times New Roman"/>
                <w:sz w:val="24"/>
                <w:szCs w:val="24"/>
                <w:lang w:val="en-GB" w:eastAsia="cs-CZ"/>
              </w:rPr>
              <w:t>EUR</w:t>
            </w:r>
            <w:r w:rsidRPr="00C67FEB">
              <w:rPr>
                <w:rFonts w:ascii="Times New Roman" w:eastAsia="Times New Roman" w:hAnsi="Times New Roman" w:cs="Times New Roman"/>
                <w:sz w:val="24"/>
                <w:szCs w:val="24"/>
                <w:lang w:val="en-GB" w:eastAsia="cs-CZ"/>
              </w:rPr>
              <w:t xml:space="preserve"> 80 thousand, which is a relatively high amount for start-ups and represents an obstacle to the use of this legal form by innovative </w:t>
            </w:r>
            <w:r w:rsidRPr="00C67FEB">
              <w:rPr>
                <w:rFonts w:ascii="Times New Roman" w:eastAsia="Times New Roman" w:hAnsi="Times New Roman" w:cs="Times New Roman"/>
                <w:i/>
                <w:iCs/>
                <w:sz w:val="24"/>
                <w:szCs w:val="24"/>
                <w:lang w:val="en-GB" w:eastAsia="cs-CZ"/>
              </w:rPr>
              <w:t>start-ups</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Start-ups </w:t>
            </w:r>
            <w:r w:rsidRPr="00C67FEB">
              <w:rPr>
                <w:rFonts w:ascii="Times New Roman" w:eastAsia="Times New Roman" w:hAnsi="Times New Roman" w:cs="Times New Roman"/>
                <w:sz w:val="24"/>
                <w:szCs w:val="24"/>
                <w:lang w:val="en-GB" w:eastAsia="cs-CZ"/>
              </w:rPr>
              <w:t xml:space="preserve">(and other </w:t>
            </w:r>
            <w:r w:rsidRPr="00C67FEB" w:rsidR="00127079">
              <w:rPr>
                <w:rFonts w:ascii="Times New Roman" w:eastAsia="Times New Roman" w:hAnsi="Times New Roman" w:cs="Times New Roman"/>
                <w:sz w:val="24"/>
                <w:szCs w:val="24"/>
                <w:lang w:val="en-GB" w:eastAsia="cs-CZ"/>
              </w:rPr>
              <w:t>starting</w:t>
            </w:r>
            <w:r w:rsidRPr="00C67FEB">
              <w:rPr>
                <w:rFonts w:ascii="Times New Roman" w:eastAsia="Times New Roman" w:hAnsi="Times New Roman" w:cs="Times New Roman"/>
                <w:sz w:val="24"/>
                <w:szCs w:val="24"/>
                <w:lang w:val="en-GB" w:eastAsia="cs-CZ"/>
              </w:rPr>
              <w:t xml:space="preserve"> entrepreneurs) therefore prefer to choose a form of limited liability company, where the </w:t>
            </w:r>
            <w:r w:rsidRPr="00C67FEB" w:rsidR="00127079">
              <w:rPr>
                <w:rFonts w:ascii="Times New Roman" w:eastAsia="Times New Roman" w:hAnsi="Times New Roman" w:cs="Times New Roman"/>
                <w:sz w:val="24"/>
                <w:szCs w:val="24"/>
                <w:lang w:val="en-GB" w:eastAsia="cs-CZ"/>
              </w:rPr>
              <w:t>registered</w:t>
            </w:r>
            <w:r w:rsidRPr="00C67FEB">
              <w:rPr>
                <w:rFonts w:ascii="Times New Roman" w:eastAsia="Times New Roman" w:hAnsi="Times New Roman" w:cs="Times New Roman"/>
                <w:sz w:val="24"/>
                <w:szCs w:val="24"/>
                <w:lang w:val="en-GB" w:eastAsia="cs-CZ"/>
              </w:rPr>
              <w:t xml:space="preserve"> capital of 1 CZK or 1 EUR is sufficient. However, a limited liability company is not suitable for trading on the capital market where it may, for example, issue </w:t>
            </w:r>
            <w:r w:rsidRPr="00C67FEB" w:rsidR="00A0249E">
              <w:rPr>
                <w:rFonts w:ascii="Times New Roman" w:eastAsia="Times New Roman" w:hAnsi="Times New Roman" w:cs="Times New Roman"/>
                <w:sz w:val="24"/>
                <w:szCs w:val="24"/>
                <w:lang w:val="en-GB" w:eastAsia="cs-CZ"/>
              </w:rPr>
              <w:t>common</w:t>
            </w:r>
            <w:r w:rsidRPr="00C67FEB">
              <w:rPr>
                <w:rFonts w:ascii="Times New Roman" w:eastAsia="Times New Roman" w:hAnsi="Times New Roman" w:cs="Times New Roman"/>
                <w:sz w:val="24"/>
                <w:szCs w:val="24"/>
                <w:lang w:val="en-GB" w:eastAsia="cs-CZ"/>
              </w:rPr>
              <w:t xml:space="preserve"> certificates, but th</w:t>
            </w:r>
            <w:r w:rsidRPr="00C67FEB" w:rsidR="00127079">
              <w:rPr>
                <w:rFonts w:ascii="Times New Roman" w:eastAsia="Times New Roman" w:hAnsi="Times New Roman" w:cs="Times New Roman"/>
                <w:sz w:val="24"/>
                <w:szCs w:val="24"/>
                <w:lang w:val="en-GB" w:eastAsia="cs-CZ"/>
              </w:rPr>
              <w:t xml:space="preserve">ese </w:t>
            </w:r>
            <w:r w:rsidRPr="00C67FEB">
              <w:rPr>
                <w:rFonts w:ascii="Times New Roman" w:eastAsia="Times New Roman" w:hAnsi="Times New Roman" w:cs="Times New Roman"/>
                <w:sz w:val="24"/>
                <w:szCs w:val="24"/>
                <w:lang w:val="en-GB" w:eastAsia="cs-CZ"/>
              </w:rPr>
              <w:t xml:space="preserve">cannot be publicly offered or traded on public markets. In addition, a limited liability company is not allowed to issue convertible bonds. Starting businesses have very limited options, how to raise funds on the capital markets and must use </w:t>
            </w:r>
            <w:r w:rsidRPr="00C67FEB" w:rsidR="00127079">
              <w:rPr>
                <w:rFonts w:ascii="Times New Roman" w:eastAsia="Times New Roman" w:hAnsi="Times New Roman" w:cs="Times New Roman"/>
                <w:sz w:val="24"/>
                <w:szCs w:val="24"/>
                <w:lang w:val="en-GB" w:eastAsia="cs-CZ"/>
              </w:rPr>
              <w:t xml:space="preserve">for </w:t>
            </w:r>
            <w:r w:rsidRPr="00C67FEB">
              <w:rPr>
                <w:rFonts w:ascii="Times New Roman" w:eastAsia="Times New Roman" w:hAnsi="Times New Roman" w:cs="Times New Roman"/>
                <w:sz w:val="24"/>
                <w:szCs w:val="24"/>
                <w:lang w:val="en-GB" w:eastAsia="cs-CZ"/>
              </w:rPr>
              <w:t>its financing primarily bank loans. However, banks may be reluctant to grant them a loan because they have no history or assets to secure the loan. It is very difficult to finance bonds for the same reasons (they have no history or assets). Access to finance is thus considerably more difficult for start</w:t>
            </w:r>
            <w:r w:rsidRPr="00C67FEB" w:rsidR="00127079">
              <w:rPr>
                <w:rFonts w:ascii="Times New Roman" w:eastAsia="Times New Roman" w:hAnsi="Times New Roman" w:cs="Times New Roman"/>
                <w:sz w:val="24"/>
                <w:szCs w:val="24"/>
                <w:lang w:val="en-GB" w:eastAsia="cs-CZ"/>
              </w:rPr>
              <w:t>ing businesses</w:t>
            </w:r>
            <w:r w:rsidRPr="00C67FEB">
              <w:rPr>
                <w:rFonts w:ascii="Times New Roman" w:eastAsia="Times New Roman" w:hAnsi="Times New Roman" w:cs="Times New Roman"/>
                <w:sz w:val="24"/>
                <w:szCs w:val="24"/>
                <w:lang w:val="en-GB" w:eastAsia="cs-CZ"/>
              </w:rPr>
              <w:t xml:space="preserve">, which impedes the full development of the Czech national economy and its transformation into an economy with a high added value (mainly created by innovations). There is a special legal form for </w:t>
            </w:r>
            <w:r w:rsidRPr="00C67FEB" w:rsidR="00127079">
              <w:rPr>
                <w:rFonts w:ascii="Times New Roman" w:eastAsia="Times New Roman" w:hAnsi="Times New Roman" w:cs="Times New Roman"/>
                <w:sz w:val="24"/>
                <w:szCs w:val="24"/>
                <w:lang w:val="en-GB" w:eastAsia="cs-CZ"/>
              </w:rPr>
              <w:t>starting businesses</w:t>
            </w:r>
            <w:r w:rsidRPr="00C67FEB">
              <w:rPr>
                <w:rFonts w:ascii="Times New Roman" w:eastAsia="Times New Roman" w:hAnsi="Times New Roman" w:cs="Times New Roman"/>
                <w:sz w:val="24"/>
                <w:szCs w:val="24"/>
                <w:lang w:val="en-GB" w:eastAsia="cs-CZ"/>
              </w:rPr>
              <w:t xml:space="preserve"> abroad, a form of simpler joint-stock company, for example in France, Slovakia or newly in Poland. The obligation of a notarial deed is also a certain cost of setting up a company. The existing legislation is in the </w:t>
            </w:r>
            <w:r w:rsidRPr="00C67FEB" w:rsidR="00D169AF">
              <w:rPr>
                <w:rFonts w:ascii="Times New Roman" w:eastAsia="Times New Roman" w:hAnsi="Times New Roman" w:cs="Times New Roman"/>
                <w:sz w:val="24"/>
                <w:szCs w:val="24"/>
                <w:lang w:val="en-GB" w:eastAsia="cs-CZ"/>
              </w:rPr>
              <w:t>Corporations Act</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description of the existing legal situation in the given area is described in detail in individual variants. </w:t>
            </w:r>
          </w:p>
          <w:p w:rsidR="00403DFA" w:rsidRPr="00B07229" w:rsidP="0087579E">
            <w:pPr>
              <w:keepNext/>
              <w:spacing w:before="120" w:after="120" w:line="240" w:lineRule="auto"/>
              <w:ind w:hanging="360"/>
              <w:jc w:val="center"/>
              <w:rPr>
                <w:rFonts w:ascii="Times New Roman" w:eastAsia="Times New Roman" w:hAnsi="Times New Roman" w:cs="Times New Roman"/>
                <w:b/>
                <w:bCs/>
                <w:sz w:val="24"/>
                <w:szCs w:val="24"/>
                <w:lang w:val="en-GB" w:eastAsia="cs-CZ"/>
              </w:rPr>
            </w:pPr>
            <w:bookmarkStart w:id="15" w:name="_Toc526419229"/>
            <w:bookmarkStart w:id="16" w:name="_Toc444701033"/>
            <w:bookmarkStart w:id="17" w:name="_Toc420486210"/>
            <w:bookmarkStart w:id="18" w:name="_Toc444611860"/>
            <w:bookmarkStart w:id="19" w:name="_Toc444611646"/>
            <w:bookmarkStart w:id="20" w:name="_Toc444611521"/>
            <w:bookmarkStart w:id="21" w:name="_Toc444611198"/>
            <w:bookmarkStart w:id="22" w:name="_Toc444610700"/>
            <w:bookmarkStart w:id="23" w:name="_Toc526421153"/>
            <w:bookmarkEnd w:id="15"/>
            <w:bookmarkEnd w:id="16"/>
            <w:bookmarkEnd w:id="17"/>
            <w:bookmarkEnd w:id="18"/>
            <w:bookmarkEnd w:id="19"/>
            <w:bookmarkEnd w:id="20"/>
            <w:bookmarkEnd w:id="21"/>
            <w:bookmarkEnd w:id="22"/>
            <w:r w:rsidRPr="00B07229">
              <w:rPr>
                <w:rFonts w:ascii="Times New Roman" w:eastAsia="Times New Roman" w:hAnsi="Times New Roman" w:cs="Times New Roman"/>
                <w:b/>
                <w:bCs/>
                <w:sz w:val="24"/>
                <w:szCs w:val="24"/>
                <w:lang w:val="en-GB" w:eastAsia="cs-CZ"/>
              </w:rPr>
              <w:t>1.4 Identification of stakeholders</w:t>
            </w:r>
            <w:bookmarkEnd w:id="23"/>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bookmarkStart w:id="24" w:name="_Toc420486211"/>
            <w:bookmarkStart w:id="25" w:name="_Toc433189089"/>
            <w:bookmarkStart w:id="26" w:name="_Toc433189084"/>
            <w:bookmarkStart w:id="27" w:name="_Toc444701034"/>
            <w:bookmarkEnd w:id="24"/>
            <w:bookmarkEnd w:id="25"/>
            <w:bookmarkEnd w:id="26"/>
            <w:r w:rsidRPr="00C67FEB">
              <w:rPr>
                <w:rFonts w:ascii="Times New Roman" w:eastAsia="Times New Roman" w:hAnsi="Times New Roman" w:cs="Times New Roman"/>
                <w:sz w:val="24"/>
                <w:szCs w:val="24"/>
                <w:lang w:val="en-GB" w:eastAsia="cs-CZ"/>
              </w:rPr>
              <w:t>Among the so-called affected entities on which the options under consideration will have an impact include:</w:t>
            </w:r>
            <w:bookmarkEnd w:id="27"/>
          </w:p>
          <w:tbl>
            <w:tblPr>
              <w:tblW w:w="4884" w:type="pct"/>
              <w:tblCellMar>
                <w:left w:w="0" w:type="dxa"/>
                <w:right w:w="0" w:type="dxa"/>
              </w:tblCellMar>
              <w:tblLook w:val="04A0"/>
            </w:tblPr>
            <w:tblGrid>
              <w:gridCol w:w="2504"/>
              <w:gridCol w:w="6896"/>
            </w:tblGrid>
            <w:tr>
              <w:tblPrEx>
                <w:tblW w:w="4884" w:type="pct"/>
                <w:tblCellMar>
                  <w:left w:w="0" w:type="dxa"/>
                  <w:right w:w="0" w:type="dxa"/>
                </w:tblCellMar>
                <w:tblLook w:val="04A0"/>
              </w:tblPrEx>
              <w:trPr>
                <w:trHeight w:val="397"/>
                <w:tblHeader/>
              </w:trPr>
              <w:tc>
                <w:tcPr>
                  <w:tcW w:w="1332" w:type="pct"/>
                  <w:tcBorders>
                    <w:top w:val="single" w:sz="6" w:space="0" w:color="000000"/>
                    <w:left w:val="single" w:sz="6" w:space="0" w:color="000000"/>
                    <w:bottom w:val="single" w:sz="6" w:space="0" w:color="000000"/>
                    <w:right w:val="single" w:sz="6" w:space="0" w:color="000000"/>
                  </w:tcBorders>
                  <w:shd w:val="clear" w:color="auto" w:fill="00B0F0"/>
                  <w:tcMar>
                    <w:top w:w="57" w:type="dxa"/>
                    <w:left w:w="108" w:type="dxa"/>
                    <w:bottom w:w="57" w:type="dxa"/>
                    <w:right w:w="108" w:type="dxa"/>
                  </w:tcMar>
                  <w:vAlign w:val="center"/>
                  <w:hideMark/>
                </w:tcPr>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Subject</w:t>
                  </w:r>
                </w:p>
              </w:tc>
              <w:tc>
                <w:tcPr>
                  <w:tcW w:w="3668" w:type="pct"/>
                  <w:tcBorders>
                    <w:top w:val="single" w:sz="6" w:space="0" w:color="000000"/>
                    <w:left w:val="single" w:sz="6" w:space="0" w:color="000000"/>
                    <w:bottom w:val="single" w:sz="6" w:space="0" w:color="000000"/>
                    <w:right w:val="single" w:sz="6" w:space="0" w:color="000000"/>
                  </w:tcBorders>
                  <w:shd w:val="clear" w:color="auto" w:fill="00B0F0"/>
                  <w:tcMar>
                    <w:top w:w="57" w:type="dxa"/>
                    <w:left w:w="108" w:type="dxa"/>
                    <w:bottom w:w="57" w:type="dxa"/>
                    <w:right w:w="108" w:type="dxa"/>
                  </w:tcMar>
                  <w:vAlign w:val="center"/>
                  <w:hideMark/>
                </w:tcPr>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Reason</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issuers of securities</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issuer is a company or public corporation (e</w:t>
                  </w:r>
                  <w:r w:rsidRPr="00C67FEB" w:rsidR="00C85886">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g</w:t>
                  </w:r>
                  <w:r w:rsidRPr="00C67FEB" w:rsidR="00C85886">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municipality, state) that issues securities primarily for the purpose of raising funds for the development of its business. Various types of securities can be issued or </w:t>
                  </w:r>
                  <w:r w:rsidRPr="00C67FEB" w:rsidR="00C85886">
                    <w:rPr>
                      <w:rFonts w:ascii="Times New Roman" w:eastAsia="Times New Roman" w:hAnsi="Times New Roman" w:cs="Times New Roman"/>
                      <w:sz w:val="24"/>
                      <w:szCs w:val="24"/>
                      <w:lang w:val="en-GB" w:eastAsia="cs-CZ"/>
                    </w:rPr>
                    <w:t>rendered</w:t>
                  </w:r>
                  <w:r w:rsidRPr="00C67FEB">
                    <w:rPr>
                      <w:rFonts w:ascii="Times New Roman" w:eastAsia="Times New Roman" w:hAnsi="Times New Roman" w:cs="Times New Roman"/>
                      <w:sz w:val="24"/>
                      <w:szCs w:val="24"/>
                      <w:lang w:val="en-GB" w:eastAsia="cs-CZ"/>
                    </w:rPr>
                    <w:t>, of which the best known are shares, bonds and participation certificates.</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 </w:t>
                  </w:r>
                  <w:r w:rsidRPr="00B07229" w:rsidR="004F50F2">
                    <w:rPr>
                      <w:rFonts w:ascii="Times New Roman" w:eastAsia="Times New Roman" w:hAnsi="Times New Roman" w:cs="Times New Roman"/>
                      <w:b/>
                      <w:bCs/>
                      <w:sz w:val="24"/>
                      <w:szCs w:val="24"/>
                      <w:lang w:val="en-GB" w:eastAsia="cs-CZ"/>
                    </w:rPr>
                    <w:t>i</w:t>
                  </w:r>
                  <w:r w:rsidRPr="00B07229">
                    <w:rPr>
                      <w:rFonts w:ascii="Times New Roman" w:eastAsia="Times New Roman" w:hAnsi="Times New Roman" w:cs="Times New Roman"/>
                      <w:b/>
                      <w:bCs/>
                      <w:sz w:val="24"/>
                      <w:szCs w:val="24"/>
                      <w:lang w:val="en-GB" w:eastAsia="cs-CZ"/>
                    </w:rPr>
                    <w:t xml:space="preserve">nvestors </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An investor is a person who wants to valorise their available funds. The investor is primarily an investment fund, a bank, a pension fund, an insurance company or a natural person.</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 CNB </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CNB is the financial market supervisory authority. </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 </w:t>
                  </w:r>
                  <w:r w:rsidRPr="00B07229" w:rsidR="006075D5">
                    <w:rPr>
                      <w:rFonts w:ascii="Times New Roman" w:eastAsia="Times New Roman" w:hAnsi="Times New Roman" w:cs="Times New Roman"/>
                      <w:b/>
                      <w:bCs/>
                      <w:sz w:val="24"/>
                      <w:szCs w:val="24"/>
                      <w:lang w:val="en-GB" w:eastAsia="cs-CZ"/>
                    </w:rPr>
                    <w:t>investment firm</w:t>
                  </w:r>
                  <w:r w:rsidRPr="00B07229">
                    <w:rPr>
                      <w:rFonts w:ascii="Times New Roman" w:eastAsia="Times New Roman" w:hAnsi="Times New Roman" w:cs="Times New Roman"/>
                      <w:b/>
                      <w:bCs/>
                      <w:sz w:val="24"/>
                      <w:szCs w:val="24"/>
                      <w:lang w:val="en-GB" w:eastAsia="cs-CZ"/>
                    </w:rPr>
                    <w:t xml:space="preserve"> </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An investment firm </w:t>
                  </w:r>
                  <w:r w:rsidRPr="00C67FEB" w:rsidR="00A0249E">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s a legal entity that provides investment services and provides its customers with access to the capital market. </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 pension companies </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It is a joint-stock company with a CNB license for the implementation of pension savings and supplementary pension savings. This company will be able to create an alternative participation fund. </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 </w:t>
                  </w:r>
                  <w:r w:rsidRPr="00B07229" w:rsidR="008F46DE">
                    <w:rPr>
                      <w:rFonts w:ascii="Times New Roman" w:eastAsia="Times New Roman" w:hAnsi="Times New Roman" w:cs="Times New Roman"/>
                      <w:b/>
                      <w:bCs/>
                      <w:sz w:val="24"/>
                      <w:szCs w:val="24"/>
                      <w:lang w:val="en-GB" w:eastAsia="cs-CZ"/>
                    </w:rPr>
                    <w:t>distrainers</w:t>
                  </w:r>
                  <w:r w:rsidRPr="00B07229">
                    <w:rPr>
                      <w:rFonts w:ascii="Times New Roman" w:eastAsia="Times New Roman" w:hAnsi="Times New Roman" w:cs="Times New Roman"/>
                      <w:b/>
                      <w:bCs/>
                      <w:sz w:val="24"/>
                      <w:szCs w:val="24"/>
                      <w:lang w:val="en-GB" w:eastAsia="cs-CZ"/>
                    </w:rPr>
                    <w:t xml:space="preserve"> </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w:t>
                  </w:r>
                  <w:r w:rsidRPr="00C67FEB" w:rsidR="008F46DE">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is a free legal profession which, according to the </w:t>
                  </w:r>
                  <w:r w:rsidRPr="00C67FEB" w:rsidR="008F46DE">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ensures execution. It </w:t>
                  </w:r>
                  <w:r w:rsidRPr="00C67FEB" w:rsidR="00C85886">
                    <w:rPr>
                      <w:rFonts w:ascii="Times New Roman" w:eastAsia="Times New Roman" w:hAnsi="Times New Roman" w:cs="Times New Roman"/>
                      <w:sz w:val="24"/>
                      <w:szCs w:val="24"/>
                      <w:lang w:val="en-GB" w:eastAsia="cs-CZ"/>
                    </w:rPr>
                    <w:t xml:space="preserve">is </w:t>
                  </w:r>
                  <w:r w:rsidRPr="00C67FEB">
                    <w:rPr>
                      <w:rFonts w:ascii="Times New Roman" w:eastAsia="Times New Roman" w:hAnsi="Times New Roman" w:cs="Times New Roman"/>
                      <w:sz w:val="24"/>
                      <w:szCs w:val="24"/>
                      <w:lang w:val="en-GB" w:eastAsia="cs-CZ"/>
                    </w:rPr>
                    <w:t>concern</w:t>
                  </w:r>
                  <w:r w:rsidRPr="00C67FEB" w:rsidR="00C85886">
                    <w:rPr>
                      <w:rFonts w:ascii="Times New Roman" w:eastAsia="Times New Roman" w:hAnsi="Times New Roman" w:cs="Times New Roman"/>
                      <w:sz w:val="24"/>
                      <w:szCs w:val="24"/>
                      <w:lang w:val="en-GB" w:eastAsia="cs-CZ"/>
                    </w:rPr>
                    <w:t>ed with</w:t>
                  </w:r>
                  <w:r w:rsidRPr="00C67FEB">
                    <w:rPr>
                      <w:rFonts w:ascii="Times New Roman" w:eastAsia="Times New Roman" w:hAnsi="Times New Roman" w:cs="Times New Roman"/>
                      <w:sz w:val="24"/>
                      <w:szCs w:val="24"/>
                      <w:lang w:val="en-GB" w:eastAsia="cs-CZ"/>
                    </w:rPr>
                    <w:t xml:space="preserve"> the introduction of XML format.</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xml:space="preserve">• Financial </w:t>
                  </w:r>
                  <w:r w:rsidRPr="00B07229" w:rsidR="0044192E">
                    <w:rPr>
                      <w:rFonts w:ascii="Times New Roman" w:eastAsia="Times New Roman" w:hAnsi="Times New Roman" w:cs="Times New Roman"/>
                      <w:b/>
                      <w:bCs/>
                      <w:sz w:val="24"/>
                      <w:szCs w:val="24"/>
                      <w:lang w:val="en-GB" w:eastAsia="cs-CZ"/>
                    </w:rPr>
                    <w:t>Arbitrator</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Financial </w:t>
                  </w:r>
                  <w:r w:rsidRPr="00C67FEB" w:rsidR="0044192E">
                    <w:rPr>
                      <w:rFonts w:ascii="Times New Roman" w:eastAsia="Times New Roman" w:hAnsi="Times New Roman" w:cs="Times New Roman"/>
                      <w:sz w:val="24"/>
                      <w:szCs w:val="24"/>
                      <w:lang w:val="en-GB" w:eastAsia="cs-CZ"/>
                    </w:rPr>
                    <w:t>Arbitrator</w:t>
                  </w:r>
                  <w:r w:rsidRPr="00C67FEB">
                    <w:rPr>
                      <w:rFonts w:ascii="Times New Roman" w:eastAsia="Times New Roman" w:hAnsi="Times New Roman" w:cs="Times New Roman"/>
                      <w:sz w:val="24"/>
                      <w:szCs w:val="24"/>
                      <w:lang w:val="en-GB" w:eastAsia="cs-CZ"/>
                    </w:rPr>
                    <w:t xml:space="preserve"> is the competent body for settling disputes out of court. It is proposed to extend its material scope with regard to disputes concerning the </w:t>
                  </w:r>
                  <w:r w:rsidRPr="00C67FEB" w:rsidR="008F46DE">
                    <w:rPr>
                      <w:rFonts w:ascii="Times New Roman" w:eastAsia="Times New Roman" w:hAnsi="Times New Roman" w:cs="Times New Roman"/>
                      <w:sz w:val="24"/>
                      <w:szCs w:val="24"/>
                      <w:lang w:val="en-GB" w:eastAsia="cs-CZ"/>
                    </w:rPr>
                    <w:t>Long-Term Investment Account</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tc>
            </w:tr>
            <w:tr>
              <w:tblPrEx>
                <w:tblW w:w="4884" w:type="pct"/>
                <w:tblCellMar>
                  <w:left w:w="0" w:type="dxa"/>
                  <w:right w:w="0" w:type="dxa"/>
                </w:tblCellMar>
                <w:tblLook w:val="04A0"/>
              </w:tblPrEx>
              <w:trPr>
                <w:trHeight w:val="397"/>
              </w:trPr>
              <w:tc>
                <w:tcPr>
                  <w:tcW w:w="1332"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B07229" w:rsidP="0087579E">
                  <w:pPr>
                    <w:keepNext/>
                    <w:spacing w:before="120" w:after="120" w:line="240" w:lineRule="auto"/>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 regional trade licensing offices</w:t>
                  </w:r>
                </w:p>
              </w:tc>
              <w:tc>
                <w:tcPr>
                  <w:tcW w:w="3668"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regional trade licensing office is a department of the regional office. In the context of advertising regulation, it is proposed that they play the role of supervisory authority.</w:t>
                  </w:r>
                  <w:r w:rsidR="0087579E">
                    <w:rPr>
                      <w:rFonts w:ascii="Times New Roman" w:eastAsia="Times New Roman" w:hAnsi="Times New Roman" w:cs="Times New Roman"/>
                      <w:sz w:val="24"/>
                      <w:szCs w:val="24"/>
                      <w:lang w:val="en-GB" w:eastAsia="cs-CZ"/>
                    </w:rPr>
                    <w:t xml:space="preserve"> </w:t>
                  </w:r>
                </w:p>
              </w:tc>
            </w:tr>
          </w:tbl>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bookmarkStart w:id="28" w:name="_Toc526419234"/>
            <w:bookmarkStart w:id="29" w:name="_Toc526421158"/>
            <w:bookmarkEnd w:id="28"/>
            <w:r w:rsidRPr="00C67FEB">
              <w:rPr>
                <w:rFonts w:ascii="Times New Roman" w:eastAsia="Times New Roman" w:hAnsi="Times New Roman" w:cs="Times New Roman"/>
                <w:sz w:val="24"/>
                <w:szCs w:val="24"/>
                <w:lang w:val="en-GB" w:eastAsia="cs-CZ"/>
              </w:rPr>
              <w:t> </w:t>
            </w:r>
            <w:bookmarkEnd w:id="29"/>
          </w:p>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1.5 Description of the target state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bookmarkStart w:id="30" w:name="_Toc420486212"/>
            <w:bookmarkStart w:id="31" w:name="_Toc526421159"/>
            <w:bookmarkStart w:id="32" w:name="_Toc526419235"/>
            <w:bookmarkStart w:id="33" w:name="_Toc433189091"/>
            <w:bookmarkStart w:id="34" w:name="_Toc444701035"/>
            <w:bookmarkEnd w:id="30"/>
            <w:bookmarkEnd w:id="31"/>
            <w:bookmarkEnd w:id="32"/>
            <w:bookmarkEnd w:id="33"/>
            <w:r w:rsidRPr="00C67FEB">
              <w:rPr>
                <w:rFonts w:ascii="Times New Roman" w:eastAsia="Times New Roman" w:hAnsi="Times New Roman" w:cs="Times New Roman"/>
                <w:sz w:val="24"/>
                <w:szCs w:val="24"/>
                <w:lang w:val="en-GB" w:eastAsia="cs-CZ"/>
              </w:rPr>
              <w:t>The main objective of this proposal is to implement the target situation identified below through legislative measures.</w:t>
            </w:r>
            <w:bookmarkEnd w:id="34"/>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general, the following target status requirements can be identified:</w:t>
            </w:r>
          </w:p>
          <w:p w:rsidR="00403DFA" w:rsidRPr="00C67FEB" w:rsidP="0087579E">
            <w:pPr>
              <w:pStyle w:val="ListParagraph"/>
              <w:keepNext/>
              <w:numPr>
                <w:ilvl w:val="0"/>
                <w:numId w:val="21"/>
              </w:numPr>
              <w:spacing w:after="0" w:line="240" w:lineRule="auto"/>
              <w:jc w:val="both"/>
              <w:rPr>
                <w:rFonts w:ascii="Times New Roman" w:eastAsia="Times New Roman" w:hAnsi="Times New Roman" w:cs="Times New Roman"/>
                <w:sz w:val="24"/>
                <w:szCs w:val="24"/>
                <w:lang w:val="en-GB" w:eastAsia="cs-CZ"/>
              </w:rPr>
            </w:pPr>
            <w:bookmarkStart w:id="35" w:name="_Toc526419236"/>
            <w:bookmarkStart w:id="36" w:name="_Toc526421160"/>
            <w:bookmarkEnd w:id="35"/>
            <w:r w:rsidRPr="00C67FEB">
              <w:rPr>
                <w:rFonts w:ascii="Times New Roman" w:eastAsia="Times New Roman" w:hAnsi="Times New Roman" w:cs="Times New Roman"/>
                <w:sz w:val="24"/>
                <w:szCs w:val="24"/>
                <w:lang w:val="en-GB" w:eastAsia="cs-CZ"/>
              </w:rPr>
              <w:t xml:space="preserve">improving the quality and resilience of Czech household savings (including retirement savings), </w:t>
            </w:r>
            <w:bookmarkEnd w:id="36"/>
          </w:p>
          <w:p w:rsidR="00403DFA" w:rsidRPr="00C67FEB" w:rsidP="0087579E">
            <w:pPr>
              <w:pStyle w:val="ListParagraph"/>
              <w:keepNext/>
              <w:numPr>
                <w:ilvl w:val="0"/>
                <w:numId w:val="21"/>
              </w:numPr>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reducing </w:t>
            </w:r>
            <w:r w:rsidRPr="00C67FEB" w:rsidR="00C85886">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dependency</w:t>
            </w:r>
            <w:r w:rsidRPr="00C67FEB" w:rsidR="00C85886">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of small and medium </w:t>
            </w:r>
            <w:r w:rsidRPr="00C67FEB" w:rsidR="00C85886">
              <w:rPr>
                <w:rFonts w:ascii="Times New Roman" w:eastAsia="Times New Roman" w:hAnsi="Times New Roman" w:cs="Times New Roman"/>
                <w:sz w:val="24"/>
                <w:szCs w:val="24"/>
                <w:lang w:val="en-GB" w:eastAsia="cs-CZ"/>
              </w:rPr>
              <w:t>enterprises</w:t>
            </w:r>
            <w:r w:rsidRPr="00C67FEB">
              <w:rPr>
                <w:rFonts w:ascii="Times New Roman" w:eastAsia="Times New Roman" w:hAnsi="Times New Roman" w:cs="Times New Roman"/>
                <w:sz w:val="24"/>
                <w:szCs w:val="24"/>
                <w:lang w:val="en-GB" w:eastAsia="cs-CZ"/>
              </w:rPr>
              <w:t xml:space="preserve"> on bank financing (and on subsidies from the European Union)</w:t>
            </w:r>
            <w:r w:rsidR="0087579E">
              <w:rPr>
                <w:rFonts w:ascii="Times New Roman" w:eastAsia="Times New Roman" w:hAnsi="Times New Roman" w:cs="Times New Roman"/>
                <w:sz w:val="24"/>
                <w:szCs w:val="24"/>
                <w:lang w:val="en-GB" w:eastAsia="cs-CZ"/>
              </w:rPr>
              <w:t xml:space="preserve"> </w:t>
            </w:r>
          </w:p>
          <w:p w:rsidR="00403DFA" w:rsidRPr="00C67FEB" w:rsidP="0087579E">
            <w:pPr>
              <w:pStyle w:val="ListParagraph"/>
              <w:keepNext/>
              <w:numPr>
                <w:ilvl w:val="0"/>
                <w:numId w:val="21"/>
              </w:numPr>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increasing the number of jobs with high added value (strengthening the purchasing power of Czech citizens); and</w:t>
            </w:r>
          </w:p>
          <w:p w:rsidR="00403DFA" w:rsidRPr="00C67FEB" w:rsidP="0087579E">
            <w:pPr>
              <w:pStyle w:val="ListParagraph"/>
              <w:keepNext/>
              <w:numPr>
                <w:ilvl w:val="0"/>
                <w:numId w:val="21"/>
              </w:numPr>
              <w:spacing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higher support for innovation (more investment in innovative economy)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target situation should be realized through:</w:t>
            </w:r>
          </w:p>
          <w:p w:rsidR="00403DFA" w:rsidRPr="00C67FEB" w:rsidP="0087579E">
            <w:pPr>
              <w:pStyle w:val="ListParagraph"/>
              <w:keepNext/>
              <w:numPr>
                <w:ilvl w:val="0"/>
                <w:numId w:val="22"/>
              </w:numPr>
              <w:spacing w:after="0" w:line="240" w:lineRule="auto"/>
              <w:jc w:val="both"/>
              <w:rPr>
                <w:rFonts w:ascii="Times New Roman" w:eastAsia="Times New Roman" w:hAnsi="Times New Roman" w:cs="Times New Roman"/>
                <w:sz w:val="24"/>
                <w:szCs w:val="24"/>
                <w:lang w:val="en-GB" w:eastAsia="cs-CZ"/>
              </w:rPr>
            </w:pPr>
            <w:r w:rsidRPr="00B07229">
              <w:rPr>
                <w:rFonts w:ascii="Times New Roman" w:eastAsia="Times New Roman" w:hAnsi="Times New Roman" w:cs="Times New Roman"/>
                <w:b/>
                <w:bCs/>
                <w:sz w:val="24"/>
                <w:szCs w:val="24"/>
                <w:lang w:val="en-GB" w:eastAsia="cs-CZ"/>
              </w:rPr>
              <w:t>measures to support households (investors):</w:t>
            </w:r>
            <w:r w:rsidRPr="00C67FEB">
              <w:rPr>
                <w:rFonts w:ascii="Times New Roman" w:eastAsia="Times New Roman" w:hAnsi="Times New Roman" w:cs="Times New Roman"/>
                <w:sz w:val="24"/>
                <w:szCs w:val="24"/>
                <w:lang w:val="en-GB" w:eastAsia="cs-CZ"/>
              </w:rPr>
              <w:t xml:space="preserve"> supporting the creation of old-age savings through the introduction of a tax-supported </w:t>
            </w:r>
            <w:r w:rsidRPr="00C67FEB" w:rsidR="008F46DE">
              <w:rPr>
                <w:rFonts w:ascii="Times New Roman" w:eastAsia="Times New Roman" w:hAnsi="Times New Roman" w:cs="Times New Roman"/>
                <w:sz w:val="24"/>
                <w:szCs w:val="24"/>
                <w:lang w:val="en-GB" w:eastAsia="cs-CZ"/>
              </w:rPr>
              <w:t>Long-Term Investment Account</w:t>
            </w:r>
            <w:r w:rsidRPr="00C67FEB">
              <w:rPr>
                <w:rFonts w:ascii="Times New Roman" w:eastAsia="Times New Roman" w:hAnsi="Times New Roman" w:cs="Times New Roman"/>
                <w:sz w:val="24"/>
                <w:szCs w:val="24"/>
                <w:lang w:val="en-GB" w:eastAsia="cs-CZ"/>
              </w:rPr>
              <w:t>, greater protection in investments in high-risk securities, including regulation of advertising;</w:t>
            </w:r>
            <w:r w:rsidR="0087579E">
              <w:rPr>
                <w:rFonts w:ascii="Times New Roman" w:eastAsia="Times New Roman" w:hAnsi="Times New Roman" w:cs="Times New Roman"/>
                <w:sz w:val="24"/>
                <w:szCs w:val="24"/>
                <w:lang w:val="en-GB" w:eastAsia="cs-CZ"/>
              </w:rPr>
              <w:t xml:space="preserve"> </w:t>
            </w:r>
          </w:p>
          <w:p w:rsidR="00403DFA" w:rsidRPr="00C67FEB" w:rsidP="0087579E">
            <w:pPr>
              <w:pStyle w:val="ListParagraph"/>
              <w:keepNext/>
              <w:numPr>
                <w:ilvl w:val="0"/>
                <w:numId w:val="22"/>
              </w:numPr>
              <w:spacing w:after="0" w:line="240" w:lineRule="auto"/>
              <w:jc w:val="both"/>
              <w:rPr>
                <w:rFonts w:ascii="Times New Roman" w:eastAsia="Times New Roman" w:hAnsi="Times New Roman" w:cs="Times New Roman"/>
                <w:sz w:val="24"/>
                <w:szCs w:val="24"/>
                <w:lang w:val="en-GB" w:eastAsia="cs-CZ"/>
              </w:rPr>
            </w:pPr>
            <w:r w:rsidRPr="00B07229">
              <w:rPr>
                <w:rFonts w:ascii="Times New Roman" w:eastAsia="Times New Roman" w:hAnsi="Times New Roman" w:cs="Times New Roman"/>
                <w:b/>
                <w:bCs/>
                <w:sz w:val="24"/>
                <w:szCs w:val="24"/>
                <w:lang w:val="en-GB" w:eastAsia="cs-CZ"/>
              </w:rPr>
              <w:t>measures to support companies (issuers):</w:t>
            </w:r>
            <w:r w:rsidRPr="00C67FEB">
              <w:rPr>
                <w:rFonts w:ascii="Times New Roman" w:eastAsia="Times New Roman" w:hAnsi="Times New Roman" w:cs="Times New Roman"/>
                <w:sz w:val="24"/>
                <w:szCs w:val="24"/>
                <w:lang w:val="en-GB" w:eastAsia="cs-CZ"/>
              </w:rPr>
              <w:t xml:space="preserve"> facilitating investments for wealthy investors in connection with the creation of a special regime in the framework of regulation of the acceptance of investment offers, development of the investment </w:t>
            </w:r>
            <w:r w:rsidRPr="00C67FEB">
              <w:rPr>
                <w:rFonts w:ascii="Times New Roman" w:eastAsia="Times New Roman" w:hAnsi="Times New Roman" w:cs="Times New Roman"/>
                <w:i/>
                <w:iCs/>
                <w:sz w:val="24"/>
                <w:szCs w:val="24"/>
                <w:lang w:val="en-GB" w:eastAsia="cs-CZ"/>
              </w:rPr>
              <w:t xml:space="preserve">crowdfunding </w:t>
            </w:r>
            <w:r w:rsidRPr="00C67FEB">
              <w:rPr>
                <w:rFonts w:ascii="Times New Roman" w:eastAsia="Times New Roman" w:hAnsi="Times New Roman" w:cs="Times New Roman"/>
                <w:sz w:val="24"/>
                <w:szCs w:val="24"/>
                <w:lang w:val="en-GB" w:eastAsia="cs-CZ"/>
              </w:rPr>
              <w:t>environment in the Czech Republic by introducing basic regulation,</w:t>
            </w:r>
            <w:r w:rsidR="0087579E">
              <w:rPr>
                <w:rFonts w:ascii="Times New Roman" w:eastAsia="Times New Roman" w:hAnsi="Times New Roman" w:cs="Times New Roman"/>
                <w:sz w:val="24"/>
                <w:szCs w:val="24"/>
                <w:lang w:val="en-GB" w:eastAsia="cs-CZ"/>
              </w:rPr>
              <w:t xml:space="preserve"> </w:t>
            </w:r>
          </w:p>
          <w:p w:rsidR="0038173B" w:rsidRPr="00B07229" w:rsidP="0087579E">
            <w:pPr>
              <w:pStyle w:val="ListParagraph"/>
              <w:keepNext/>
              <w:numPr>
                <w:ilvl w:val="0"/>
                <w:numId w:val="22"/>
              </w:numPr>
              <w:spacing w:after="200" w:line="240" w:lineRule="auto"/>
              <w:jc w:val="both"/>
              <w:rPr>
                <w:rFonts w:ascii="Times New Roman" w:eastAsia="Times New Roman" w:hAnsi="Times New Roman" w:cs="Times New Roman"/>
                <w:sz w:val="24"/>
                <w:szCs w:val="24"/>
                <w:lang w:val="en-GB" w:eastAsia="cs-CZ"/>
              </w:rPr>
            </w:pPr>
            <w:r w:rsidRPr="00B07229">
              <w:rPr>
                <w:rFonts w:ascii="Times New Roman" w:eastAsia="Times New Roman" w:hAnsi="Times New Roman" w:cs="Times New Roman"/>
                <w:b/>
                <w:bCs/>
                <w:sz w:val="24"/>
                <w:szCs w:val="24"/>
                <w:lang w:val="en-GB" w:eastAsia="cs-CZ"/>
              </w:rPr>
              <w:t>measures to promote professional market participants (market infrastructure)</w:t>
            </w:r>
            <w:r w:rsidR="00B07229">
              <w:rPr>
                <w:rFonts w:ascii="Times New Roman" w:eastAsia="Times New Roman" w:hAnsi="Times New Roman" w:cs="Times New Roman"/>
                <w:b/>
                <w:bCs/>
                <w:sz w:val="24"/>
                <w:szCs w:val="24"/>
                <w:lang w:val="en-GB" w:eastAsia="cs-CZ"/>
              </w:rPr>
              <w:t>:</w:t>
            </w:r>
            <w:r w:rsidRPr="00C67FEB">
              <w:rPr>
                <w:rFonts w:ascii="Times New Roman" w:eastAsia="Times New Roman" w:hAnsi="Times New Roman" w:cs="Times New Roman"/>
                <w:sz w:val="24"/>
                <w:szCs w:val="24"/>
                <w:lang w:val="en-GB" w:eastAsia="cs-CZ"/>
              </w:rPr>
              <w:t xml:space="preserve"> allowing invest i</w:t>
            </w:r>
            <w:r w:rsidRPr="00C67FEB">
              <w:rPr>
                <w:rFonts w:ascii="Times New Roman" w:eastAsia="Times New Roman" w:hAnsi="Times New Roman" w:cs="Times New Roman"/>
                <w:sz w:val="24"/>
                <w:szCs w:val="24"/>
                <w:lang w:val="en-GB" w:eastAsia="cs-CZ"/>
              </w:rPr>
              <w:t>n</w:t>
            </w:r>
            <w:r w:rsidRPr="00C67FEB">
              <w:rPr>
                <w:rFonts w:ascii="Times New Roman" w:eastAsia="Times New Roman" w:hAnsi="Times New Roman" w:cs="Times New Roman"/>
                <w:sz w:val="24"/>
                <w:szCs w:val="24"/>
                <w:lang w:val="en-GB" w:eastAsia="cs-CZ"/>
              </w:rPr>
              <w:t xml:space="preserve"> pension funds (i</w:t>
            </w:r>
            <w:r w:rsidRPr="00C67FE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 transformed and participati</w:t>
            </w:r>
            <w:r w:rsidRPr="00C67FEB" w:rsidR="00A0249E">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 xml:space="preserve"> funds) to </w:t>
            </w:r>
            <w:r w:rsidRPr="00C67FEB">
              <w:rPr>
                <w:rFonts w:ascii="Times New Roman" w:eastAsia="Times New Roman" w:hAnsi="Times New Roman" w:cs="Times New Roman"/>
                <w:i/>
                <w:iCs/>
                <w:sz w:val="24"/>
                <w:szCs w:val="24"/>
                <w:lang w:val="en-GB" w:eastAsia="cs-CZ"/>
              </w:rPr>
              <w:t xml:space="preserve">private equity </w:t>
            </w:r>
            <w:r w:rsidRPr="00C67FEB">
              <w:rPr>
                <w:rFonts w:ascii="Times New Roman" w:eastAsia="Times New Roman" w:hAnsi="Times New Roman" w:cs="Times New Roman"/>
                <w:sz w:val="24"/>
                <w:szCs w:val="24"/>
                <w:lang w:val="en-GB" w:eastAsia="cs-CZ"/>
              </w:rPr>
              <w:t xml:space="preserve">funds, enabling the creation of sub-funds and other legal forms than SICAV, </w:t>
            </w:r>
            <w:r w:rsidRPr="00C67FEB">
              <w:rPr>
                <w:rFonts w:ascii="Times New Roman" w:eastAsia="Times New Roman" w:hAnsi="Times New Roman" w:cs="Times New Roman"/>
                <w:sz w:val="24"/>
                <w:szCs w:val="24"/>
                <w:lang w:val="en-GB" w:eastAsia="cs-CZ"/>
              </w:rPr>
              <w:t>support the use of XML when requesting information from financial institutions (especially in execution), support of trading in corporate bonds.</w:t>
            </w:r>
          </w:p>
          <w:p w:rsidR="0038173B"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p>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1.6 Risk assessment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bookmarkStart w:id="37" w:name="_Toc526419237"/>
            <w:bookmarkStart w:id="38" w:name="_Toc526421161"/>
            <w:bookmarkEnd w:id="37"/>
            <w:r w:rsidRPr="00C67FEB">
              <w:rPr>
                <w:rFonts w:ascii="Times New Roman" w:eastAsia="Times New Roman" w:hAnsi="Times New Roman" w:cs="Times New Roman"/>
                <w:sz w:val="24"/>
                <w:szCs w:val="24"/>
                <w:lang w:val="en-GB" w:eastAsia="cs-CZ"/>
              </w:rPr>
              <w:t xml:space="preserve">The proposed legislation aims to contribute to the development of capital in the Czech Republic through legislative measures that result from the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bookmarkEnd w:id="38"/>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Failure to adopt the proposed legislation, the Czech Republic </w:t>
            </w:r>
            <w:r w:rsidRPr="00C67FEB" w:rsidR="0038173B">
              <w:rPr>
                <w:rFonts w:ascii="Times New Roman" w:eastAsia="Times New Roman" w:hAnsi="Times New Roman" w:cs="Times New Roman"/>
                <w:sz w:val="24"/>
                <w:szCs w:val="24"/>
                <w:lang w:val="en-GB" w:eastAsia="cs-CZ"/>
              </w:rPr>
              <w:t>will not be exposed to the</w:t>
            </w:r>
            <w:r w:rsidRPr="00C67FEB">
              <w:rPr>
                <w:rFonts w:ascii="Times New Roman" w:eastAsia="Times New Roman" w:hAnsi="Times New Roman" w:cs="Times New Roman"/>
                <w:sz w:val="24"/>
                <w:szCs w:val="24"/>
                <w:lang w:val="en-GB" w:eastAsia="cs-CZ"/>
              </w:rPr>
              <w:t xml:space="preserve"> risk of breach of </w:t>
            </w:r>
            <w:r w:rsidRPr="00C67FEB" w:rsidR="0038173B">
              <w:rPr>
                <w:rFonts w:ascii="Times New Roman" w:eastAsia="Times New Roman" w:hAnsi="Times New Roman" w:cs="Times New Roman"/>
                <w:sz w:val="24"/>
                <w:szCs w:val="24"/>
                <w:lang w:val="en-GB" w:eastAsia="cs-CZ"/>
              </w:rPr>
              <w:t xml:space="preserve">EU </w:t>
            </w:r>
            <w:r w:rsidRPr="00C67FEB">
              <w:rPr>
                <w:rFonts w:ascii="Times New Roman" w:eastAsia="Times New Roman" w:hAnsi="Times New Roman" w:cs="Times New Roman"/>
                <w:sz w:val="24"/>
                <w:szCs w:val="24"/>
                <w:lang w:val="en-GB" w:eastAsia="cs-CZ"/>
              </w:rPr>
              <w:t xml:space="preserve">commitments. However, failure to adopt the proposed legislation exposes the Czech Republic to the risk of non-implementation of legislative measures resulting from a document to which the Government of the Czech Republic committed itself through Resolution No. 156 of 4 March 2019. Not removing some shortcomings in the existing </w:t>
            </w:r>
            <w:r w:rsidRPr="00C67FEB" w:rsidR="0038173B">
              <w:rPr>
                <w:rFonts w:ascii="Times New Roman" w:eastAsia="Times New Roman" w:hAnsi="Times New Roman" w:cs="Times New Roman"/>
                <w:sz w:val="24"/>
                <w:szCs w:val="24"/>
                <w:lang w:val="en-GB" w:eastAsia="cs-CZ"/>
              </w:rPr>
              <w:t>regulation</w:t>
            </w:r>
            <w:r w:rsidRPr="00C67FEB">
              <w:rPr>
                <w:rFonts w:ascii="Times New Roman" w:eastAsia="Times New Roman" w:hAnsi="Times New Roman" w:cs="Times New Roman"/>
                <w:sz w:val="24"/>
                <w:szCs w:val="24"/>
                <w:lang w:val="en-GB" w:eastAsia="cs-CZ"/>
              </w:rPr>
              <w:t xml:space="preserve"> </w:t>
            </w:r>
            <w:r w:rsidRPr="00C67FEB" w:rsidR="0038173B">
              <w:rPr>
                <w:rFonts w:ascii="Times New Roman" w:eastAsia="Times New Roman" w:hAnsi="Times New Roman" w:cs="Times New Roman"/>
                <w:sz w:val="24"/>
                <w:szCs w:val="24"/>
                <w:lang w:val="en-GB" w:eastAsia="cs-CZ"/>
              </w:rPr>
              <w:t>will impede the</w:t>
            </w:r>
            <w:r w:rsidRPr="00C67FEB">
              <w:rPr>
                <w:rFonts w:ascii="Times New Roman" w:eastAsia="Times New Roman" w:hAnsi="Times New Roman" w:cs="Times New Roman"/>
                <w:sz w:val="24"/>
                <w:szCs w:val="24"/>
                <w:lang w:val="en-GB" w:eastAsia="cs-CZ"/>
              </w:rPr>
              <w:t xml:space="preserve"> development </w:t>
            </w:r>
            <w:r w:rsidRPr="00C67FEB" w:rsidR="0038173B">
              <w:rPr>
                <w:rFonts w:ascii="Times New Roman" w:eastAsia="Times New Roman" w:hAnsi="Times New Roman" w:cs="Times New Roman"/>
                <w:sz w:val="24"/>
                <w:szCs w:val="24"/>
                <w:lang w:val="en-GB" w:eastAsia="cs-CZ"/>
              </w:rPr>
              <w:t>of</w:t>
            </w:r>
            <w:r w:rsidRPr="00C67FEB">
              <w:rPr>
                <w:rFonts w:ascii="Times New Roman" w:eastAsia="Times New Roman" w:hAnsi="Times New Roman" w:cs="Times New Roman"/>
                <w:sz w:val="24"/>
                <w:szCs w:val="24"/>
                <w:lang w:val="en-GB" w:eastAsia="cs-CZ"/>
              </w:rPr>
              <w:t xml:space="preserve"> capital market in the Czech Republic, in particular </w:t>
            </w:r>
            <w:r w:rsidRPr="00C67FEB" w:rsidR="0038173B">
              <w:rPr>
                <w:rFonts w:ascii="Times New Roman" w:eastAsia="Times New Roman" w:hAnsi="Times New Roman" w:cs="Times New Roman"/>
                <w:sz w:val="24"/>
                <w:szCs w:val="24"/>
                <w:lang w:val="en-GB" w:eastAsia="cs-CZ"/>
              </w:rPr>
              <w:t xml:space="preserve">it will not be possible to create old-age saving alternatively through a new type of account, it will not be possible for a new type of mutual fund to invest more dynamically, furthermore it will not be possible for investors to be more widely and transparently informed of issuers and the issue, duplication between the prospectus and the terms of issue will not be eliminated, the advertising of investment instruments will not be regulated and thus the protection of investors will be reduced, the costs of execution on the financial market will not be reduced, the conditions between permanent arbitration courts will not be </w:t>
            </w:r>
            <w:r w:rsidRPr="00C67FEB" w:rsidR="00C50C8A">
              <w:rPr>
                <w:rFonts w:ascii="Times New Roman" w:eastAsia="Times New Roman" w:hAnsi="Times New Roman" w:cs="Times New Roman"/>
                <w:sz w:val="24"/>
                <w:szCs w:val="24"/>
                <w:lang w:val="en-GB" w:eastAsia="cs-CZ"/>
              </w:rPr>
              <w:t>levelled</w:t>
            </w:r>
            <w:r w:rsidRPr="00C67FEB" w:rsidR="0038173B">
              <w:rPr>
                <w:rFonts w:ascii="Times New Roman" w:eastAsia="Times New Roman" w:hAnsi="Times New Roman" w:cs="Times New Roman"/>
                <w:sz w:val="24"/>
                <w:szCs w:val="24"/>
                <w:lang w:val="en-GB" w:eastAsia="cs-CZ"/>
              </w:rPr>
              <w:t>, etc.</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B07229" w:rsidP="0087579E">
            <w:pPr>
              <w:keepNext/>
              <w:pBdr>
                <w:top w:val="single" w:sz="6" w:space="1" w:color="000000"/>
                <w:left w:val="single" w:sz="6" w:space="0" w:color="000000"/>
                <w:bottom w:val="single" w:sz="6" w:space="1" w:color="000000"/>
                <w:right w:val="single" w:sz="6" w:space="4" w:color="000000"/>
              </w:pBdr>
              <w:spacing w:before="200" w:after="120" w:line="240" w:lineRule="auto"/>
              <w:jc w:val="center"/>
              <w:outlineLvl w:val="3"/>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14"/>
                <w:szCs w:val="14"/>
                <w:lang w:val="en-GB" w:eastAsia="cs-CZ"/>
              </w:rPr>
              <w:t xml:space="preserve"> </w:t>
            </w:r>
            <w:r w:rsidRPr="00B07229">
              <w:rPr>
                <w:rFonts w:ascii="Times New Roman" w:eastAsia="Times New Roman" w:hAnsi="Times New Roman" w:cs="Times New Roman"/>
                <w:b/>
                <w:bCs/>
                <w:sz w:val="24"/>
                <w:szCs w:val="24"/>
                <w:lang w:val="en-GB" w:eastAsia="cs-CZ"/>
              </w:rPr>
              <w:t>2. D</w:t>
            </w:r>
            <w:r w:rsidRPr="00B07229" w:rsidR="00C72B87">
              <w:rPr>
                <w:rFonts w:ascii="Times New Roman" w:eastAsia="Times New Roman" w:hAnsi="Times New Roman" w:cs="Times New Roman"/>
                <w:b/>
                <w:bCs/>
                <w:sz w:val="24"/>
                <w:szCs w:val="24"/>
                <w:lang w:val="en-GB" w:eastAsia="cs-CZ"/>
              </w:rPr>
              <w:t>RAFT</w:t>
            </w:r>
            <w:r w:rsidRPr="00B07229">
              <w:rPr>
                <w:rFonts w:ascii="Times New Roman" w:eastAsia="Times New Roman" w:hAnsi="Times New Roman" w:cs="Times New Roman"/>
                <w:b/>
                <w:bCs/>
                <w:sz w:val="24"/>
                <w:szCs w:val="24"/>
                <w:lang w:val="en-GB" w:eastAsia="cs-CZ"/>
              </w:rPr>
              <w:t xml:space="preserve"> OF VARIANT SOLUTIONS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the following section, the evaluation of the impact of the regulation describes the individual evaluated questions, including the proposal of solutions and evaluation of options. The questions were consulted through consultation material published on the website of the Ministry of Finance.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Ministry of Finance published a public consultation on the draft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sz w:val="24"/>
                <w:szCs w:val="24"/>
                <w:lang w:val="en-GB" w:eastAsia="cs-CZ"/>
              </w:rPr>
              <w:t xml:space="preserve"> on 7 December 2018, with a deadline to comment by 9 January 2019. In this context, it called on capital market participants and the professional public to send any specific proposals with justification of the proposed change, which could be taken into account when preparing the amendment.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After incorporating the comments received and finalizing the text, the Ministry of Finance submitted the </w:t>
            </w:r>
            <w:r w:rsidRPr="00C67FEB" w:rsidR="00254E72">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to the Government of the Czech Republic, which approved this document at its meeting on 4 March 2019 (Resolution No. 156).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Subsequently, on 8 August 2019, a document entitled </w:t>
            </w:r>
            <w:r w:rsidRPr="00C67FEB" w:rsidR="008F46DE">
              <w:rPr>
                <w:rFonts w:ascii="Times New Roman" w:eastAsia="Times New Roman" w:hAnsi="Times New Roman" w:cs="Times New Roman"/>
                <w:sz w:val="24"/>
                <w:szCs w:val="24"/>
                <w:lang w:val="en-GB" w:eastAsia="cs-CZ"/>
              </w:rPr>
              <w:t xml:space="preserve">“Consultation Paper on the </w:t>
            </w:r>
            <w:r w:rsidRPr="00C67FEB">
              <w:rPr>
                <w:rFonts w:ascii="Times New Roman" w:eastAsia="Times New Roman" w:hAnsi="Times New Roman" w:cs="Times New Roman"/>
                <w:sz w:val="24"/>
                <w:szCs w:val="24"/>
                <w:lang w:val="en-GB" w:eastAsia="cs-CZ"/>
              </w:rPr>
              <w:t xml:space="preserve">Planned Legislative Measures Arising from the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sidR="008F46DE">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was published for public consultation. In this context, the Ministry of Finance also invited capital market participants and the professional public to send any specific proposals justification of the proposed change that could be taken into account in the preparation of the amendment. One supervisory authority, one ministry, 6 market </w:t>
            </w:r>
            <w:r w:rsidRPr="00C67FEB" w:rsidR="00413F41">
              <w:rPr>
                <w:rFonts w:ascii="Times New Roman" w:eastAsia="Times New Roman" w:hAnsi="Times New Roman" w:cs="Times New Roman"/>
                <w:sz w:val="24"/>
                <w:szCs w:val="24"/>
                <w:lang w:val="en-GB" w:eastAsia="cs-CZ"/>
              </w:rPr>
              <w:t>association</w:t>
            </w:r>
            <w:r w:rsidRPr="00C67FEB">
              <w:rPr>
                <w:rFonts w:ascii="Times New Roman" w:eastAsia="Times New Roman" w:hAnsi="Times New Roman" w:cs="Times New Roman"/>
                <w:sz w:val="24"/>
                <w:szCs w:val="24"/>
                <w:lang w:val="en-GB" w:eastAsia="cs-CZ"/>
              </w:rPr>
              <w:t xml:space="preserve">s, one international market </w:t>
            </w:r>
            <w:r w:rsidRPr="00C67FEB" w:rsidR="00413F41">
              <w:rPr>
                <w:rFonts w:ascii="Times New Roman" w:eastAsia="Times New Roman" w:hAnsi="Times New Roman" w:cs="Times New Roman"/>
                <w:sz w:val="24"/>
                <w:szCs w:val="24"/>
                <w:lang w:val="en-GB" w:eastAsia="cs-CZ"/>
              </w:rPr>
              <w:t>association</w:t>
            </w:r>
            <w:r w:rsidRPr="00C67FEB">
              <w:rPr>
                <w:rFonts w:ascii="Times New Roman" w:eastAsia="Times New Roman" w:hAnsi="Times New Roman" w:cs="Times New Roman"/>
                <w:sz w:val="24"/>
                <w:szCs w:val="24"/>
                <w:lang w:val="en-GB" w:eastAsia="cs-CZ"/>
              </w:rPr>
              <w:t xml:space="preserve">, one trade union representative, one educational institution, 5 market </w:t>
            </w:r>
            <w:r w:rsidRPr="00C67FEB" w:rsidR="00A0249E">
              <w:rPr>
                <w:rFonts w:ascii="Times New Roman" w:eastAsia="Times New Roman" w:hAnsi="Times New Roman" w:cs="Times New Roman"/>
                <w:sz w:val="24"/>
                <w:szCs w:val="24"/>
                <w:lang w:val="en-GB" w:eastAsia="cs-CZ"/>
              </w:rPr>
              <w:t>operators</w:t>
            </w:r>
            <w:r w:rsidRPr="00C67FEB">
              <w:rPr>
                <w:rFonts w:ascii="Times New Roman" w:eastAsia="Times New Roman" w:hAnsi="Times New Roman" w:cs="Times New Roman"/>
                <w:sz w:val="24"/>
                <w:szCs w:val="24"/>
                <w:lang w:val="en-GB" w:eastAsia="cs-CZ"/>
              </w:rPr>
              <w:t xml:space="preserve"> and 5 private </w:t>
            </w:r>
            <w:r w:rsidRPr="00C67FEB" w:rsidR="00A0249E">
              <w:rPr>
                <w:rFonts w:ascii="Times New Roman" w:eastAsia="Times New Roman" w:hAnsi="Times New Roman" w:cs="Times New Roman"/>
                <w:sz w:val="24"/>
                <w:szCs w:val="24"/>
                <w:lang w:val="en-GB" w:eastAsia="cs-CZ"/>
              </w:rPr>
              <w:t>persons</w:t>
            </w:r>
            <w:r w:rsidRPr="00C67FEB">
              <w:rPr>
                <w:rFonts w:ascii="Times New Roman" w:eastAsia="Times New Roman" w:hAnsi="Times New Roman" w:cs="Times New Roman"/>
                <w:sz w:val="24"/>
                <w:szCs w:val="24"/>
                <w:lang w:val="en-GB" w:eastAsia="cs-CZ"/>
              </w:rPr>
              <w:t xml:space="preserve"> responded to the call. </w:t>
            </w:r>
          </w:p>
          <w:p w:rsidR="00403DFA" w:rsidRPr="00B07229"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07229">
              <w:rPr>
                <w:rFonts w:ascii="Times New Roman" w:eastAsia="Times New Roman" w:hAnsi="Times New Roman" w:cs="Times New Roman"/>
                <w:b/>
                <w:bCs/>
                <w:sz w:val="24"/>
                <w:szCs w:val="24"/>
                <w:lang w:val="en-GB" w:eastAsia="cs-CZ"/>
              </w:rPr>
              <w:t>Legend to evaluat</w:t>
            </w:r>
            <w:r w:rsidR="00DE785C">
              <w:rPr>
                <w:rFonts w:ascii="Times New Roman" w:eastAsia="Times New Roman" w:hAnsi="Times New Roman" w:cs="Times New Roman"/>
                <w:b/>
                <w:bCs/>
                <w:sz w:val="24"/>
                <w:szCs w:val="24"/>
                <w:lang w:val="en-GB" w:eastAsia="cs-CZ"/>
              </w:rPr>
              <w:t>ion</w:t>
            </w:r>
            <w:r w:rsidRPr="00B07229">
              <w:rPr>
                <w:rFonts w:ascii="Times New Roman" w:eastAsia="Times New Roman" w:hAnsi="Times New Roman" w:cs="Times New Roman"/>
                <w:b/>
                <w:bCs/>
                <w:sz w:val="24"/>
                <w:szCs w:val="24"/>
                <w:lang w:val="en-GB" w:eastAsia="cs-CZ"/>
              </w:rPr>
              <w:t xml:space="preserve"> and </w:t>
            </w:r>
            <w:r w:rsidRPr="00B07229" w:rsidR="008F46DE">
              <w:rPr>
                <w:rFonts w:ascii="Times New Roman" w:eastAsia="Times New Roman" w:hAnsi="Times New Roman" w:cs="Times New Roman"/>
                <w:b/>
                <w:bCs/>
                <w:sz w:val="24"/>
                <w:szCs w:val="24"/>
                <w:lang w:val="en-GB" w:eastAsia="cs-CZ"/>
              </w:rPr>
              <w:t>variant</w:t>
            </w:r>
            <w:r w:rsidRPr="00B07229">
              <w:rPr>
                <w:rFonts w:ascii="Times New Roman" w:eastAsia="Times New Roman" w:hAnsi="Times New Roman" w:cs="Times New Roman"/>
                <w:b/>
                <w:bCs/>
                <w:sz w:val="24"/>
                <w:szCs w:val="24"/>
                <w:lang w:val="en-GB" w:eastAsia="cs-CZ"/>
              </w:rPr>
              <w:t xml:space="preserve"> solutions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analysis of solution variants aims to carry out a basic evaluation of whether it is desirable in individual cases to change the current situation and to create new legislation.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w:t>
            </w:r>
            <w:r w:rsidRPr="00C67FEB" w:rsidR="00F13437">
              <w:rPr>
                <w:rFonts w:ascii="Times New Roman" w:eastAsia="Times New Roman" w:hAnsi="Times New Roman" w:cs="Times New Roman"/>
                <w:sz w:val="24"/>
                <w:szCs w:val="24"/>
                <w:lang w:val="en-GB" w:eastAsia="cs-CZ"/>
              </w:rPr>
              <w:t>submitter</w:t>
            </w:r>
            <w:r w:rsidRPr="00C67FEB">
              <w:rPr>
                <w:rFonts w:ascii="Times New Roman" w:eastAsia="Times New Roman" w:hAnsi="Times New Roman" w:cs="Times New Roman"/>
                <w:sz w:val="24"/>
                <w:szCs w:val="24"/>
                <w:lang w:val="en-GB" w:eastAsia="cs-CZ"/>
              </w:rPr>
              <w:t xml:space="preserve"> has carried out a cost-benefit assessment with regard to the identified stakeholders. During the evaluation of the impact submitter conducted consultations with the concerned parties. The aim was to obtain data that are otherwise unavailable and to reach relevant conclusions in the analysis. Impact of the variants </w:t>
            </w:r>
            <w:r w:rsidRPr="00C67FEB" w:rsidR="008F46DE">
              <w:rPr>
                <w:rFonts w:ascii="Times New Roman" w:eastAsia="Times New Roman" w:hAnsi="Times New Roman" w:cs="Times New Roman"/>
                <w:sz w:val="24"/>
                <w:szCs w:val="24"/>
                <w:lang w:val="en-GB" w:eastAsia="cs-CZ"/>
              </w:rPr>
              <w:t>is</w:t>
            </w:r>
            <w:r w:rsidRPr="00C67FEB">
              <w:rPr>
                <w:rFonts w:ascii="Times New Roman" w:eastAsia="Times New Roman" w:hAnsi="Times New Roman" w:cs="Times New Roman"/>
                <w:sz w:val="24"/>
                <w:szCs w:val="24"/>
                <w:lang w:val="en-GB" w:eastAsia="cs-CZ"/>
              </w:rPr>
              <w:t xml:space="preserve"> not</w:t>
            </w:r>
            <w:r w:rsidRPr="00C67FEB" w:rsidR="008F46DE">
              <w:rPr>
                <w:rFonts w:ascii="Times New Roman" w:eastAsia="Times New Roman" w:hAnsi="Times New Roman" w:cs="Times New Roman"/>
                <w:sz w:val="24"/>
                <w:szCs w:val="24"/>
                <w:lang w:val="en-GB" w:eastAsia="cs-CZ"/>
              </w:rPr>
              <w:t xml:space="preserve"> stated on the</w:t>
            </w:r>
            <w:r w:rsidRPr="00C67FEB">
              <w:rPr>
                <w:rFonts w:ascii="Times New Roman" w:eastAsia="Times New Roman" w:hAnsi="Times New Roman" w:cs="Times New Roman"/>
                <w:sz w:val="24"/>
                <w:szCs w:val="24"/>
                <w:lang w:val="en-GB" w:eastAsia="cs-CZ"/>
              </w:rPr>
              <w:t xml:space="preserve"> aggregate</w:t>
            </w:r>
            <w:r w:rsidRPr="00C67FEB" w:rsidR="008F46DE">
              <w:rPr>
                <w:rFonts w:ascii="Times New Roman" w:eastAsia="Times New Roman" w:hAnsi="Times New Roman" w:cs="Times New Roman"/>
                <w:sz w:val="24"/>
                <w:szCs w:val="24"/>
                <w:lang w:val="en-GB" w:eastAsia="cs-CZ"/>
              </w:rPr>
              <w:t>d</w:t>
            </w:r>
            <w:r w:rsidRPr="00C67FEB">
              <w:rPr>
                <w:rFonts w:ascii="Times New Roman" w:eastAsia="Times New Roman" w:hAnsi="Times New Roman" w:cs="Times New Roman"/>
                <w:sz w:val="24"/>
                <w:szCs w:val="24"/>
                <w:lang w:val="en-GB" w:eastAsia="cs-CZ"/>
              </w:rPr>
              <w:t xml:space="preserve"> basis, but in a structured way according to each specific area to which </w:t>
            </w:r>
            <w:r w:rsidRPr="00C67FEB" w:rsidR="008F46DE">
              <w:rPr>
                <w:rFonts w:ascii="Times New Roman" w:eastAsia="Times New Roman" w:hAnsi="Times New Roman" w:cs="Times New Roman"/>
                <w:sz w:val="24"/>
                <w:szCs w:val="24"/>
                <w:lang w:val="en-GB" w:eastAsia="cs-CZ"/>
              </w:rPr>
              <w:t xml:space="preserve">the </w:t>
            </w:r>
            <w:r w:rsidRPr="00C67FEB">
              <w:rPr>
                <w:rFonts w:ascii="Times New Roman" w:eastAsia="Times New Roman" w:hAnsi="Times New Roman" w:cs="Times New Roman"/>
                <w:sz w:val="24"/>
                <w:szCs w:val="24"/>
                <w:lang w:val="en-GB" w:eastAsia="cs-CZ"/>
              </w:rPr>
              <w:t>stakeholders</w:t>
            </w:r>
            <w:r w:rsidRPr="00C67FEB" w:rsidR="008F46DE">
              <w:rPr>
                <w:rFonts w:ascii="Times New Roman" w:eastAsia="Times New Roman" w:hAnsi="Times New Roman" w:cs="Times New Roman"/>
                <w:sz w:val="24"/>
                <w:szCs w:val="24"/>
                <w:lang w:val="en-GB" w:eastAsia="cs-CZ"/>
              </w:rPr>
              <w:t xml:space="preserve"> belong</w:t>
            </w:r>
            <w:r w:rsidRPr="00C67FEB">
              <w:rPr>
                <w:rFonts w:ascii="Times New Roman" w:eastAsia="Times New Roman" w:hAnsi="Times New Roman" w:cs="Times New Roman"/>
                <w:sz w:val="24"/>
                <w:szCs w:val="24"/>
                <w:lang w:val="en-GB" w:eastAsia="cs-CZ"/>
              </w:rPr>
              <w:t xml:space="preserve">, and groups of entities concerned </w:t>
            </w:r>
            <w:r w:rsidRPr="00C67FEB" w:rsidR="008F46DE">
              <w:rPr>
                <w:rFonts w:ascii="Times New Roman" w:eastAsia="Times New Roman" w:hAnsi="Times New Roman" w:cs="Times New Roman"/>
                <w:sz w:val="24"/>
                <w:szCs w:val="24"/>
                <w:lang w:val="en-GB" w:eastAsia="cs-CZ"/>
              </w:rPr>
              <w:t>which are impacted</w:t>
            </w:r>
            <w:r w:rsidRPr="00C67FEB">
              <w:rPr>
                <w:rFonts w:ascii="Times New Roman" w:eastAsia="Times New Roman" w:hAnsi="Times New Roman" w:cs="Times New Roman"/>
                <w:sz w:val="24"/>
                <w:szCs w:val="24"/>
                <w:lang w:val="en-GB" w:eastAsia="cs-CZ"/>
              </w:rPr>
              <w:t xml:space="preserve">. The so-called </w:t>
            </w:r>
            <w:r w:rsidRPr="00C67FEB">
              <w:rPr>
                <w:rFonts w:ascii="Times New Roman" w:eastAsia="Times New Roman" w:hAnsi="Times New Roman" w:cs="Times New Roman"/>
                <w:sz w:val="24"/>
                <w:szCs w:val="24"/>
                <w:lang w:val="en-GB" w:eastAsia="cs-CZ"/>
              </w:rPr>
              <w:t>multicriterial</w:t>
            </w:r>
            <w:r w:rsidRPr="00C67FEB">
              <w:rPr>
                <w:rFonts w:ascii="Times New Roman" w:eastAsia="Times New Roman" w:hAnsi="Times New Roman" w:cs="Times New Roman"/>
                <w:sz w:val="24"/>
                <w:szCs w:val="24"/>
                <w:lang w:val="en-GB" w:eastAsia="cs-CZ"/>
              </w:rPr>
              <w:t xml:space="preserve"> analysis was used to evaluate and propose solutions.</w:t>
            </w:r>
            <w:r w:rsidR="0087579E">
              <w:rPr>
                <w:rFonts w:ascii="Arial" w:eastAsia="Times New Roman" w:hAnsi="Arial" w:cs="Arial"/>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Multicriteria</w:t>
            </w:r>
            <w:r w:rsidRPr="00C67FEB" w:rsidR="00F13437">
              <w:rPr>
                <w:rFonts w:ascii="Times New Roman" w:eastAsia="Times New Roman" w:hAnsi="Times New Roman" w:cs="Times New Roman"/>
                <w:sz w:val="24"/>
                <w:szCs w:val="24"/>
                <w:lang w:val="en-GB" w:eastAsia="cs-CZ"/>
              </w:rPr>
              <w:t>l</w:t>
            </w:r>
            <w:r w:rsidRPr="00C67FEB">
              <w:rPr>
                <w:rFonts w:ascii="Times New Roman" w:eastAsia="Times New Roman" w:hAnsi="Times New Roman" w:cs="Times New Roman"/>
                <w:sz w:val="24"/>
                <w:szCs w:val="24"/>
                <w:lang w:val="en-GB" w:eastAsia="cs-CZ"/>
              </w:rPr>
              <w:t xml:space="preserve"> analysis deals with the evaluation of possible alternatives according to several criteria, while the alternative evaluated according to one criterion is not usually best evaluated according to another criterion. </w:t>
            </w:r>
            <w:r w:rsidRPr="00C67FEB">
              <w:rPr>
                <w:rFonts w:ascii="Times New Roman" w:eastAsia="Times New Roman" w:hAnsi="Times New Roman" w:cs="Times New Roman"/>
                <w:sz w:val="24"/>
                <w:szCs w:val="24"/>
                <w:lang w:val="en-GB" w:eastAsia="cs-CZ"/>
              </w:rPr>
              <w:t>Multicriterial</w:t>
            </w:r>
            <w:r w:rsidRPr="00C67FEB">
              <w:rPr>
                <w:rFonts w:ascii="Times New Roman" w:eastAsia="Times New Roman" w:hAnsi="Times New Roman" w:cs="Times New Roman"/>
                <w:sz w:val="24"/>
                <w:szCs w:val="24"/>
                <w:lang w:val="en-GB" w:eastAsia="cs-CZ"/>
              </w:rPr>
              <w:t xml:space="preserve"> decision-making methods then resolve conflicts between conflicting criteria. It is a method that aims to summarize and organize information about variant </w:t>
            </w:r>
            <w:r w:rsidRPr="00C67FEB" w:rsidR="00F13437">
              <w:rPr>
                <w:rFonts w:ascii="Times New Roman" w:eastAsia="Times New Roman" w:hAnsi="Times New Roman" w:cs="Times New Roman"/>
                <w:sz w:val="24"/>
                <w:szCs w:val="24"/>
                <w:lang w:val="en-GB" w:eastAsia="cs-CZ"/>
              </w:rPr>
              <w:t>solutions</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Multicriterial</w:t>
            </w:r>
            <w:r w:rsidRPr="00C67FEB">
              <w:rPr>
                <w:rFonts w:ascii="Times New Roman" w:eastAsia="Times New Roman" w:hAnsi="Times New Roman" w:cs="Times New Roman"/>
                <w:sz w:val="24"/>
                <w:szCs w:val="24"/>
                <w:lang w:val="en-GB" w:eastAsia="cs-CZ"/>
              </w:rPr>
              <w:t xml:space="preserve"> decision-making arises wherever the decision-maker evaluates the consequences of his choice according to several criteria, namely quantitative criteria, which are usually expressed in natural scales (also referred to as numerical criteria) or qualitative criteria where we introduce an appropriate scale, e</w:t>
            </w:r>
            <w:r w:rsidRPr="00C67FEB" w:rsidR="00F1343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g</w:t>
            </w:r>
            <w:r w:rsidRPr="00C67FEB" w:rsidR="00F1343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grading scale or scale </w:t>
            </w:r>
            <w:r w:rsidRPr="00C67FEB" w:rsidR="00F1343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very high - high - average - low - very low</w:t>
            </w:r>
            <w:r w:rsidRPr="00C67FEB" w:rsidR="00F1343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and at the same time we define the direction of better evaluation, i</w:t>
            </w:r>
            <w:r w:rsidRPr="00C67FEB" w:rsidR="00F1343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F1343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whether the maximum or minimum value is better (decreasing or increasing values).</w:t>
            </w:r>
            <w:r w:rsidR="0087579E">
              <w:rPr>
                <w:rFonts w:ascii="Times New Roman" w:eastAsia="Times New Roman" w:hAnsi="Times New Roman" w:cs="Times New Roman"/>
                <w:sz w:val="24"/>
                <w:szCs w:val="24"/>
                <w:lang w:val="en-GB" w:eastAsia="cs-CZ"/>
              </w:rPr>
              <w:t xml:space="preserve">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Step-by-step method</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Alternatives are identified. It will decide the criteria (factors) that will determine the decision. Detailed assessment of the impact of each alternative on each </w:t>
            </w:r>
            <w:r w:rsidRPr="00C67FEB" w:rsidR="00F13437">
              <w:rPr>
                <w:rFonts w:ascii="Times New Roman" w:eastAsia="Times New Roman" w:hAnsi="Times New Roman" w:cs="Times New Roman"/>
                <w:sz w:val="24"/>
                <w:szCs w:val="24"/>
                <w:lang w:val="en-GB" w:eastAsia="cs-CZ"/>
              </w:rPr>
              <w:t>criterion</w:t>
            </w:r>
            <w:r w:rsidRPr="00C67FEB">
              <w:rPr>
                <w:rFonts w:ascii="Times New Roman" w:eastAsia="Times New Roman" w:hAnsi="Times New Roman" w:cs="Times New Roman"/>
                <w:sz w:val="24"/>
                <w:szCs w:val="24"/>
                <w:lang w:val="en-GB" w:eastAsia="cs-CZ"/>
              </w:rPr>
              <w:t xml:space="preserve">. Where possible, </w:t>
            </w:r>
            <w:r w:rsidRPr="00C67FEB" w:rsidR="00F13437">
              <w:rPr>
                <w:rFonts w:ascii="Times New Roman" w:eastAsia="Times New Roman" w:hAnsi="Times New Roman" w:cs="Times New Roman"/>
                <w:sz w:val="24"/>
                <w:szCs w:val="24"/>
                <w:lang w:val="en-GB" w:eastAsia="cs-CZ"/>
              </w:rPr>
              <w:t xml:space="preserve">it </w:t>
            </w:r>
            <w:r w:rsidRPr="00C67FEB">
              <w:rPr>
                <w:rFonts w:ascii="Times New Roman" w:eastAsia="Times New Roman" w:hAnsi="Times New Roman" w:cs="Times New Roman"/>
                <w:sz w:val="24"/>
                <w:szCs w:val="24"/>
                <w:lang w:val="en-GB" w:eastAsia="cs-CZ"/>
              </w:rPr>
              <w:t>express</w:t>
            </w:r>
            <w:r w:rsidRPr="00C67FEB" w:rsidR="00F13437">
              <w:rPr>
                <w:rFonts w:ascii="Times New Roman" w:eastAsia="Times New Roman" w:hAnsi="Times New Roman" w:cs="Times New Roman"/>
                <w:sz w:val="24"/>
                <w:szCs w:val="24"/>
                <w:lang w:val="en-GB" w:eastAsia="cs-CZ"/>
              </w:rPr>
              <w:t>es</w:t>
            </w:r>
            <w:r w:rsidRPr="00C67FEB">
              <w:rPr>
                <w:rFonts w:ascii="Times New Roman" w:eastAsia="Times New Roman" w:hAnsi="Times New Roman" w:cs="Times New Roman"/>
                <w:sz w:val="24"/>
                <w:szCs w:val="24"/>
                <w:lang w:val="en-GB" w:eastAsia="cs-CZ"/>
              </w:rPr>
              <w:t xml:space="preserve"> yourself in numbers (not necessarily money). Each criterion</w:t>
            </w:r>
            <w:r w:rsidRPr="00C67FEB" w:rsidR="00F13437">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 (factors) </w:t>
            </w:r>
            <w:r w:rsidRPr="00C67FEB" w:rsidR="00F13437">
              <w:rPr>
                <w:rFonts w:ascii="Times New Roman" w:eastAsia="Times New Roman" w:hAnsi="Times New Roman" w:cs="Times New Roman"/>
                <w:sz w:val="24"/>
                <w:szCs w:val="24"/>
                <w:lang w:val="en-GB" w:eastAsia="cs-CZ"/>
              </w:rPr>
              <w:t>are</w:t>
            </w:r>
            <w:r w:rsidRPr="00C67FEB">
              <w:rPr>
                <w:rFonts w:ascii="Times New Roman" w:eastAsia="Times New Roman" w:hAnsi="Times New Roman" w:cs="Times New Roman"/>
                <w:sz w:val="24"/>
                <w:szCs w:val="24"/>
                <w:lang w:val="en-GB" w:eastAsia="cs-CZ"/>
              </w:rPr>
              <w:t xml:space="preserve"> assigned </w:t>
            </w:r>
            <w:r w:rsidRPr="00C67FEB" w:rsidR="00F13437">
              <w:rPr>
                <w:rFonts w:ascii="Times New Roman" w:eastAsia="Times New Roman" w:hAnsi="Times New Roman" w:cs="Times New Roman"/>
                <w:sz w:val="24"/>
                <w:szCs w:val="24"/>
                <w:lang w:val="en-GB" w:eastAsia="cs-CZ"/>
              </w:rPr>
              <w:t>their</w:t>
            </w:r>
            <w:r w:rsidRPr="00C67FEB">
              <w:rPr>
                <w:rFonts w:ascii="Times New Roman" w:eastAsia="Times New Roman" w:hAnsi="Times New Roman" w:cs="Times New Roman"/>
                <w:sz w:val="24"/>
                <w:szCs w:val="24"/>
                <w:lang w:val="en-GB" w:eastAsia="cs-CZ"/>
              </w:rPr>
              <w:t xml:space="preserve"> relative weight (significance). </w:t>
            </w:r>
            <w:r w:rsidRPr="00C67FEB" w:rsidR="00F13437">
              <w:rPr>
                <w:rFonts w:ascii="Times New Roman" w:eastAsia="Times New Roman" w:hAnsi="Times New Roman" w:cs="Times New Roman"/>
                <w:sz w:val="24"/>
                <w:szCs w:val="24"/>
                <w:lang w:val="en-GB" w:eastAsia="cs-CZ"/>
              </w:rPr>
              <w:t>So, t</w:t>
            </w:r>
            <w:r w:rsidRPr="00C67FEB">
              <w:rPr>
                <w:rFonts w:ascii="Times New Roman" w:eastAsia="Times New Roman" w:hAnsi="Times New Roman" w:cs="Times New Roman"/>
                <w:sz w:val="24"/>
                <w:szCs w:val="24"/>
                <w:lang w:val="en-GB" w:eastAsia="cs-CZ"/>
              </w:rPr>
              <w:t>here will be indicators of the significance of the main impacts.</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Evaluation of design alternatives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particular, the following criteria have been established in the evaluation of alternatives to proposals, with each criterion being assigned the same significance except for the first criterion, which is absolutely crucial to the objectives of this amendment.</w:t>
            </w:r>
            <w:r w:rsidR="0087579E">
              <w:rPr>
                <w:rFonts w:ascii="Times New Roman" w:eastAsia="Times New Roman" w:hAnsi="Times New Roman" w:cs="Times New Roman"/>
                <w:sz w:val="24"/>
                <w:szCs w:val="24"/>
                <w:lang w:val="en-GB" w:eastAsia="cs-CZ"/>
              </w:rPr>
              <w:t xml:space="preserve"> </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Whether the proposed alternative sufficiently implements the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Is the current legislation insufficient or </w:t>
            </w:r>
            <w:r w:rsidRPr="00C67FEB">
              <w:rPr>
                <w:rFonts w:ascii="Times New Roman" w:eastAsia="Times New Roman" w:hAnsi="Times New Roman" w:cs="Times New Roman"/>
                <w:sz w:val="24"/>
                <w:szCs w:val="24"/>
                <w:lang w:val="en-GB" w:eastAsia="cs-CZ"/>
              </w:rPr>
              <w:t>unsatisfactory.</w:t>
            </w:r>
            <w:r w:rsidRPr="00C67FEB">
              <w:rPr>
                <w:rFonts w:ascii="Times New Roman" w:eastAsia="Times New Roman" w:hAnsi="Times New Roman" w:cs="Times New Roman"/>
                <w:sz w:val="24"/>
                <w:szCs w:val="24"/>
                <w:lang w:val="en-GB" w:eastAsia="cs-CZ"/>
              </w:rPr>
              <w:t xml:space="preserve"> Why?</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If this is not a regulation that could be addressed in other, n</w:t>
            </w:r>
            <w:r w:rsidRPr="00C67FEB" w:rsidR="00F13437">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legislative means.</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What is the purpose pursued by the (considered) legislation.</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Impact on individual entities.</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Protection primarily of small but also qualified investors.</w:t>
            </w:r>
          </w:p>
          <w:p w:rsidR="00403DFA" w:rsidRPr="00C67FEB" w:rsidP="0087579E">
            <w:pPr>
              <w:pStyle w:val="ListParagraph"/>
              <w:keepNext/>
              <w:numPr>
                <w:ilvl w:val="0"/>
                <w:numId w:val="23"/>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Capital market development.</w:t>
            </w:r>
          </w:p>
          <w:p w:rsidR="00403DFA" w:rsidRPr="00C67FEB" w:rsidP="0087579E">
            <w:pPr>
              <w:pStyle w:val="ListParagraph"/>
              <w:keepNext/>
              <w:numPr>
                <w:ilvl w:val="0"/>
                <w:numId w:val="23"/>
              </w:numPr>
              <w:spacing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Possible implementation risks.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With regard to the fact that the proposal is based on the </w:t>
            </w:r>
            <w:r w:rsidRPr="00C67FEB" w:rsidR="00254E72">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that includes legislative and non-legislative measures and the non-legislative measures has the submitter obligation to perform under a work sheet resulting from government resolutions</w:t>
            </w:r>
            <w:r w:rsidRPr="00C67FEB" w:rsidR="00F13437">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assessment</w:t>
            </w:r>
            <w:r w:rsidRPr="00C67FEB" w:rsidR="00F13437">
              <w:rPr>
                <w:rFonts w:ascii="Times New Roman" w:eastAsia="Times New Roman" w:hAnsi="Times New Roman" w:cs="Times New Roman"/>
                <w:sz w:val="24"/>
                <w:szCs w:val="24"/>
                <w:lang w:val="en-GB" w:eastAsia="cs-CZ"/>
              </w:rPr>
              <w:t xml:space="preserve"> is focused</w:t>
            </w:r>
            <w:r w:rsidRPr="00C67FEB">
              <w:rPr>
                <w:rFonts w:ascii="Times New Roman" w:eastAsia="Times New Roman" w:hAnsi="Times New Roman" w:cs="Times New Roman"/>
                <w:sz w:val="24"/>
                <w:szCs w:val="24"/>
                <w:lang w:val="en-GB" w:eastAsia="cs-CZ"/>
              </w:rPr>
              <w:t xml:space="preserve"> mainly on legislative action, </w:t>
            </w:r>
            <w:r w:rsidRPr="00C67FEB" w:rsidR="00F13437">
              <w:rPr>
                <w:rFonts w:ascii="Times New Roman" w:eastAsia="Times New Roman" w:hAnsi="Times New Roman" w:cs="Times New Roman"/>
                <w:sz w:val="24"/>
                <w:szCs w:val="24"/>
                <w:lang w:val="en-GB" w:eastAsia="cs-CZ"/>
              </w:rPr>
              <w:t>whereas before the Strategy was drafted it was considered whether the target state could also be achieved in a non-legislative way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For legislative measures resulting from the </w:t>
            </w:r>
            <w:r w:rsidRPr="00C67FEB" w:rsidR="00254E72">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the following legal solutions are considered: </w:t>
            </w:r>
          </w:p>
          <w:p w:rsidR="00403DFA" w:rsidRPr="00C67FEB" w:rsidP="0087579E">
            <w:pPr>
              <w:keepNext/>
              <w:numPr>
                <w:ilvl w:val="0"/>
                <w:numId w:val="4"/>
              </w:numPr>
              <w:spacing w:after="20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0 - maintaining the current status</w:t>
            </w:r>
          </w:p>
          <w:p w:rsidR="00403DFA" w:rsidRPr="00C67FEB" w:rsidP="0087579E">
            <w:pPr>
              <w:keepNext/>
              <w:spacing w:before="120" w:after="120" w:line="240" w:lineRule="auto"/>
              <w:ind w:left="36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Maintaining the status quo would mean that no changes will be made to the </w:t>
            </w:r>
            <w:r w:rsidRPr="00C67FEB" w:rsidR="00F13437">
              <w:rPr>
                <w:rFonts w:ascii="Times New Roman" w:eastAsia="Times New Roman" w:hAnsi="Times New Roman" w:cs="Times New Roman"/>
                <w:sz w:val="24"/>
                <w:szCs w:val="24"/>
                <w:lang w:val="en-GB" w:eastAsia="cs-CZ"/>
              </w:rPr>
              <w:t>acts</w:t>
            </w:r>
            <w:r w:rsidRPr="00C67FEB">
              <w:rPr>
                <w:rFonts w:ascii="Times New Roman" w:eastAsia="Times New Roman" w:hAnsi="Times New Roman" w:cs="Times New Roman"/>
                <w:sz w:val="24"/>
                <w:szCs w:val="24"/>
                <w:lang w:val="en-GB" w:eastAsia="cs-CZ"/>
              </w:rPr>
              <w:t xml:space="preserve"> in question. </w:t>
            </w:r>
          </w:p>
          <w:p w:rsidR="00403DFA" w:rsidRPr="00C67FEB" w:rsidP="0087579E">
            <w:pPr>
              <w:keepNext/>
              <w:numPr>
                <w:ilvl w:val="0"/>
                <w:numId w:val="5"/>
              </w:numPr>
              <w:spacing w:after="20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1 - Legislative change through amendment of one of the affected acts </w:t>
            </w:r>
          </w:p>
          <w:p w:rsidR="00403DFA" w:rsidRPr="00C67FEB" w:rsidP="0087579E">
            <w:pPr>
              <w:keepNext/>
              <w:spacing w:before="120" w:after="120" w:line="240" w:lineRule="auto"/>
              <w:ind w:left="36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amendment of the </w:t>
            </w:r>
            <w:r w:rsidRPr="00C67FEB" w:rsidR="00F13437">
              <w:rPr>
                <w:rFonts w:ascii="Times New Roman" w:eastAsia="Times New Roman" w:hAnsi="Times New Roman" w:cs="Times New Roman"/>
                <w:sz w:val="24"/>
                <w:szCs w:val="24"/>
                <w:lang w:val="en-GB" w:eastAsia="cs-CZ"/>
              </w:rPr>
              <w:t>acts</w:t>
            </w:r>
            <w:r w:rsidRPr="00C67FEB">
              <w:rPr>
                <w:rFonts w:ascii="Times New Roman" w:eastAsia="Times New Roman" w:hAnsi="Times New Roman" w:cs="Times New Roman"/>
                <w:sz w:val="24"/>
                <w:szCs w:val="24"/>
                <w:lang w:val="en-GB" w:eastAsia="cs-CZ"/>
              </w:rPr>
              <w:t xml:space="preserve"> in question would take into account the shortcomings that are inconsistent with the development of the capital market and the shortcomings that have emerged during the application practice, and these shortcomings would be remedied,</w:t>
            </w:r>
            <w:r w:rsidR="0087579E">
              <w:rPr>
                <w:rFonts w:ascii="Times New Roman" w:eastAsia="Times New Roman" w:hAnsi="Times New Roman" w:cs="Times New Roman"/>
                <w:sz w:val="24"/>
                <w:szCs w:val="24"/>
                <w:lang w:val="en-GB" w:eastAsia="cs-CZ"/>
              </w:rPr>
              <w:t xml:space="preserve"> </w:t>
            </w:r>
          </w:p>
          <w:p w:rsidR="00403DFA" w:rsidRPr="00C67FEB" w:rsidP="0087579E">
            <w:pPr>
              <w:keepNext/>
              <w:numPr>
                <w:ilvl w:val="0"/>
                <w:numId w:val="6"/>
              </w:numPr>
              <w:spacing w:after="20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or 3 - alternative legislative proposal by amending one of the relevant </w:t>
            </w:r>
            <w:r w:rsidRPr="00C67FEB" w:rsidR="00F13437">
              <w:rPr>
                <w:rFonts w:ascii="Times New Roman" w:eastAsia="Times New Roman" w:hAnsi="Times New Roman" w:cs="Times New Roman"/>
                <w:sz w:val="24"/>
                <w:szCs w:val="24"/>
                <w:lang w:val="en-GB" w:eastAsia="cs-CZ"/>
              </w:rPr>
              <w:t>acts</w:t>
            </w:r>
            <w:r w:rsidRPr="00C67FEB">
              <w:rPr>
                <w:rFonts w:ascii="Times New Roman" w:eastAsia="Times New Roman" w:hAnsi="Times New Roman" w:cs="Times New Roman"/>
                <w:sz w:val="24"/>
                <w:szCs w:val="24"/>
                <w:lang w:val="en-GB" w:eastAsia="cs-CZ"/>
              </w:rPr>
              <w:t> </w:t>
            </w:r>
          </w:p>
          <w:p w:rsidR="00403DFA" w:rsidRPr="00DE785C" w:rsidP="0087579E">
            <w:pPr>
              <w:keepNext/>
              <w:spacing w:before="120" w:after="120" w:line="240" w:lineRule="auto"/>
              <w:ind w:left="36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amendment of the </w:t>
            </w:r>
            <w:r w:rsidRPr="00C67FEB" w:rsidR="00F13437">
              <w:rPr>
                <w:rFonts w:ascii="Times New Roman" w:eastAsia="Times New Roman" w:hAnsi="Times New Roman" w:cs="Times New Roman"/>
                <w:sz w:val="24"/>
                <w:szCs w:val="24"/>
                <w:lang w:val="en-GB" w:eastAsia="cs-CZ"/>
              </w:rPr>
              <w:t>acts</w:t>
            </w:r>
            <w:r w:rsidRPr="00C67FEB">
              <w:rPr>
                <w:rFonts w:ascii="Times New Roman" w:eastAsia="Times New Roman" w:hAnsi="Times New Roman" w:cs="Times New Roman"/>
                <w:sz w:val="24"/>
                <w:szCs w:val="24"/>
                <w:lang w:val="en-GB" w:eastAsia="cs-CZ"/>
              </w:rPr>
              <w:t xml:space="preserve"> in question by an alternative legislative proposal to Option 1 would take into account the shortcomings that are inconsistent with the development of the capital market and the shortcomings that have emerged during the application practice, and these </w:t>
            </w:r>
            <w:r w:rsidRPr="00DE785C">
              <w:rPr>
                <w:rFonts w:ascii="Times New Roman" w:eastAsia="Times New Roman" w:hAnsi="Times New Roman" w:cs="Times New Roman"/>
                <w:sz w:val="24"/>
                <w:szCs w:val="24"/>
                <w:lang w:val="en-GB" w:eastAsia="cs-CZ"/>
              </w:rPr>
              <w:t>shortcomings would be remedied.</w:t>
            </w:r>
            <w:r w:rsidR="0087579E">
              <w:rPr>
                <w:rFonts w:ascii="Times New Roman" w:eastAsia="Times New Roman" w:hAnsi="Times New Roman" w:cs="Times New Roman"/>
                <w:sz w:val="24"/>
                <w:szCs w:val="24"/>
                <w:lang w:val="en-GB" w:eastAsia="cs-CZ"/>
              </w:rPr>
              <w:t xml:space="preserve"> </w:t>
            </w:r>
            <w:bookmarkStart w:id="39" w:name="_Toc526421162"/>
            <w:bookmarkStart w:id="40" w:name="_Toc526419238"/>
            <w:bookmarkStart w:id="41" w:name="_Toc526258066"/>
            <w:bookmarkEnd w:id="39"/>
            <w:bookmarkEnd w:id="40"/>
            <w:bookmarkEnd w:id="41"/>
          </w:p>
          <w:p w:rsidR="00403DFA" w:rsidRPr="00DE785C" w:rsidP="0087579E">
            <w:pPr>
              <w:keepNext/>
              <w:spacing w:before="120" w:after="12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 xml:space="preserve"> </w:t>
            </w:r>
          </w:p>
          <w:sdt>
            <w:sdtPr>
              <w:rPr>
                <w:rFonts w:ascii="Times New Roman" w:hAnsi="Times New Roman" w:cs="Times New Roman"/>
                <w:b/>
                <w:bCs/>
                <w:sz w:val="24"/>
                <w:szCs w:val="24"/>
              </w:rPr>
              <w:id w:val="984513300"/>
              <w:docPartObj>
                <w:docPartGallery w:val="Table of Contents"/>
                <w:docPartUnique/>
              </w:docPartObj>
            </w:sdtPr>
            <w:sdtEndPr>
              <w:rPr>
                <w:b w:val="0"/>
                <w:bCs w:val="0"/>
              </w:rPr>
            </w:sdtEndPr>
            <w:sdtContent>
              <w:p w:rsidR="00811E5F" w:rsidRPr="00DE785C" w:rsidP="0087579E">
                <w:pPr>
                  <w:keepNext/>
                  <w:pBdr>
                    <w:top w:val="single" w:sz="6" w:space="1" w:color="000000"/>
                    <w:left w:val="single" w:sz="6" w:space="4" w:color="000000"/>
                    <w:bottom w:val="single" w:sz="6" w:space="1" w:color="000000"/>
                    <w:right w:val="single" w:sz="6" w:space="4" w:color="000000"/>
                  </w:pBdr>
                  <w:spacing w:before="120" w:after="120" w:line="240" w:lineRule="auto"/>
                  <w:jc w:val="center"/>
                  <w:rPr>
                    <w:rFonts w:ascii="Times New Roman" w:eastAsia="Times New Roman" w:hAnsi="Times New Roman" w:cs="Times New Roman"/>
                    <w:b/>
                    <w:bCs/>
                    <w:sz w:val="24"/>
                    <w:szCs w:val="24"/>
                    <w:lang w:val="en-GB" w:eastAsia="cs-CZ"/>
                  </w:rPr>
                </w:pPr>
                <w:bookmarkStart w:id="42" w:name="_Toc526421169"/>
                <w:bookmarkEnd w:id="42"/>
                <w:bookmarkStart w:id="43" w:name="_Toc36479373"/>
                <w:r w:rsidRPr="00DE785C">
                  <w:rPr>
                    <w:rFonts w:ascii="Times New Roman" w:eastAsia="Times New Roman" w:hAnsi="Times New Roman" w:cs="Times New Roman"/>
                    <w:b/>
                    <w:bCs/>
                    <w:sz w:val="24"/>
                    <w:szCs w:val="24"/>
                    <w:lang w:val="en-GB" w:eastAsia="cs-CZ"/>
                  </w:rPr>
                  <w:t>CONTENT</w:t>
                </w:r>
              </w:p>
              <w:p w:rsidR="00C67FEB" w:rsidRPr="00DE785C" w:rsidP="0087579E">
                <w:pPr>
                  <w:pStyle w:val="TOC1"/>
                  <w:keepNext/>
                  <w:tabs>
                    <w:tab w:val="right" w:leader="dot" w:pos="9062"/>
                  </w:tabs>
                  <w:rPr>
                    <w:rFonts w:ascii="Times New Roman" w:hAnsi="Times New Roman" w:eastAsiaTheme="minorEastAsia" w:cs="Times New Roman"/>
                    <w:b w:val="0"/>
                    <w:bCs w:val="0"/>
                    <w:caps w:val="0"/>
                    <w:noProof/>
                    <w:sz w:val="24"/>
                    <w:szCs w:val="24"/>
                    <w:lang w:eastAsia="ko-KR"/>
                  </w:rPr>
                </w:pPr>
                <w:r w:rsidRPr="00DE785C">
                  <w:rPr>
                    <w:rFonts w:ascii="Times New Roman" w:hAnsi="Times New Roman" w:cs="Times New Roman"/>
                    <w:b w:val="0"/>
                    <w:bCs w:val="0"/>
                    <w:sz w:val="24"/>
                    <w:szCs w:val="24"/>
                  </w:rPr>
                  <w:fldChar w:fldCharType="begin"/>
                </w:r>
                <w:r w:rsidRPr="00DE785C">
                  <w:rPr>
                    <w:rFonts w:ascii="Times New Roman" w:hAnsi="Times New Roman" w:cs="Times New Roman"/>
                    <w:b w:val="0"/>
                    <w:bCs w:val="0"/>
                    <w:sz w:val="24"/>
                    <w:szCs w:val="24"/>
                  </w:rPr>
                  <w:instrText>TOC \o "1-3" \h \z \u</w:instrText>
                </w:r>
                <w:r w:rsidRPr="00DE785C">
                  <w:rPr>
                    <w:rFonts w:ascii="Times New Roman" w:hAnsi="Times New Roman" w:cs="Times New Roman"/>
                    <w:b w:val="0"/>
                    <w:bCs w:val="0"/>
                    <w:sz w:val="24"/>
                    <w:szCs w:val="24"/>
                  </w:rPr>
                  <w:fldChar w:fldCharType="separate"/>
                </w:r>
                <w:r>
                  <w:fldChar w:fldCharType="begin"/>
                </w:r>
                <w:r>
                  <w:instrText xml:space="preserve"> HYPERLINK \l "_Toc38555307"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2.1 Establishing a Long-Term Investment Account</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_Toc38555307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10</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"_Toc38555308"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2.2 Simple joint stock company</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_Toc38555308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27</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"_Toc38555309"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2.3 Self-certification of wealthy investors (potential business angels)</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_Toc38555309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33</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"_Toc38555310" </w:instrText>
                </w:r>
                <w:r>
                  <w:fldChar w:fldCharType="separate"/>
                </w:r>
                <w:r w:rsidRPr="00DE785C">
                  <w:rPr>
                    <w:rStyle w:val="Hyperlink"/>
                    <w:rFonts w:ascii="Times New Roman" w:eastAsia="Times New Roman" w:hAnsi="Times New Roman" w:cs="Times New Roman"/>
                    <w:b w:val="0"/>
                    <w:bCs w:val="0"/>
                    <w:caps w:val="0"/>
                    <w:noProof/>
                    <w:sz w:val="24"/>
                    <w:szCs w:val="24"/>
                    <w:bdr w:val="single" w:sz="4" w:space="0" w:color="auto"/>
                    <w:lang w:val="en-GB"/>
                  </w:rPr>
                  <w:t>2</w:t>
                </w:r>
                <w:r w:rsidRPr="00DE785C">
                  <w:rPr>
                    <w:rStyle w:val="Hyperlink"/>
                    <w:rFonts w:ascii="Times New Roman" w:hAnsi="Times New Roman" w:cs="Times New Roman"/>
                    <w:b w:val="0"/>
                    <w:bCs w:val="0"/>
                    <w:caps w:val="0"/>
                    <w:noProof/>
                    <w:sz w:val="24"/>
                    <w:szCs w:val="24"/>
                    <w:bdr w:val="single" w:sz="4" w:space="0" w:color="auto"/>
                    <w:lang w:val="en-GB"/>
                  </w:rPr>
                  <w:t>.4 Regulation of crowdfunding platforms marketing bonds</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_Toc38555310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39</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"_Toc38555311"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2.5 Alternative participation fund</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_Toc38555311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44</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"_Toc38555312"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2.6 Introduction of sub-funds to joint stock companies and KSIL</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_Toc38555312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49</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"_Toc38555313"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2.7 Introduction of mandatory XML format for other financial market institutions</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_Toc38555313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54</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"_Toc38555314"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2.8 Support of trading with corporate bonds and increase of protection of investors in bonds</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_Toc38555314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61</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"_Toc38555315"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2.9 Abolition of compulsory registration of funds pursuant to Section 325a of the Management Companies and Investment Funds Act in list of the CNB</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_Toc38555315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68</w:t>
                </w:r>
                <w:r w:rsidRPr="00DE785C">
                  <w:rPr>
                    <w:rFonts w:ascii="Times New Roman" w:hAnsi="Times New Roman" w:cs="Times New Roman"/>
                    <w:b w:val="0"/>
                    <w:bCs w:val="0"/>
                    <w:caps w:val="0"/>
                    <w:noProof/>
                    <w:webHidden/>
                    <w:sz w:val="24"/>
                    <w:szCs w:val="24"/>
                  </w:rPr>
                  <w:fldChar w:fldCharType="end"/>
                </w:r>
                <w:r>
                  <w:fldChar w:fldCharType="end"/>
                </w:r>
              </w:p>
              <w:p w:rsidR="00C67FEB" w:rsidRPr="00DE785C" w:rsidP="0087579E">
                <w:pPr>
                  <w:pStyle w:val="TOC1"/>
                  <w:keepNext/>
                  <w:tabs>
                    <w:tab w:val="right" w:leader="dot" w:pos="9062"/>
                  </w:tabs>
                  <w:jc w:val="both"/>
                  <w:rPr>
                    <w:rFonts w:ascii="Times New Roman" w:hAnsi="Times New Roman" w:eastAsiaTheme="minorEastAsia" w:cs="Times New Roman"/>
                    <w:b w:val="0"/>
                    <w:bCs w:val="0"/>
                    <w:caps w:val="0"/>
                    <w:noProof/>
                    <w:sz w:val="24"/>
                    <w:szCs w:val="24"/>
                    <w:lang w:eastAsia="ko-KR"/>
                  </w:rPr>
                </w:pPr>
                <w:r>
                  <w:fldChar w:fldCharType="begin"/>
                </w:r>
                <w:r>
                  <w:instrText xml:space="preserve"> HYPERLINK \l "_Toc38555316" </w:instrText>
                </w:r>
                <w:r>
                  <w:fldChar w:fldCharType="separate"/>
                </w:r>
                <w:r w:rsidRPr="00DE785C">
                  <w:rPr>
                    <w:rStyle w:val="Hyperlink"/>
                    <w:rFonts w:ascii="Times New Roman" w:hAnsi="Times New Roman" w:cs="Times New Roman"/>
                    <w:b w:val="0"/>
                    <w:bCs w:val="0"/>
                    <w:caps w:val="0"/>
                    <w:noProof/>
                    <w:sz w:val="24"/>
                    <w:szCs w:val="24"/>
                    <w:bdr w:val="single" w:sz="4" w:space="0" w:color="auto"/>
                    <w:lang w:val="en-GB" w:eastAsia="cs-CZ"/>
                  </w:rPr>
                  <w:t>2.10 Extension of the possibility to be a fiduciary to a management company that is not entitled to exceed the decisive limit and to a person pursuant to Section 15 of the Management Companies and Investment Funds Act</w:t>
                </w:r>
                <w:r w:rsidRPr="00DE785C">
                  <w:rPr>
                    <w:rFonts w:ascii="Times New Roman" w:hAnsi="Times New Roman" w:cs="Times New Roman"/>
                    <w:b w:val="0"/>
                    <w:bCs w:val="0"/>
                    <w:caps w:val="0"/>
                    <w:noProof/>
                    <w:webHidden/>
                    <w:sz w:val="24"/>
                    <w:szCs w:val="24"/>
                  </w:rPr>
                  <w:tab/>
                </w:r>
                <w:r w:rsidRPr="00DE785C">
                  <w:rPr>
                    <w:rFonts w:ascii="Times New Roman" w:hAnsi="Times New Roman" w:cs="Times New Roman"/>
                    <w:b w:val="0"/>
                    <w:bCs w:val="0"/>
                    <w:caps w:val="0"/>
                    <w:noProof/>
                    <w:webHidden/>
                    <w:sz w:val="24"/>
                    <w:szCs w:val="24"/>
                  </w:rPr>
                  <w:fldChar w:fldCharType="begin"/>
                </w:r>
                <w:r w:rsidRPr="00DE785C">
                  <w:rPr>
                    <w:rFonts w:ascii="Times New Roman" w:hAnsi="Times New Roman" w:cs="Times New Roman"/>
                    <w:b w:val="0"/>
                    <w:bCs w:val="0"/>
                    <w:caps w:val="0"/>
                    <w:noProof/>
                    <w:webHidden/>
                    <w:sz w:val="24"/>
                    <w:szCs w:val="24"/>
                  </w:rPr>
                  <w:instrText xml:space="preserve"> PAGEREF _Toc38555316 \h </w:instrText>
                </w:r>
                <w:r w:rsidRPr="00DE785C">
                  <w:rPr>
                    <w:rFonts w:ascii="Times New Roman" w:hAnsi="Times New Roman" w:cs="Times New Roman"/>
                    <w:b w:val="0"/>
                    <w:bCs w:val="0"/>
                    <w:caps w:val="0"/>
                    <w:noProof/>
                    <w:webHidden/>
                    <w:sz w:val="24"/>
                    <w:szCs w:val="24"/>
                  </w:rPr>
                  <w:fldChar w:fldCharType="separate"/>
                </w:r>
                <w:r w:rsidR="005916BF">
                  <w:rPr>
                    <w:rFonts w:ascii="Times New Roman" w:hAnsi="Times New Roman" w:cs="Times New Roman"/>
                    <w:b w:val="0"/>
                    <w:bCs w:val="0"/>
                    <w:caps w:val="0"/>
                    <w:noProof/>
                    <w:webHidden/>
                    <w:sz w:val="24"/>
                    <w:szCs w:val="24"/>
                  </w:rPr>
                  <w:t>69</w:t>
                </w:r>
                <w:r w:rsidRPr="00DE785C">
                  <w:rPr>
                    <w:rFonts w:ascii="Times New Roman" w:hAnsi="Times New Roman" w:cs="Times New Roman"/>
                    <w:b w:val="0"/>
                    <w:bCs w:val="0"/>
                    <w:caps w:val="0"/>
                    <w:noProof/>
                    <w:webHidden/>
                    <w:sz w:val="24"/>
                    <w:szCs w:val="24"/>
                  </w:rPr>
                  <w:fldChar w:fldCharType="end"/>
                </w:r>
                <w:r>
                  <w:fldChar w:fldCharType="end"/>
                </w:r>
              </w:p>
              <w:p w:rsidR="00811E5F" w:rsidRPr="00DE785C" w:rsidP="0087579E">
                <w:pPr>
                  <w:keepNext/>
                </w:pPr>
                <w:r w:rsidRPr="00DE785C">
                  <w:rPr>
                    <w:rFonts w:ascii="Times New Roman" w:hAnsi="Times New Roman" w:cs="Times New Roman"/>
                    <w:sz w:val="24"/>
                    <w:szCs w:val="24"/>
                  </w:rPr>
                  <w:fldChar w:fldCharType="end"/>
                </w:r>
              </w:p>
            </w:sdtContent>
          </w:sdt>
          <w:p w:rsidR="00403DFA" w:rsidRPr="00DE785C" w:rsidP="0087579E">
            <w:pPr>
              <w:pStyle w:val="Heading1"/>
              <w:keepLines w:val="0"/>
              <w:jc w:val="center"/>
              <w:rPr>
                <w:rFonts w:ascii="Times New Roman" w:hAnsi="Times New Roman" w:cs="Times New Roman"/>
                <w:b/>
                <w:bCs/>
                <w:sz w:val="24"/>
                <w:szCs w:val="24"/>
                <w:lang w:val="en-GB" w:eastAsia="cs-CZ"/>
              </w:rPr>
            </w:pPr>
            <w:bookmarkStart w:id="44" w:name="_Toc38555307"/>
            <w:r w:rsidRPr="00DE785C">
              <w:rPr>
                <w:rFonts w:ascii="Times New Roman" w:hAnsi="Times New Roman" w:cs="Times New Roman"/>
                <w:b/>
                <w:bCs/>
                <w:color w:val="000000" w:themeColor="text1"/>
                <w:sz w:val="24"/>
                <w:szCs w:val="24"/>
                <w:bdr w:val="single" w:sz="4" w:space="0" w:color="auto"/>
                <w:lang w:val="en-GB" w:eastAsia="cs-CZ"/>
              </w:rPr>
              <w:t xml:space="preserve">2.1 Establishing a </w:t>
            </w:r>
            <w:r w:rsidRPr="00DE785C" w:rsidR="008F46DE">
              <w:rPr>
                <w:rFonts w:ascii="Times New Roman" w:hAnsi="Times New Roman" w:cs="Times New Roman"/>
                <w:b/>
                <w:bCs/>
                <w:color w:val="000000" w:themeColor="text1"/>
                <w:sz w:val="24"/>
                <w:szCs w:val="24"/>
                <w:bdr w:val="single" w:sz="4" w:space="0" w:color="auto"/>
                <w:lang w:val="en-GB" w:eastAsia="cs-CZ"/>
              </w:rPr>
              <w:t>Long-Term Investment Account</w:t>
            </w:r>
            <w:bookmarkEnd w:id="43"/>
            <w:bookmarkEnd w:id="44"/>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financial market offers a range of financial products with a long investment horizon, which are suitable for accumulating assets as a retirement benefit, while only some products are tax-supported by the state. These are mainly pension funds (participati</w:t>
            </w:r>
            <w:r w:rsidRPr="00C67FEB" w:rsidR="00CE6315">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 xml:space="preserve"> or transformed funds) and life insurance (investment or capital), which is a combination of insurance and investment product. These products are also tax supported through employer contributions. The state also </w:t>
            </w:r>
            <w:r w:rsidRPr="00C67FEB" w:rsidR="00CE6315">
              <w:rPr>
                <w:rFonts w:ascii="Times New Roman" w:eastAsia="Times New Roman" w:hAnsi="Times New Roman" w:cs="Times New Roman"/>
                <w:sz w:val="24"/>
                <w:szCs w:val="24"/>
                <w:lang w:val="en-GB" w:eastAsia="cs-CZ"/>
              </w:rPr>
              <w:t>supports</w:t>
            </w:r>
            <w:r w:rsidRPr="00C67FEB">
              <w:rPr>
                <w:rFonts w:ascii="Times New Roman" w:eastAsia="Times New Roman" w:hAnsi="Times New Roman" w:cs="Times New Roman"/>
                <w:sz w:val="24"/>
                <w:szCs w:val="24"/>
                <w:lang w:val="en-GB" w:eastAsia="cs-CZ"/>
              </w:rPr>
              <w:t xml:space="preserve"> </w:t>
            </w:r>
            <w:r w:rsidRPr="00C67FEB" w:rsidR="00CE6315">
              <w:rPr>
                <w:rFonts w:ascii="Times New Roman" w:eastAsia="Times New Roman" w:hAnsi="Times New Roman" w:cs="Times New Roman"/>
                <w:sz w:val="24"/>
                <w:szCs w:val="24"/>
                <w:lang w:val="en-GB" w:eastAsia="cs-CZ"/>
              </w:rPr>
              <w:t>the</w:t>
            </w:r>
            <w:r w:rsidRPr="00C67FEB">
              <w:rPr>
                <w:rFonts w:ascii="Times New Roman" w:eastAsia="Times New Roman" w:hAnsi="Times New Roman" w:cs="Times New Roman"/>
                <w:sz w:val="24"/>
                <w:szCs w:val="24"/>
                <w:lang w:val="en-GB" w:eastAsia="cs-CZ"/>
              </w:rPr>
              <w:t xml:space="preserve"> savings in pension funds in the form of a state contribution. In the form of state support, the state also supports building savings, which can theoretically also be used as a long-term savings product.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Pursuant to Section 15 (5) of the </w:t>
            </w:r>
            <w:r w:rsidRPr="00C67FEB" w:rsidR="00CE6315">
              <w:rPr>
                <w:rFonts w:ascii="Times New Roman" w:eastAsia="Times New Roman" w:hAnsi="Times New Roman" w:cs="Times New Roman"/>
                <w:sz w:val="24"/>
                <w:szCs w:val="24"/>
                <w:lang w:val="en-GB" w:eastAsia="cs-CZ"/>
              </w:rPr>
              <w:t>Income Taxes Act</w:t>
            </w:r>
            <w:r w:rsidRPr="00C67FEB">
              <w:rPr>
                <w:rFonts w:ascii="Times New Roman" w:eastAsia="Times New Roman" w:hAnsi="Times New Roman" w:cs="Times New Roman"/>
                <w:sz w:val="24"/>
                <w:szCs w:val="24"/>
                <w:lang w:val="en-GB" w:eastAsia="cs-CZ"/>
              </w:rPr>
              <w:t xml:space="preserve">, it is possible to deduct from the income tax base a contribution </w:t>
            </w:r>
            <w:r w:rsidRPr="00C67FEB" w:rsidR="00DE785C">
              <w:rPr>
                <w:rFonts w:ascii="Times New Roman" w:eastAsia="Times New Roman" w:hAnsi="Times New Roman" w:cs="Times New Roman"/>
                <w:sz w:val="24"/>
                <w:szCs w:val="24"/>
                <w:lang w:val="en-GB" w:eastAsia="cs-CZ"/>
              </w:rPr>
              <w:t>totalling</w:t>
            </w:r>
            <w:r w:rsidRPr="00C67FEB">
              <w:rPr>
                <w:rFonts w:ascii="Times New Roman" w:eastAsia="Times New Roman" w:hAnsi="Times New Roman" w:cs="Times New Roman"/>
                <w:sz w:val="24"/>
                <w:szCs w:val="24"/>
                <w:lang w:val="en-GB" w:eastAsia="cs-CZ"/>
              </w:rPr>
              <w:t xml:space="preserve"> not more than CZK 24,000 per year paid by the taxpayer for supplementary pension insurance with state contribution (transformed funds), for supplementary pension savings (participa</w:t>
            </w:r>
            <w:r w:rsidRPr="00C67FEB" w:rsidR="00CE6315">
              <w:rPr>
                <w:rFonts w:ascii="Times New Roman" w:eastAsia="Times New Roman" w:hAnsi="Times New Roman" w:cs="Times New Roman"/>
                <w:sz w:val="24"/>
                <w:szCs w:val="24"/>
                <w:lang w:val="en-GB" w:eastAsia="cs-CZ"/>
              </w:rPr>
              <w:t>tion</w:t>
            </w:r>
            <w:r w:rsidRPr="00C67FEB">
              <w:rPr>
                <w:rFonts w:ascii="Times New Roman" w:eastAsia="Times New Roman" w:hAnsi="Times New Roman" w:cs="Times New Roman"/>
                <w:sz w:val="24"/>
                <w:szCs w:val="24"/>
                <w:lang w:val="en-GB" w:eastAsia="cs-CZ"/>
              </w:rPr>
              <w:t xml:space="preserve"> funds) and/or for pension insurance with a pension insurance institution pursuant to Section 6 (16) of the </w:t>
            </w:r>
            <w:r w:rsidRPr="00C67FEB" w:rsidR="00CE6315">
              <w:rPr>
                <w:rFonts w:ascii="Times New Roman" w:eastAsia="Times New Roman" w:hAnsi="Times New Roman" w:cs="Times New Roman"/>
                <w:sz w:val="24"/>
                <w:szCs w:val="24"/>
                <w:lang w:val="en-GB" w:eastAsia="cs-CZ"/>
              </w:rPr>
              <w:t>Income Taxes Act</w:t>
            </w:r>
            <w:r w:rsidRPr="00C67FEB">
              <w:rPr>
                <w:rFonts w:ascii="Times New Roman" w:eastAsia="Times New Roman" w:hAnsi="Times New Roman" w:cs="Times New Roman"/>
                <w:sz w:val="24"/>
                <w:szCs w:val="24"/>
                <w:lang w:val="en-GB" w:eastAsia="cs-CZ"/>
              </w:rPr>
              <w:t xml:space="preserve"> (occupational pension insurance). For pension funds, the </w:t>
            </w:r>
            <w:r w:rsidRPr="00C67FEB">
              <w:rPr>
                <w:rFonts w:ascii="Times New Roman" w:eastAsia="Times New Roman" w:hAnsi="Times New Roman" w:cs="Times New Roman"/>
                <w:sz w:val="24"/>
                <w:szCs w:val="24"/>
                <w:lang w:val="en-GB" w:eastAsia="cs-CZ"/>
              </w:rPr>
              <w:t>amount that can be deducted is equal to the sum of the parts of the monthly contributions that exceeded the amount of the maximum state contribution in each calendar month of the tax period.</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Pursuant to Section 15 (6) of the </w:t>
            </w:r>
            <w:r w:rsidRPr="00C67FEB" w:rsidR="00CE6315">
              <w:rPr>
                <w:rFonts w:ascii="Times New Roman" w:eastAsia="Times New Roman" w:hAnsi="Times New Roman" w:cs="Times New Roman"/>
                <w:sz w:val="24"/>
                <w:szCs w:val="24"/>
                <w:lang w:val="en-GB" w:eastAsia="cs-CZ"/>
              </w:rPr>
              <w:t>Income Taxes Act</w:t>
            </w:r>
            <w:r w:rsidRPr="00C67FEB">
              <w:rPr>
                <w:rFonts w:ascii="Times New Roman" w:eastAsia="Times New Roman" w:hAnsi="Times New Roman" w:cs="Times New Roman"/>
                <w:sz w:val="24"/>
                <w:szCs w:val="24"/>
                <w:lang w:val="en-GB" w:eastAsia="cs-CZ"/>
              </w:rPr>
              <w:t>, it is also possible to deduct from the tax base of income tax a contribution of a total of not more than CZK 24,000 paid by the taxpayer for private life insurance premiums. It is the aggregate amount, including the case that the person has concluded several agreements on insurance, apply a limit in the amount of 24 000 CZK.</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state motivates citizens to accumulate old-age property not only through tax deductions directly for citizens, but also in the form of support of their employer's contributions under </w:t>
            </w:r>
            <w:r w:rsidRPr="00C67FEB" w:rsidR="00CE6315">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6 para</w:t>
            </w:r>
            <w:r w:rsidRPr="00C67FEB" w:rsidR="00CE6315">
              <w:rPr>
                <w:rFonts w:ascii="Times New Roman" w:eastAsia="Times New Roman" w:hAnsi="Times New Roman" w:cs="Times New Roman"/>
                <w:sz w:val="24"/>
                <w:szCs w:val="24"/>
                <w:lang w:val="en-GB" w:eastAsia="cs-CZ"/>
              </w:rPr>
              <w:t>gra</w:t>
            </w:r>
            <w:r w:rsidRPr="00C67FEB" w:rsidR="00A06368">
              <w:rPr>
                <w:rFonts w:ascii="Times New Roman" w:eastAsia="Times New Roman" w:hAnsi="Times New Roman" w:cs="Times New Roman"/>
                <w:sz w:val="24"/>
                <w:szCs w:val="24"/>
                <w:lang w:val="en-GB" w:eastAsia="cs-CZ"/>
              </w:rPr>
              <w:t>ph</w:t>
            </w:r>
            <w:r w:rsidRPr="00C67FEB">
              <w:rPr>
                <w:rFonts w:ascii="Times New Roman" w:eastAsia="Times New Roman" w:hAnsi="Times New Roman" w:cs="Times New Roman"/>
                <w:sz w:val="24"/>
                <w:szCs w:val="24"/>
                <w:lang w:val="en-GB" w:eastAsia="cs-CZ"/>
              </w:rPr>
              <w:t xml:space="preserve"> p) </w:t>
            </w:r>
            <w:r w:rsidRPr="00C67FEB" w:rsidR="00A06368">
              <w:rPr>
                <w:rFonts w:ascii="Times New Roman" w:eastAsia="Times New Roman" w:hAnsi="Times New Roman" w:cs="Times New Roman"/>
                <w:sz w:val="24"/>
                <w:szCs w:val="24"/>
                <w:lang w:val="en-GB" w:eastAsia="cs-CZ"/>
              </w:rPr>
              <w:t xml:space="preserve">of the </w:t>
            </w:r>
            <w:r w:rsidRPr="00C67FEB" w:rsidR="00CE6315">
              <w:rPr>
                <w:rFonts w:ascii="Times New Roman" w:eastAsia="Times New Roman" w:hAnsi="Times New Roman" w:cs="Times New Roman"/>
                <w:sz w:val="24"/>
                <w:szCs w:val="24"/>
                <w:lang w:val="en-GB" w:eastAsia="cs-CZ"/>
              </w:rPr>
              <w:t>Income Taxes Act</w:t>
            </w:r>
            <w:r w:rsidRPr="00C67FEB">
              <w:rPr>
                <w:rFonts w:ascii="Times New Roman" w:eastAsia="Times New Roman" w:hAnsi="Times New Roman" w:cs="Times New Roman"/>
                <w:sz w:val="24"/>
                <w:szCs w:val="24"/>
                <w:lang w:val="en-GB" w:eastAsia="cs-CZ"/>
              </w:rPr>
              <w:t>. Here it is possible to deduct up to 50 000 CZK per year (i</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more than 4 000 CZK per month). Not only income tax, but also social and health insurance are not paid on this </w:t>
            </w:r>
            <w:r w:rsidRPr="00C67FEB" w:rsidR="00A06368">
              <w:rPr>
                <w:rFonts w:ascii="Times New Roman" w:eastAsia="Times New Roman" w:hAnsi="Times New Roman" w:cs="Times New Roman"/>
                <w:sz w:val="24"/>
                <w:szCs w:val="24"/>
                <w:lang w:val="en-GB" w:eastAsia="cs-CZ"/>
              </w:rPr>
              <w:t>sum</w:t>
            </w:r>
            <w:r w:rsidRPr="00C67FEB">
              <w:rPr>
                <w:rFonts w:ascii="Times New Roman" w:eastAsia="Times New Roman" w:hAnsi="Times New Roman" w:cs="Times New Roman"/>
                <w:sz w:val="24"/>
                <w:szCs w:val="24"/>
                <w:lang w:val="en-GB" w:eastAsia="cs-CZ"/>
              </w:rPr>
              <w:t xml:space="preserve">, as this non-monetary income is exempt from the income tax on the part of the employee on the basis of </w:t>
            </w:r>
            <w:r w:rsidRPr="00C67FEB" w:rsidR="00A06368">
              <w:rPr>
                <w:rFonts w:ascii="Times New Roman" w:eastAsia="Times New Roman" w:hAnsi="Times New Roman" w:cs="Times New Roman"/>
                <w:sz w:val="24"/>
                <w:szCs w:val="24"/>
                <w:lang w:val="en-GB" w:eastAsia="cs-CZ"/>
              </w:rPr>
              <w:t>employment</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As a rule, citizens use products up to the amount supported by the state in the form of a contribution or tax support, or to reach an employer support. According to the APS CR data, only 3.5% of pension fund participants make full use of the state contribution and tax relief and at the same time 6.4 % of people do not even reach the state contribution (i</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they pay less than CZK 300 per month as a participant's contribution).</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u w:val="single"/>
                <w:lang w:val="en-GB" w:eastAsia="cs-CZ"/>
              </w:rPr>
              <w:t>Initiatives to revise existing legislation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current regulation of products intended for the accumulation of old-age </w:t>
            </w:r>
            <w:r w:rsidRPr="00C67FEB" w:rsidR="00A06368">
              <w:rPr>
                <w:rFonts w:ascii="Times New Roman" w:eastAsia="Times New Roman" w:hAnsi="Times New Roman" w:cs="Times New Roman"/>
                <w:sz w:val="24"/>
                <w:szCs w:val="24"/>
                <w:lang w:val="en-GB" w:eastAsia="cs-CZ"/>
              </w:rPr>
              <w:t>savings</w:t>
            </w:r>
            <w:r w:rsidRPr="00C67FEB">
              <w:rPr>
                <w:rFonts w:ascii="Times New Roman" w:eastAsia="Times New Roman" w:hAnsi="Times New Roman" w:cs="Times New Roman"/>
                <w:sz w:val="24"/>
                <w:szCs w:val="24"/>
                <w:lang w:val="en-GB" w:eastAsia="cs-CZ"/>
              </w:rPr>
              <w:t xml:space="preserve"> is also being revised in connection with the effort to develop the capital market in the Czech Republic. The World Bank report on the capital market in the Czech Republic notes that one of the key steps to stimulate interest of investors would be the adoption of some form of "</w:t>
            </w:r>
            <w:r w:rsidRPr="00C67FEB" w:rsidR="00A06368">
              <w:rPr>
                <w:rFonts w:ascii="Times New Roman" w:eastAsia="Times New Roman" w:hAnsi="Times New Roman" w:cs="Times New Roman"/>
                <w:sz w:val="24"/>
                <w:szCs w:val="24"/>
                <w:lang w:val="en-GB" w:eastAsia="cs-CZ"/>
              </w:rPr>
              <w:t>individual</w:t>
            </w:r>
            <w:r w:rsidRPr="00C67FEB">
              <w:rPr>
                <w:rFonts w:ascii="Times New Roman" w:eastAsia="Times New Roman" w:hAnsi="Times New Roman" w:cs="Times New Roman"/>
                <w:sz w:val="24"/>
                <w:szCs w:val="24"/>
                <w:lang w:val="en-GB" w:eastAsia="cs-CZ"/>
              </w:rPr>
              <w:t xml:space="preserve"> savings account" (ISA). The ISA account is widely used in the developed financial markets and helps generate greater investor interest in managing its retirement savings.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interest pursued by the Ministry of Finance is primarily to ensure the effectiveness of this system so that investors have a sufficient choice of retirement savings products, i</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to offer products for conservative, but also more profit-oriented investors. In comparison with the range of products that capital market </w:t>
            </w:r>
            <w:r w:rsidRPr="00C67FEB" w:rsidR="00A06368">
              <w:rPr>
                <w:rFonts w:ascii="Times New Roman" w:eastAsia="Times New Roman" w:hAnsi="Times New Roman" w:cs="Times New Roman"/>
                <w:sz w:val="24"/>
                <w:szCs w:val="24"/>
                <w:lang w:val="en-GB" w:eastAsia="cs-CZ"/>
              </w:rPr>
              <w:t xml:space="preserve">can offer and in comparison, </w:t>
            </w:r>
            <w:r w:rsidRPr="00C67FEB">
              <w:rPr>
                <w:rFonts w:ascii="Times New Roman" w:eastAsia="Times New Roman" w:hAnsi="Times New Roman" w:cs="Times New Roman"/>
                <w:sz w:val="24"/>
                <w:szCs w:val="24"/>
                <w:lang w:val="en-GB" w:eastAsia="cs-CZ"/>
              </w:rPr>
              <w:t xml:space="preserve">with the </w:t>
            </w:r>
            <w:r w:rsidRPr="00C67FEB" w:rsidR="00A06368">
              <w:rPr>
                <w:rFonts w:ascii="Times New Roman" w:eastAsia="Times New Roman" w:hAnsi="Times New Roman" w:cs="Times New Roman"/>
                <w:sz w:val="24"/>
                <w:szCs w:val="24"/>
                <w:lang w:val="en-GB" w:eastAsia="cs-CZ"/>
              </w:rPr>
              <w:t xml:space="preserve">foreign </w:t>
            </w:r>
            <w:r w:rsidRPr="00C67FEB">
              <w:rPr>
                <w:rFonts w:ascii="Times New Roman" w:eastAsia="Times New Roman" w:hAnsi="Times New Roman" w:cs="Times New Roman"/>
                <w:sz w:val="24"/>
                <w:szCs w:val="24"/>
                <w:lang w:val="en-GB" w:eastAsia="cs-CZ"/>
              </w:rPr>
              <w:t xml:space="preserve">legislation </w:t>
            </w:r>
            <w:r w:rsidRPr="00C67FEB" w:rsidR="00A06368">
              <w:rPr>
                <w:rFonts w:ascii="Times New Roman" w:eastAsia="Times New Roman" w:hAnsi="Times New Roman" w:cs="Times New Roman"/>
                <w:sz w:val="24"/>
                <w:szCs w:val="24"/>
                <w:lang w:val="en-GB" w:eastAsia="cs-CZ"/>
              </w:rPr>
              <w:t>range of products</w:t>
            </w:r>
            <w:r w:rsidRPr="00C67FEB">
              <w:rPr>
                <w:rFonts w:ascii="Times New Roman" w:eastAsia="Times New Roman" w:hAnsi="Times New Roman" w:cs="Times New Roman"/>
                <w:sz w:val="24"/>
                <w:szCs w:val="24"/>
                <w:lang w:val="en-GB" w:eastAsia="cs-CZ"/>
              </w:rPr>
              <w:t xml:space="preserve"> addressed to Czech investors is rather limited. Czech investors do not have access to more dynamically oriented products and the offer in the Czech Republic does not follow the trends of more advanced markets.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Due to the aging of the population, the Ministry of Finance is concerned with the question whether it would be desirable to provide support to selected financial products to other financial products, which may offer, for example, a higher possible appreciation, even if</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There is inspiration from foreign legislation - a product such as “</w:t>
            </w:r>
            <w:r w:rsidRPr="00C67FEB" w:rsidR="00A06368">
              <w:rPr>
                <w:rFonts w:ascii="Times New Roman" w:eastAsia="Times New Roman" w:hAnsi="Times New Roman" w:cs="Times New Roman"/>
                <w:sz w:val="24"/>
                <w:szCs w:val="24"/>
                <w:lang w:val="en-GB" w:eastAsia="cs-CZ"/>
              </w:rPr>
              <w:t>individual</w:t>
            </w:r>
            <w:r w:rsidRPr="00C67FEB">
              <w:rPr>
                <w:rFonts w:ascii="Times New Roman" w:eastAsia="Times New Roman" w:hAnsi="Times New Roman" w:cs="Times New Roman"/>
                <w:sz w:val="24"/>
                <w:szCs w:val="24"/>
                <w:lang w:val="en-GB" w:eastAsia="cs-CZ"/>
              </w:rPr>
              <w:t xml:space="preserve"> savings account” - ISA, e</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g</w:t>
            </w:r>
            <w:r w:rsidRPr="00C67FEB" w:rsidR="00A063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in the UK</w:t>
            </w:r>
            <w:bookmarkStart w:id="45" w:name="_ftnref1"/>
            <w:bookmarkEnd w:id="45"/>
            <w:r>
              <w:rPr>
                <w:rStyle w:val="FootnoteReference"/>
                <w:rFonts w:ascii="Times New Roman" w:eastAsia="Times New Roman" w:hAnsi="Times New Roman" w:cs="Times New Roman"/>
                <w:sz w:val="24"/>
                <w:szCs w:val="24"/>
                <w:lang w:val="en-GB" w:eastAsia="cs-CZ"/>
              </w:rPr>
              <w:footnoteReference w:id="2"/>
            </w:r>
            <w:r w:rsidRPr="00C67FEB" w:rsidR="00A06368">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designated financial products intended for retail investors and for the accumulation of assets may be designated as ISAs. The basic types of ISA supported by the state in the form of tax advantages (not taxing the proceeds of these assets) are</w:t>
            </w:r>
            <w:r w:rsidR="0087579E">
              <w:rPr>
                <w:rFonts w:ascii="Times New Roman" w:eastAsia="Times New Roman" w:hAnsi="Times New Roman" w:cs="Times New Roman"/>
                <w:sz w:val="24"/>
                <w:szCs w:val="24"/>
                <w:lang w:val="en-GB" w:eastAsia="cs-CZ"/>
              </w:rPr>
              <w:t xml:space="preserve"> </w:t>
            </w:r>
          </w:p>
          <w:p w:rsidR="00403DFA" w:rsidRPr="00C67FEB" w:rsidP="0087579E">
            <w:pPr>
              <w:pStyle w:val="ListParagraph"/>
              <w:widowControl w:val="0"/>
              <w:numPr>
                <w:ilvl w:val="1"/>
                <w:numId w:val="24"/>
              </w:numPr>
              <w:spacing w:after="0" w:line="240" w:lineRule="auto"/>
              <w:ind w:left="1797" w:hanging="357"/>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w:t>
            </w:r>
            <w:r w:rsidRPr="00C67FEB">
              <w:rPr>
                <w:rFonts w:ascii="Times New Roman" w:eastAsia="Times New Roman" w:hAnsi="Times New Roman" w:cs="Times New Roman"/>
                <w:sz w:val="24"/>
                <w:szCs w:val="24"/>
                <w:lang w:val="en-GB" w:eastAsia="cs-CZ"/>
              </w:rPr>
              <w:t>ash ISA usually includes time deposits,</w:t>
            </w:r>
            <w:r w:rsidR="0087579E">
              <w:rPr>
                <w:rFonts w:ascii="Times New Roman" w:eastAsia="Times New Roman" w:hAnsi="Times New Roman" w:cs="Times New Roman"/>
                <w:sz w:val="14"/>
                <w:szCs w:val="14"/>
                <w:lang w:val="en-GB" w:eastAsia="cs-CZ"/>
              </w:rPr>
              <w:t xml:space="preserve"> </w:t>
            </w:r>
          </w:p>
          <w:p w:rsidR="00403DFA" w:rsidRPr="00C67FEB" w:rsidP="0087579E">
            <w:pPr>
              <w:pStyle w:val="ListParagraph"/>
              <w:widowControl w:val="0"/>
              <w:numPr>
                <w:ilvl w:val="1"/>
                <w:numId w:val="24"/>
              </w:numPr>
              <w:spacing w:after="0" w:line="240" w:lineRule="auto"/>
              <w:ind w:left="1797" w:hanging="357"/>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Stock and shares ISA</w:t>
            </w:r>
            <w:r w:rsidRPr="00C67FEB" w:rsidR="00D9565C">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allows investment in restricted number of instruments, such as stocks, bonds, mutual funds or money market instruments (</w:t>
            </w:r>
            <w:r w:rsidRPr="00C67FEB" w:rsidR="00D9565C">
              <w:rPr>
                <w:rFonts w:ascii="Times New Roman" w:eastAsia="Times New Roman" w:hAnsi="Times New Roman" w:cs="Times New Roman"/>
                <w:sz w:val="24"/>
                <w:szCs w:val="24"/>
                <w:lang w:val="en-GB" w:eastAsia="cs-CZ"/>
              </w:rPr>
              <w:t>range of tools</w:t>
            </w:r>
            <w:r w:rsidRPr="00C67FEB">
              <w:rPr>
                <w:rFonts w:ascii="Times New Roman" w:eastAsia="Times New Roman" w:hAnsi="Times New Roman" w:cs="Times New Roman"/>
                <w:sz w:val="24"/>
                <w:szCs w:val="24"/>
                <w:lang w:val="en-GB" w:eastAsia="cs-CZ"/>
              </w:rPr>
              <w:t xml:space="preserve"> is limited);</w:t>
            </w:r>
            <w:r w:rsidR="0087579E">
              <w:rPr>
                <w:rFonts w:ascii="Times New Roman" w:eastAsia="Times New Roman" w:hAnsi="Times New Roman" w:cs="Times New Roman"/>
                <w:sz w:val="14"/>
                <w:szCs w:val="14"/>
                <w:lang w:val="en-GB" w:eastAsia="cs-CZ"/>
              </w:rPr>
              <w:t xml:space="preserve"> </w:t>
            </w:r>
          </w:p>
          <w:p w:rsidR="00403DFA" w:rsidRPr="00C67FEB" w:rsidP="0087579E">
            <w:pPr>
              <w:pStyle w:val="ListParagraph"/>
              <w:widowControl w:val="0"/>
              <w:numPr>
                <w:ilvl w:val="1"/>
                <w:numId w:val="24"/>
              </w:numPr>
              <w:spacing w:after="0" w:line="240" w:lineRule="auto"/>
              <w:ind w:left="1797" w:hanging="357"/>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Innovative Finance ISA allows investment through </w:t>
            </w:r>
            <w:r w:rsidRPr="00C67FEB" w:rsidR="00D9565C">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peer-to-peer</w:t>
            </w:r>
            <w:r w:rsidRPr="00C67FEB" w:rsidR="00D9565C">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(P2P) loans;</w:t>
            </w:r>
            <w:r w:rsidR="0087579E">
              <w:rPr>
                <w:rFonts w:ascii="Times New Roman" w:eastAsia="Times New Roman" w:hAnsi="Times New Roman" w:cs="Times New Roman"/>
                <w:sz w:val="14"/>
                <w:szCs w:val="14"/>
                <w:lang w:val="en-GB" w:eastAsia="cs-CZ"/>
              </w:rPr>
              <w:t xml:space="preserve"> </w:t>
            </w:r>
          </w:p>
          <w:p w:rsidR="00403DFA" w:rsidRPr="00C67FEB" w:rsidP="0087579E">
            <w:pPr>
              <w:pStyle w:val="ListParagraph"/>
              <w:widowControl w:val="0"/>
              <w:numPr>
                <w:ilvl w:val="1"/>
                <w:numId w:val="24"/>
              </w:numPr>
              <w:spacing w:after="0" w:line="240" w:lineRule="auto"/>
              <w:ind w:left="1797" w:hanging="357"/>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Life-time ISA allows people to 39 years of age save for retirement or to purchase the first property;</w:t>
            </w:r>
            <w:r w:rsidR="0087579E">
              <w:rPr>
                <w:rFonts w:ascii="Times New Roman" w:eastAsia="Times New Roman" w:hAnsi="Times New Roman" w:cs="Times New Roman"/>
                <w:sz w:val="14"/>
                <w:szCs w:val="14"/>
                <w:lang w:val="en-GB" w:eastAsia="cs-CZ"/>
              </w:rPr>
              <w:t xml:space="preserve"> </w:t>
            </w:r>
          </w:p>
          <w:p w:rsidR="00403DFA" w:rsidRPr="00C67FEB" w:rsidP="0087579E">
            <w:pPr>
              <w:pStyle w:val="ListParagraph"/>
              <w:widowControl w:val="0"/>
              <w:numPr>
                <w:ilvl w:val="1"/>
                <w:numId w:val="24"/>
              </w:numPr>
              <w:spacing w:after="200" w:line="240" w:lineRule="auto"/>
              <w:ind w:left="1797" w:hanging="357"/>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Junior ISA</w:t>
            </w:r>
            <w:r w:rsidRPr="00C67FEB" w:rsidR="00D9565C">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is intended for persons 18 years of age.</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2017, approximately 33% of people in the UK owned some of the ISA products.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w:t>
            </w:r>
            <w:r w:rsidRPr="00C67FEB" w:rsidR="00C67FEB">
              <w:rPr>
                <w:rFonts w:ascii="Times New Roman" w:eastAsia="Times New Roman" w:hAnsi="Times New Roman" w:cs="Times New Roman"/>
                <w:sz w:val="24"/>
                <w:szCs w:val="24"/>
                <w:lang w:val="en-GB" w:eastAsia="cs-CZ"/>
              </w:rPr>
              <w:t>n</w:t>
            </w:r>
            <w:r w:rsidRPr="00C67FEB">
              <w:rPr>
                <w:rFonts w:ascii="Times New Roman" w:eastAsia="Times New Roman" w:hAnsi="Times New Roman" w:cs="Times New Roman"/>
                <w:sz w:val="24"/>
                <w:szCs w:val="24"/>
                <w:lang w:val="en-GB" w:eastAsia="cs-CZ"/>
              </w:rPr>
              <w:t xml:space="preserve"> USA</w:t>
            </w:r>
            <w:bookmarkStart w:id="46" w:name="_ftnref2"/>
            <w:bookmarkEnd w:id="46"/>
            <w:r>
              <w:rPr>
                <w:rStyle w:val="FootnoteReference"/>
                <w:rFonts w:ascii="Times New Roman" w:eastAsia="Times New Roman" w:hAnsi="Times New Roman" w:cs="Times New Roman"/>
                <w:sz w:val="24"/>
                <w:szCs w:val="24"/>
                <w:lang w:val="en-GB" w:eastAsia="cs-CZ"/>
              </w:rPr>
              <w:footnoteReference w:id="3"/>
            </w:r>
            <w:r w:rsidRPr="00C67FEB" w:rsidR="00D9565C">
              <w:rPr>
                <w:rFonts w:ascii="Times New Roman" w:eastAsia="Times New Roman" w:hAnsi="Times New Roman" w:cs="Times New Roman"/>
                <w:sz w:val="24"/>
                <w:szCs w:val="24"/>
                <w:lang w:val="en-GB" w:eastAsia="cs-CZ"/>
              </w:rPr>
              <w:t xml:space="preserve"> </w:t>
            </w:r>
            <w:r w:rsidRPr="00C67FEB" w:rsidR="00C67FEB">
              <w:rPr>
                <w:rFonts w:ascii="Times New Roman" w:eastAsia="Times New Roman" w:hAnsi="Times New Roman" w:cs="Times New Roman"/>
                <w:sz w:val="24"/>
                <w:szCs w:val="24"/>
                <w:lang w:val="en-GB" w:eastAsia="cs-CZ"/>
              </w:rPr>
              <w:t xml:space="preserve">they </w:t>
            </w:r>
            <w:r w:rsidRPr="00C67FEB">
              <w:rPr>
                <w:rFonts w:ascii="Times New Roman" w:eastAsia="Times New Roman" w:hAnsi="Times New Roman" w:cs="Times New Roman"/>
                <w:sz w:val="24"/>
                <w:szCs w:val="24"/>
                <w:lang w:val="en-GB" w:eastAsia="cs-CZ"/>
              </w:rPr>
              <w:t xml:space="preserve">have Individual Retirement Account </w:t>
            </w:r>
            <w:r w:rsidRPr="00C67FEB" w:rsidR="00D9565C">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IRA), in which the distinction is that the traditional (Traditional IRA) or Roth (Roth IRA). An alternative to the IRA is 401(k), which also distinguishes between </w:t>
            </w:r>
            <w:r w:rsidRPr="00C67FEB" w:rsidR="00177868">
              <w:rPr>
                <w:rFonts w:ascii="Times New Roman" w:eastAsia="Times New Roman" w:hAnsi="Times New Roman" w:cs="Times New Roman"/>
                <w:sz w:val="24"/>
                <w:szCs w:val="24"/>
                <w:lang w:val="en-GB" w:eastAsia="cs-CZ"/>
              </w:rPr>
              <w:t>T</w:t>
            </w:r>
            <w:r w:rsidRPr="00C67FEB">
              <w:rPr>
                <w:rFonts w:ascii="Times New Roman" w:eastAsia="Times New Roman" w:hAnsi="Times New Roman" w:cs="Times New Roman"/>
                <w:sz w:val="24"/>
                <w:szCs w:val="24"/>
                <w:lang w:val="en-GB" w:eastAsia="cs-CZ"/>
              </w:rPr>
              <w:t>raditional and Roth - the name is derived from the relevant provisions of the US Internal Revenue Code. For traditional schemes, a citizen deposits untaxed money and taxes then withdraws from those schemes (</w:t>
            </w:r>
            <w:r w:rsidRPr="00C67FEB" w:rsidR="00177868">
              <w:rPr>
                <w:rFonts w:ascii="Times New Roman" w:eastAsia="Times New Roman" w:hAnsi="Times New Roman" w:cs="Times New Roman"/>
                <w:sz w:val="24"/>
                <w:szCs w:val="24"/>
                <w:lang w:val="en-GB" w:eastAsia="cs-CZ"/>
              </w:rPr>
              <w:t xml:space="preserve">does not </w:t>
            </w:r>
            <w:r w:rsidRPr="00C67FEB">
              <w:rPr>
                <w:rFonts w:ascii="Times New Roman" w:eastAsia="Times New Roman" w:hAnsi="Times New Roman" w:cs="Times New Roman"/>
                <w:sz w:val="24"/>
                <w:szCs w:val="24"/>
                <w:lang w:val="en-GB" w:eastAsia="cs-CZ"/>
              </w:rPr>
              <w:t xml:space="preserve">tax revenues), while for Roth's schemes he deposits taxed money and then neither </w:t>
            </w:r>
            <w:r w:rsidRPr="00C67FEB" w:rsidR="00177868">
              <w:rPr>
                <w:rFonts w:ascii="Times New Roman" w:eastAsia="Times New Roman" w:hAnsi="Times New Roman" w:cs="Times New Roman"/>
                <w:sz w:val="24"/>
                <w:szCs w:val="24"/>
                <w:lang w:val="en-GB" w:eastAsia="cs-CZ"/>
              </w:rPr>
              <w:t>taxes</w:t>
            </w:r>
            <w:r w:rsidRPr="00C67FEB">
              <w:rPr>
                <w:rFonts w:ascii="Times New Roman" w:eastAsia="Times New Roman" w:hAnsi="Times New Roman" w:cs="Times New Roman"/>
                <w:sz w:val="24"/>
                <w:szCs w:val="24"/>
                <w:lang w:val="en-GB" w:eastAsia="cs-CZ"/>
              </w:rPr>
              <w:t xml:space="preserve"> income nor withdraws. Scheme 401(k) is usually set up by the employer, while the IRA is set up by the citizen himself.</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2018, approximately 34.5% </w:t>
            </w:r>
            <w:r w:rsidRPr="00C67FEB" w:rsidR="00177868">
              <w:rPr>
                <w:rFonts w:ascii="Times New Roman" w:eastAsia="Times New Roman" w:hAnsi="Times New Roman" w:cs="Times New Roman"/>
                <w:sz w:val="24"/>
                <w:szCs w:val="24"/>
                <w:lang w:val="en-GB" w:eastAsia="cs-CZ"/>
              </w:rPr>
              <w:t>households owned IRA</w:t>
            </w:r>
            <w:r w:rsidRPr="00C67FEB">
              <w:rPr>
                <w:rFonts w:ascii="Times New Roman" w:eastAsia="Times New Roman" w:hAnsi="Times New Roman" w:cs="Times New Roman"/>
                <w:sz w:val="24"/>
                <w:szCs w:val="24"/>
                <w:lang w:val="en-GB" w:eastAsia="cs-CZ"/>
              </w:rPr>
              <w:t xml:space="preserve"> in the USA</w:t>
            </w:r>
            <w:r w:rsidRPr="00C67FEB" w:rsidR="00177868">
              <w:rPr>
                <w:rFonts w:ascii="Times New Roman" w:eastAsia="Times New Roman" w:hAnsi="Times New Roman" w:cs="Times New Roman"/>
                <w:sz w:val="24"/>
                <w:szCs w:val="24"/>
                <w:lang w:val="en-GB" w:eastAsia="cs-CZ"/>
              </w:rPr>
              <w:t>.</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Slovakia, a law was adopted in 2015, which introduced the so-called “</w:t>
            </w:r>
            <w:r w:rsidRPr="00C67FEB" w:rsidR="00177868">
              <w:rPr>
                <w:rFonts w:ascii="Times New Roman" w:eastAsia="Times New Roman" w:hAnsi="Times New Roman" w:cs="Times New Roman"/>
                <w:i/>
                <w:iCs/>
                <w:sz w:val="24"/>
                <w:szCs w:val="24"/>
                <w:lang w:val="en-GB" w:eastAsia="cs-CZ"/>
              </w:rPr>
              <w:t>dlhodobé</w:t>
            </w:r>
            <w:r w:rsidRPr="00C67FEB" w:rsidR="00177868">
              <w:rPr>
                <w:rFonts w:ascii="Times New Roman" w:eastAsia="Times New Roman" w:hAnsi="Times New Roman" w:cs="Times New Roman"/>
                <w:i/>
                <w:iCs/>
                <w:sz w:val="24"/>
                <w:szCs w:val="24"/>
                <w:lang w:val="en-GB" w:eastAsia="cs-CZ"/>
              </w:rPr>
              <w:t xml:space="preserve"> </w:t>
            </w:r>
            <w:r w:rsidRPr="00C67FEB" w:rsidR="00177868">
              <w:rPr>
                <w:rFonts w:ascii="Times New Roman" w:eastAsia="Times New Roman" w:hAnsi="Times New Roman" w:cs="Times New Roman"/>
                <w:i/>
                <w:iCs/>
                <w:sz w:val="24"/>
                <w:szCs w:val="24"/>
                <w:lang w:val="en-GB" w:eastAsia="cs-CZ"/>
              </w:rPr>
              <w:t>investičné</w:t>
            </w:r>
            <w:r w:rsidRPr="00C67FEB" w:rsidR="00177868">
              <w:rPr>
                <w:rFonts w:ascii="Times New Roman" w:eastAsia="Times New Roman" w:hAnsi="Times New Roman" w:cs="Times New Roman"/>
                <w:i/>
                <w:iCs/>
                <w:sz w:val="24"/>
                <w:szCs w:val="24"/>
                <w:lang w:val="en-GB" w:eastAsia="cs-CZ"/>
              </w:rPr>
              <w:t xml:space="preserve"> </w:t>
            </w:r>
            <w:r w:rsidRPr="00C67FEB" w:rsidR="00177868">
              <w:rPr>
                <w:rFonts w:ascii="Times New Roman" w:eastAsia="Times New Roman" w:hAnsi="Times New Roman" w:cs="Times New Roman"/>
                <w:i/>
                <w:iCs/>
                <w:sz w:val="24"/>
                <w:szCs w:val="24"/>
                <w:lang w:val="en-GB" w:eastAsia="cs-CZ"/>
              </w:rPr>
              <w:t>sporenie</w:t>
            </w:r>
            <w:r w:rsidRPr="00C67FEB">
              <w:rPr>
                <w:rFonts w:ascii="Times New Roman" w:eastAsia="Times New Roman" w:hAnsi="Times New Roman" w:cs="Times New Roman"/>
                <w:sz w:val="24"/>
                <w:szCs w:val="24"/>
                <w:lang w:val="en-GB" w:eastAsia="cs-CZ"/>
              </w:rPr>
              <w:t>”, thus bringing support for investment in securities (i</w:t>
            </w:r>
            <w:r w:rsidRPr="00C67FEB" w:rsidR="001778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1778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creating savings through capital market instruments). Slovak</w:t>
            </w:r>
            <w:r w:rsidRPr="00C67FEB" w:rsidR="00177868">
              <w:rPr>
                <w:rFonts w:ascii="Times New Roman" w:eastAsia="Times New Roman" w:hAnsi="Times New Roman" w:cs="Times New Roman"/>
                <w:sz w:val="24"/>
                <w:szCs w:val="24"/>
                <w:lang w:val="en-GB" w:eastAsia="cs-CZ"/>
              </w:rPr>
              <w:t>ia</w:t>
            </w:r>
            <w:r w:rsidRPr="00C67FEB">
              <w:rPr>
                <w:rFonts w:ascii="Times New Roman" w:eastAsia="Times New Roman" w:hAnsi="Times New Roman" w:cs="Times New Roman"/>
                <w:sz w:val="24"/>
                <w:szCs w:val="24"/>
                <w:lang w:val="en-GB" w:eastAsia="cs-CZ"/>
              </w:rPr>
              <w:t xml:space="preserve"> supports this type of investment of citizens by exempting income from the transfer of securities in the framework of long-term investment savings, so it is similar to the so-called time test in the Czech Republic. The tax advantage does not apply to the initial investment, but only to the </w:t>
            </w:r>
            <w:r w:rsidRPr="00C67FEB" w:rsidR="00177868">
              <w:rPr>
                <w:rFonts w:ascii="Times New Roman" w:eastAsia="Times New Roman" w:hAnsi="Times New Roman" w:cs="Times New Roman"/>
                <w:sz w:val="24"/>
                <w:szCs w:val="24"/>
                <w:lang w:val="en-GB" w:eastAsia="cs-CZ"/>
              </w:rPr>
              <w:t>revenues</w:t>
            </w:r>
            <w:r w:rsidRPr="00C67FEB">
              <w:rPr>
                <w:rFonts w:ascii="Times New Roman" w:eastAsia="Times New Roman" w:hAnsi="Times New Roman" w:cs="Times New Roman"/>
                <w:sz w:val="24"/>
                <w:szCs w:val="24"/>
                <w:lang w:val="en-GB" w:eastAsia="cs-CZ"/>
              </w:rPr>
              <w:t xml:space="preserve"> </w:t>
            </w:r>
            <w:r w:rsidRPr="00C67FEB" w:rsidR="00177868">
              <w:rPr>
                <w:rFonts w:ascii="Times New Roman" w:eastAsia="Times New Roman" w:hAnsi="Times New Roman" w:cs="Times New Roman"/>
                <w:sz w:val="24"/>
                <w:szCs w:val="24"/>
                <w:lang w:val="en-GB" w:eastAsia="cs-CZ"/>
              </w:rPr>
              <w:t>acquired by</w:t>
            </w:r>
            <w:r w:rsidRPr="00C67FEB">
              <w:rPr>
                <w:rFonts w:ascii="Times New Roman" w:eastAsia="Times New Roman" w:hAnsi="Times New Roman" w:cs="Times New Roman"/>
                <w:sz w:val="24"/>
                <w:szCs w:val="24"/>
                <w:lang w:val="en-GB" w:eastAsia="cs-CZ"/>
              </w:rPr>
              <w:t xml:space="preserve"> the transfer of securities in the course of </w:t>
            </w:r>
            <w:r w:rsidRPr="00C67FEB" w:rsidR="00177868">
              <w:rPr>
                <w:rFonts w:ascii="Times New Roman" w:eastAsia="Times New Roman" w:hAnsi="Times New Roman" w:cs="Times New Roman"/>
                <w:sz w:val="24"/>
                <w:szCs w:val="24"/>
                <w:lang w:val="en-GB" w:eastAsia="cs-CZ"/>
              </w:rPr>
              <w:t>“l</w:t>
            </w:r>
            <w:r w:rsidRPr="00C67FEB">
              <w:rPr>
                <w:rFonts w:ascii="Times New Roman" w:eastAsia="Times New Roman" w:hAnsi="Times New Roman" w:cs="Times New Roman"/>
                <w:sz w:val="24"/>
                <w:szCs w:val="24"/>
                <w:lang w:val="en-GB" w:eastAsia="cs-CZ"/>
              </w:rPr>
              <w:t>ong-term savings</w:t>
            </w:r>
            <w:r w:rsidRPr="00C67FEB" w:rsidR="001778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(i</w:t>
            </w:r>
            <w:r w:rsidRPr="00C67FEB" w:rsidR="001778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17786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investing). Citizen can annually invest </w:t>
            </w:r>
            <w:r w:rsidRPr="00C67FEB" w:rsidR="00177868">
              <w:rPr>
                <w:rFonts w:ascii="Times New Roman" w:eastAsia="Times New Roman" w:hAnsi="Times New Roman" w:cs="Times New Roman"/>
                <w:sz w:val="24"/>
                <w:szCs w:val="24"/>
                <w:lang w:val="en-GB" w:eastAsia="cs-CZ"/>
              </w:rPr>
              <w:t>maximum</w:t>
            </w:r>
            <w:r w:rsidRPr="00C67FEB">
              <w:rPr>
                <w:rFonts w:ascii="Times New Roman" w:eastAsia="Times New Roman" w:hAnsi="Times New Roman" w:cs="Times New Roman"/>
                <w:sz w:val="24"/>
                <w:szCs w:val="24"/>
                <w:lang w:val="en-GB" w:eastAsia="cs-CZ"/>
              </w:rPr>
              <w:t xml:space="preserve"> </w:t>
            </w:r>
            <w:r w:rsidRPr="00C67FEB" w:rsidR="00177868">
              <w:rPr>
                <w:rFonts w:ascii="Times New Roman" w:eastAsia="Times New Roman" w:hAnsi="Times New Roman" w:cs="Times New Roman"/>
                <w:sz w:val="24"/>
                <w:szCs w:val="24"/>
                <w:lang w:val="en-GB" w:eastAsia="cs-CZ"/>
              </w:rPr>
              <w:t xml:space="preserve">of </w:t>
            </w:r>
            <w:r w:rsidRPr="00C67FEB">
              <w:rPr>
                <w:rFonts w:ascii="Times New Roman" w:eastAsia="Times New Roman" w:hAnsi="Times New Roman" w:cs="Times New Roman"/>
                <w:sz w:val="24"/>
                <w:szCs w:val="24"/>
                <w:lang w:val="en-GB" w:eastAsia="cs-CZ"/>
              </w:rPr>
              <w:t xml:space="preserve">3 000 </w:t>
            </w:r>
            <w:r w:rsidRPr="00C67FEB" w:rsidR="00177868">
              <w:rPr>
                <w:rFonts w:ascii="Times New Roman" w:eastAsia="Times New Roman" w:hAnsi="Times New Roman" w:cs="Times New Roman"/>
                <w:sz w:val="24"/>
                <w:szCs w:val="24"/>
                <w:lang w:val="en-GB" w:eastAsia="cs-CZ"/>
              </w:rPr>
              <w:t>EUR</w:t>
            </w:r>
            <w:r w:rsidRPr="00C67FEB">
              <w:rPr>
                <w:rFonts w:ascii="Times New Roman" w:eastAsia="Times New Roman" w:hAnsi="Times New Roman" w:cs="Times New Roman"/>
                <w:sz w:val="24"/>
                <w:szCs w:val="24"/>
                <w:lang w:val="en-GB" w:eastAsia="cs-CZ"/>
              </w:rPr>
              <w:t xml:space="preserve"> (about 75 000 CZK).</w:t>
            </w:r>
            <w:r w:rsidR="0087579E">
              <w:rPr>
                <w:rFonts w:ascii="Times New Roman" w:eastAsia="Times New Roman" w:hAnsi="Times New Roman" w:cs="Times New Roman"/>
                <w:sz w:val="24"/>
                <w:szCs w:val="24"/>
                <w:lang w:val="en-GB" w:eastAsia="cs-CZ"/>
              </w:rPr>
              <w:t xml:space="preserve">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Two variants are considered:</w:t>
            </w:r>
          </w:p>
          <w:p w:rsidR="00403DFA" w:rsidRPr="00C67FEB" w:rsidP="0087579E">
            <w:pPr>
              <w:pStyle w:val="ListParagraph"/>
              <w:keepNext/>
              <w:numPr>
                <w:ilvl w:val="0"/>
                <w:numId w:val="25"/>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8D0380">
              <w:rPr>
                <w:rFonts w:ascii="Times New Roman" w:eastAsia="Times New Roman" w:hAnsi="Times New Roman" w:cs="Times New Roman"/>
                <w:sz w:val="24"/>
                <w:szCs w:val="24"/>
                <w:lang w:val="en-GB" w:eastAsia="cs-CZ"/>
              </w:rPr>
              <w:t>Maintain</w:t>
            </w:r>
            <w:r w:rsidRPr="00C67FEB">
              <w:rPr>
                <w:rFonts w:ascii="Times New Roman" w:eastAsia="Times New Roman" w:hAnsi="Times New Roman" w:cs="Times New Roman"/>
                <w:sz w:val="24"/>
                <w:szCs w:val="24"/>
                <w:lang w:val="en-GB" w:eastAsia="cs-CZ"/>
              </w:rPr>
              <w:t xml:space="preserve"> the current status</w:t>
            </w:r>
          </w:p>
          <w:p w:rsidR="00403DFA" w:rsidRPr="00C67FEB" w:rsidP="0087579E">
            <w:pPr>
              <w:pStyle w:val="ListParagraph"/>
              <w:keepNext/>
              <w:numPr>
                <w:ilvl w:val="0"/>
                <w:numId w:val="25"/>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1 - Extend the offer of products intended for savings for old age by a personal savings account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current state of supply of financial products intended for old age covers only a limited number of financial products, is intended rather for more conservative investors and does not allow Czech citizens to take advantage of more capital market opportunities. From the </w:t>
            </w:r>
            <w:r w:rsidRPr="00C67FEB" w:rsidR="00084BE0">
              <w:rPr>
                <w:rFonts w:ascii="Times New Roman" w:eastAsia="Times New Roman" w:hAnsi="Times New Roman" w:cs="Times New Roman"/>
                <w:sz w:val="24"/>
                <w:szCs w:val="24"/>
                <w:lang w:val="en-GB" w:eastAsia="cs-CZ"/>
              </w:rPr>
              <w:t xml:space="preserve">practice </w:t>
            </w:r>
            <w:r w:rsidRPr="00C67FEB">
              <w:rPr>
                <w:rFonts w:ascii="Times New Roman" w:eastAsia="Times New Roman" w:hAnsi="Times New Roman" w:cs="Times New Roman"/>
                <w:sz w:val="24"/>
                <w:szCs w:val="24"/>
                <w:lang w:val="en-GB" w:eastAsia="cs-CZ"/>
              </w:rPr>
              <w:t xml:space="preserve">findings </w:t>
            </w:r>
            <w:r w:rsidRPr="00C67FEB" w:rsidR="00084BE0">
              <w:rPr>
                <w:rFonts w:ascii="Times New Roman" w:eastAsia="Times New Roman" w:hAnsi="Times New Roman" w:cs="Times New Roman"/>
                <w:sz w:val="24"/>
                <w:szCs w:val="24"/>
                <w:lang w:val="en-GB" w:eastAsia="cs-CZ"/>
              </w:rPr>
              <w:t>it</w:t>
            </w:r>
            <w:r w:rsidRPr="00C67FEB">
              <w:rPr>
                <w:rFonts w:ascii="Times New Roman" w:eastAsia="Times New Roman" w:hAnsi="Times New Roman" w:cs="Times New Roman"/>
                <w:sz w:val="24"/>
                <w:szCs w:val="24"/>
                <w:lang w:val="en-GB" w:eastAsia="cs-CZ"/>
              </w:rPr>
              <w:t xml:space="preserve"> shows that in the long run usually capital market </w:t>
            </w:r>
            <w:r w:rsidRPr="00C67FEB" w:rsidR="00084BE0">
              <w:rPr>
                <w:rFonts w:ascii="Times New Roman" w:eastAsia="Times New Roman" w:hAnsi="Times New Roman" w:cs="Times New Roman"/>
                <w:sz w:val="24"/>
                <w:szCs w:val="24"/>
                <w:lang w:val="en-GB" w:eastAsia="cs-CZ"/>
              </w:rPr>
              <w:t xml:space="preserve">valorises </w:t>
            </w:r>
            <w:r w:rsidRPr="00C67FEB">
              <w:rPr>
                <w:rFonts w:ascii="Times New Roman" w:eastAsia="Times New Roman" w:hAnsi="Times New Roman" w:cs="Times New Roman"/>
                <w:sz w:val="24"/>
                <w:szCs w:val="24"/>
                <w:lang w:val="en-GB" w:eastAsia="cs-CZ"/>
              </w:rPr>
              <w:t xml:space="preserve">embedded resources more efficiently than currently offered state-supported products, albeit at the cost of higher risk of loss of investment. The disadvantage of this option is the less risky and thus less profitable way of appreciation of savings </w:t>
            </w:r>
            <w:r w:rsidRPr="00C67FEB">
              <w:rPr>
                <w:rFonts w:ascii="Times New Roman" w:eastAsia="Times New Roman" w:hAnsi="Times New Roman" w:cs="Times New Roman"/>
                <w:sz w:val="24"/>
                <w:szCs w:val="24"/>
                <w:lang w:val="en-GB" w:eastAsia="cs-CZ"/>
              </w:rPr>
              <w:t>without the possibility of the investor to invest more actively and flexibly manage their investments, which also leads to lower responsibility for future savings.</w:t>
            </w:r>
            <w:r w:rsidR="0087579E">
              <w:rPr>
                <w:rFonts w:ascii="Times New Roman" w:eastAsia="Times New Roman" w:hAnsi="Times New Roman" w:cs="Times New Roman"/>
                <w:sz w:val="24"/>
                <w:szCs w:val="24"/>
                <w:lang w:val="en-GB" w:eastAsia="cs-CZ"/>
              </w:rPr>
              <w:t xml:space="preserve">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Option 1 - extend the offer of products intended for savings for old age by a personal savings account - </w:t>
            </w:r>
            <w:r w:rsidRPr="00DE785C" w:rsidR="00084BE0">
              <w:rPr>
                <w:rFonts w:ascii="Times New Roman" w:eastAsia="Times New Roman" w:hAnsi="Times New Roman" w:cs="Times New Roman"/>
                <w:b/>
                <w:bCs/>
                <w:sz w:val="24"/>
                <w:szCs w:val="24"/>
                <w:lang w:val="en-GB" w:eastAsia="cs-CZ"/>
              </w:rPr>
              <w:t>Long-Term Investment Account</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option would offer investors the opportunity to use other capital market products intended for long-term investments that potentially make it possible to obtain a higher return, albeit at the risk of higher risk. Inspired by foreign legislation, the expansion of the offer would allow Czech investors to benefit from the experience of more advanced economies. In addition, expanding the supply of financial products could lead to greater investor interest in investing in the capital market and could </w:t>
            </w:r>
            <w:r w:rsidRPr="00C67FEB" w:rsidR="00084BE0">
              <w:rPr>
                <w:rFonts w:ascii="Times New Roman" w:eastAsia="Times New Roman" w:hAnsi="Times New Roman" w:cs="Times New Roman"/>
                <w:sz w:val="24"/>
                <w:szCs w:val="24"/>
                <w:lang w:val="en-GB" w:eastAsia="cs-CZ"/>
              </w:rPr>
              <w:t>favourably</w:t>
            </w:r>
            <w:r w:rsidRPr="00C67FEB">
              <w:rPr>
                <w:rFonts w:ascii="Times New Roman" w:eastAsia="Times New Roman" w:hAnsi="Times New Roman" w:cs="Times New Roman"/>
                <w:sz w:val="24"/>
                <w:szCs w:val="24"/>
                <w:lang w:val="en-GB" w:eastAsia="cs-CZ"/>
              </w:rPr>
              <w:t xml:space="preserve"> influence the development of the capital market in the Czech Republic. Investors are offered a new product, including the possibility of greater diversification with savings, which inevitably leads to risk spreading and greater investor protection. The Financial </w:t>
            </w:r>
            <w:r w:rsidRPr="00C67FEB" w:rsidR="0044192E">
              <w:rPr>
                <w:rFonts w:ascii="Times New Roman" w:eastAsia="Times New Roman" w:hAnsi="Times New Roman" w:cs="Times New Roman"/>
                <w:sz w:val="24"/>
                <w:szCs w:val="24"/>
                <w:lang w:val="en-GB" w:eastAsia="cs-CZ"/>
              </w:rPr>
              <w:t>Arbitrator</w:t>
            </w:r>
            <w:r w:rsidRPr="00C67FEB">
              <w:rPr>
                <w:rFonts w:ascii="Times New Roman" w:eastAsia="Times New Roman" w:hAnsi="Times New Roman" w:cs="Times New Roman"/>
                <w:sz w:val="24"/>
                <w:szCs w:val="24"/>
                <w:lang w:val="en-GB" w:eastAsia="cs-CZ"/>
              </w:rPr>
              <w:t xml:space="preserve"> would also be entitled to settle any disputes out of court. This option requires a legislative solution. With regard to tax support, it is necessary to incur costs from public budgets. Negative impacts on the state budget can be generated in two ways, which correspond to forms of tax relief:</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u w:val="single"/>
                <w:lang w:val="en-GB" w:eastAsia="cs-CZ"/>
              </w:rPr>
              <w:t>1. Payments by employers as employee income exempt from income tax</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this case, the negative impact would only be generated because of the extension of the titles to which the employer can contribute, with the exempted income for employees. For the existing titles already unified limit to 50 th</w:t>
            </w:r>
            <w:r w:rsidRPr="00C67FEB" w:rsidR="00084BE0">
              <w:rPr>
                <w:rFonts w:ascii="Times New Roman" w:eastAsia="Times New Roman" w:hAnsi="Times New Roman" w:cs="Times New Roman"/>
                <w:sz w:val="24"/>
                <w:szCs w:val="24"/>
                <w:lang w:val="en-GB" w:eastAsia="cs-CZ"/>
              </w:rPr>
              <w:t>ou</w:t>
            </w:r>
            <w:r w:rsidRPr="00C67FEB">
              <w:rPr>
                <w:rFonts w:ascii="Times New Roman" w:eastAsia="Times New Roman" w:hAnsi="Times New Roman" w:cs="Times New Roman"/>
                <w:sz w:val="24"/>
                <w:szCs w:val="24"/>
                <w:lang w:val="en-GB" w:eastAsia="cs-CZ"/>
              </w:rPr>
              <w:t>s</w:t>
            </w:r>
            <w:r w:rsidRPr="00C67FEB" w:rsidR="00084BE0">
              <w:rPr>
                <w:rFonts w:ascii="Times New Roman" w:eastAsia="Times New Roman" w:hAnsi="Times New Roman" w:cs="Times New Roman"/>
                <w:sz w:val="24"/>
                <w:szCs w:val="24"/>
                <w:lang w:val="en-GB" w:eastAsia="cs-CZ"/>
              </w:rPr>
              <w:t>and</w:t>
            </w:r>
            <w:r w:rsidRPr="00C67FEB">
              <w:rPr>
                <w:rFonts w:ascii="Times New Roman" w:eastAsia="Times New Roman" w:hAnsi="Times New Roman" w:cs="Times New Roman"/>
                <w:sz w:val="24"/>
                <w:szCs w:val="24"/>
                <w:lang w:val="en-GB" w:eastAsia="cs-CZ"/>
              </w:rPr>
              <w:t xml:space="preserve"> CZK is and the proposed modification does not change anything for them. Thus, the impact could be generated in cases where it would apply at the same time: the employee will have a </w:t>
            </w:r>
            <w:r w:rsidRPr="00C67FEB" w:rsidR="008F46DE">
              <w:rPr>
                <w:rFonts w:ascii="Times New Roman" w:eastAsia="Times New Roman" w:hAnsi="Times New Roman" w:cs="Times New Roman"/>
                <w:sz w:val="24"/>
                <w:szCs w:val="24"/>
                <w:lang w:val="en-GB" w:eastAsia="cs-CZ"/>
              </w:rPr>
              <w:t>Long-Term Investment Account</w:t>
            </w:r>
            <w:r w:rsidRPr="00C67FEB">
              <w:rPr>
                <w:rFonts w:ascii="Times New Roman" w:eastAsia="Times New Roman" w:hAnsi="Times New Roman" w:cs="Times New Roman"/>
                <w:sz w:val="24"/>
                <w:szCs w:val="24"/>
                <w:lang w:val="en-GB" w:eastAsia="cs-CZ"/>
              </w:rPr>
              <w:t xml:space="preserve"> and the employer will be willing to make a new contribution, i</w:t>
            </w:r>
            <w:r w:rsidRPr="00C67FEB" w:rsidR="00A2590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A2590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beyond the existing exempted contributions (subject to legal conditions). The negative impact of contributing titles cannot be estimated due to lack of data sources. In addition, other factors, such as the development of unemployment, wages or conjuncture or the recession of the Czech economy or real interest rates, may also have an impact on the </w:t>
            </w:r>
            <w:r w:rsidRPr="00C67FEB" w:rsidR="00A25904">
              <w:rPr>
                <w:rFonts w:ascii="Times New Roman" w:eastAsia="Times New Roman" w:hAnsi="Times New Roman" w:cs="Times New Roman"/>
                <w:sz w:val="24"/>
                <w:szCs w:val="24"/>
                <w:lang w:val="en-GB" w:eastAsia="cs-CZ"/>
              </w:rPr>
              <w:t xml:space="preserve">amount of </w:t>
            </w:r>
            <w:r w:rsidRPr="00C67FEB">
              <w:rPr>
                <w:rFonts w:ascii="Times New Roman" w:eastAsia="Times New Roman" w:hAnsi="Times New Roman" w:cs="Times New Roman"/>
                <w:sz w:val="24"/>
                <w:szCs w:val="24"/>
                <w:lang w:val="en-GB" w:eastAsia="cs-CZ"/>
              </w:rPr>
              <w:t>impact.</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However, given the current level of employers 'contributions, the expected </w:t>
            </w:r>
            <w:r w:rsidRPr="00C67FEB" w:rsidR="008F46DE">
              <w:rPr>
                <w:rFonts w:ascii="Times New Roman" w:eastAsia="Times New Roman" w:hAnsi="Times New Roman" w:cs="Times New Roman"/>
                <w:sz w:val="24"/>
                <w:szCs w:val="24"/>
                <w:lang w:val="en-GB" w:eastAsia="cs-CZ"/>
              </w:rPr>
              <w:t>Long-Term Investment Account</w:t>
            </w:r>
            <w:r w:rsidRPr="00C67FEB">
              <w:rPr>
                <w:rFonts w:ascii="Times New Roman" w:eastAsia="Times New Roman" w:hAnsi="Times New Roman" w:cs="Times New Roman"/>
                <w:sz w:val="24"/>
                <w:szCs w:val="24"/>
                <w:lang w:val="en-GB" w:eastAsia="cs-CZ"/>
              </w:rPr>
              <w:t xml:space="preserve"> parameters, which are similar to the existing supported products, we do not expect a massive increase in employers' interest in contributing to this new product. Rather, we would expect a change in structure. Based on this assumption, the impact on public budgets of hundreds of millions of CZK per year can be considered.</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this case, a negative impact would have already occurred during 2022, however, given that the </w:t>
            </w:r>
            <w:r w:rsidRPr="00C67FEB" w:rsidR="008F46DE">
              <w:rPr>
                <w:rFonts w:ascii="Times New Roman" w:eastAsia="Times New Roman" w:hAnsi="Times New Roman" w:cs="Times New Roman"/>
                <w:sz w:val="24"/>
                <w:szCs w:val="24"/>
                <w:lang w:val="en-GB" w:eastAsia="cs-CZ"/>
              </w:rPr>
              <w:t>Long-Term Investment Account</w:t>
            </w:r>
            <w:r w:rsidRPr="00C67FEB">
              <w:rPr>
                <w:rFonts w:ascii="Times New Roman" w:eastAsia="Times New Roman" w:hAnsi="Times New Roman" w:cs="Times New Roman"/>
                <w:sz w:val="24"/>
                <w:szCs w:val="24"/>
                <w:lang w:val="en-GB" w:eastAsia="cs-CZ"/>
              </w:rPr>
              <w:t xml:space="preserve"> is currently a non-existent product, any year-round impact can only be expected in 2023.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u w:val="single"/>
                <w:lang w:val="en-GB" w:eastAsia="cs-CZ"/>
              </w:rPr>
              <w:t>2. Application of the deduction from the taxable amount in respect of contributions paid by the taxpayer</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total maximum amount by which the tax base can be reduced is proposed at CZK 48,000, i</w:t>
            </w:r>
            <w:r w:rsidRPr="00C67FEB" w:rsidR="00A2590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A2590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it corresponds to the sum of the existing limits. With regard to the proposed effectiveness of the </w:t>
            </w:r>
            <w:r w:rsidRPr="00C67FEB" w:rsidR="00A25904">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ct as of 1 January 2022, it is possible to expect that the potential negative impact will occur in 2023 at the earliest (taxpayers will apply the non-taxable part under the new rules only in the tax return)</w:t>
            </w:r>
            <w:r w:rsidRPr="00C67FEB" w:rsidR="00A25904">
              <w:rPr>
                <w:rFonts w:ascii="Times New Roman" w:eastAsia="Times New Roman" w:hAnsi="Times New Roman" w:cs="Times New Roman"/>
                <w:sz w:val="24"/>
                <w:szCs w:val="24"/>
                <w:lang w:val="en-GB" w:eastAsia="cs-CZ"/>
              </w:rPr>
              <w:t xml:space="preserve">, however, given that Long-Term Investment Account </w:t>
            </w:r>
            <w:r w:rsidRPr="00C67FEB">
              <w:rPr>
                <w:rFonts w:ascii="Times New Roman" w:eastAsia="Times New Roman" w:hAnsi="Times New Roman" w:cs="Times New Roman"/>
                <w:sz w:val="24"/>
                <w:szCs w:val="24"/>
                <w:lang w:val="en-GB" w:eastAsia="cs-CZ"/>
              </w:rPr>
              <w:t>is currently a non-existent product, any year-round impact can only be expected in 2024.</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the case of deductions from the tax base, a negative impact can be generated both by the unification of the deduction limits for existing products (taxpayers preferring one product to which they now apply the maximum deduction will now have the possibility to apply a higher deduction)</w:t>
            </w:r>
            <w:r w:rsidRPr="00C67FEB" w:rsidR="00A25904">
              <w:rPr>
                <w:rFonts w:ascii="Times New Roman" w:eastAsia="Times New Roman" w:hAnsi="Times New Roman" w:cs="Times New Roman"/>
                <w:sz w:val="24"/>
                <w:szCs w:val="24"/>
                <w:lang w:val="en-GB" w:eastAsia="cs-CZ"/>
              </w:rPr>
              <w:t xml:space="preserve"> and</w:t>
            </w:r>
            <w:r w:rsidRPr="00C67FEB">
              <w:rPr>
                <w:rFonts w:ascii="Times New Roman" w:eastAsia="Times New Roman" w:hAnsi="Times New Roman" w:cs="Times New Roman"/>
                <w:sz w:val="24"/>
                <w:szCs w:val="24"/>
                <w:lang w:val="en-GB" w:eastAsia="cs-CZ"/>
              </w:rPr>
              <w:t xml:space="preserve"> </w:t>
            </w:r>
            <w:r w:rsidRPr="00C67FEB" w:rsidR="00A25904">
              <w:rPr>
                <w:rFonts w:ascii="Times New Roman" w:eastAsia="Times New Roman" w:hAnsi="Times New Roman" w:cs="Times New Roman"/>
                <w:sz w:val="24"/>
                <w:szCs w:val="24"/>
                <w:lang w:val="en-GB" w:eastAsia="cs-CZ"/>
              </w:rPr>
              <w:t xml:space="preserve">also by </w:t>
            </w:r>
            <w:r w:rsidRPr="00C67FEB" w:rsidR="00A25904">
              <w:rPr>
                <w:rFonts w:ascii="Times New Roman" w:eastAsia="Times New Roman" w:hAnsi="Times New Roman" w:cs="Times New Roman"/>
                <w:sz w:val="24"/>
                <w:szCs w:val="24"/>
                <w:lang w:val="en-GB" w:eastAsia="cs-CZ"/>
              </w:rPr>
              <w:t xml:space="preserve">the expansion of the deduction limits for </w:t>
            </w:r>
            <w:r w:rsidRPr="00C67FEB">
              <w:rPr>
                <w:rFonts w:ascii="Times New Roman" w:eastAsia="Times New Roman" w:hAnsi="Times New Roman" w:cs="Times New Roman"/>
                <w:sz w:val="24"/>
                <w:szCs w:val="24"/>
                <w:lang w:val="en-GB" w:eastAsia="cs-CZ"/>
              </w:rPr>
              <w:t xml:space="preserve">another product. At present, the estimated tax relief from tax base deductions is CZK 2.6 billion. Considering the total amount of the estimated tax relief, we estimate the negative impact of the unification of the deduction limits to be </w:t>
            </w:r>
            <w:r w:rsidRPr="00C67FEB" w:rsidR="00A25904">
              <w:rPr>
                <w:rFonts w:ascii="Times New Roman" w:eastAsia="Times New Roman" w:hAnsi="Times New Roman" w:cs="Times New Roman"/>
                <w:sz w:val="24"/>
                <w:szCs w:val="24"/>
                <w:lang w:val="en-GB" w:eastAsia="cs-CZ"/>
              </w:rPr>
              <w:t>in lesser</w:t>
            </w:r>
            <w:r w:rsidRPr="00C67FEB">
              <w:rPr>
                <w:rFonts w:ascii="Times New Roman" w:eastAsia="Times New Roman" w:hAnsi="Times New Roman" w:cs="Times New Roman"/>
                <w:sz w:val="24"/>
                <w:szCs w:val="24"/>
                <w:lang w:val="en-GB" w:eastAsia="cs-CZ"/>
              </w:rPr>
              <w:t xml:space="preserve"> hundreds of millions of CZK.</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negative impact of extending the possibility of deduction cannot be estimated due to lack of data sources. In addition, other factors, such as the development of unemployment, wages or conjuncture or the recession of the Czech economy or real interest rates, may also have an impact on </w:t>
            </w:r>
            <w:r w:rsidRPr="00C67FEB" w:rsidR="00B10147">
              <w:rPr>
                <w:rFonts w:ascii="Times New Roman" w:eastAsia="Times New Roman" w:hAnsi="Times New Roman" w:cs="Times New Roman"/>
                <w:sz w:val="24"/>
                <w:szCs w:val="24"/>
                <w:lang w:val="en-GB" w:eastAsia="cs-CZ"/>
              </w:rPr>
              <w:t xml:space="preserve">amount of </w:t>
            </w:r>
            <w:r w:rsidRPr="00C67FEB">
              <w:rPr>
                <w:rFonts w:ascii="Times New Roman" w:eastAsia="Times New Roman" w:hAnsi="Times New Roman" w:cs="Times New Roman"/>
                <w:sz w:val="24"/>
                <w:szCs w:val="24"/>
                <w:lang w:val="en-GB" w:eastAsia="cs-CZ"/>
              </w:rPr>
              <w:t xml:space="preserve">the impact. For example, </w:t>
            </w:r>
            <w:r w:rsidRPr="00C67FEB" w:rsidR="00B10147">
              <w:rPr>
                <w:rFonts w:ascii="Times New Roman" w:eastAsia="Times New Roman" w:hAnsi="Times New Roman" w:cs="Times New Roman"/>
                <w:sz w:val="24"/>
                <w:szCs w:val="24"/>
                <w:lang w:val="en-GB" w:eastAsia="cs-CZ"/>
              </w:rPr>
              <w:t xml:space="preserve">if new 100,000 taxpayers made </w:t>
            </w:r>
            <w:r w:rsidRPr="00C67FEB">
              <w:rPr>
                <w:rFonts w:ascii="Times New Roman" w:eastAsia="Times New Roman" w:hAnsi="Times New Roman" w:cs="Times New Roman"/>
                <w:sz w:val="24"/>
                <w:szCs w:val="24"/>
                <w:lang w:val="en-GB" w:eastAsia="cs-CZ"/>
              </w:rPr>
              <w:t xml:space="preserve">an attempt to redeem from their tax base of 10,000 tax deductions from </w:t>
            </w:r>
            <w:r w:rsidRPr="00C67FEB" w:rsidR="00B10147">
              <w:rPr>
                <w:rFonts w:ascii="Times New Roman" w:eastAsia="Times New Roman" w:hAnsi="Times New Roman" w:cs="Times New Roman"/>
                <w:sz w:val="24"/>
                <w:szCs w:val="24"/>
                <w:lang w:val="en-GB" w:eastAsia="cs-CZ"/>
              </w:rPr>
              <w:t>L</w:t>
            </w:r>
            <w:r w:rsidRPr="00C67FEB">
              <w:rPr>
                <w:rFonts w:ascii="Times New Roman" w:eastAsia="Times New Roman" w:hAnsi="Times New Roman" w:cs="Times New Roman"/>
                <w:sz w:val="24"/>
                <w:szCs w:val="24"/>
                <w:lang w:val="en-GB" w:eastAsia="cs-CZ"/>
              </w:rPr>
              <w:t>ong-</w:t>
            </w:r>
            <w:r w:rsidRPr="00C67FEB" w:rsidR="00B10147">
              <w:rPr>
                <w:rFonts w:ascii="Times New Roman" w:eastAsia="Times New Roman" w:hAnsi="Times New Roman" w:cs="Times New Roman"/>
                <w:sz w:val="24"/>
                <w:szCs w:val="24"/>
                <w:lang w:val="en-GB" w:eastAsia="cs-CZ"/>
              </w:rPr>
              <w:t>T</w:t>
            </w:r>
            <w:r w:rsidRPr="00C67FEB">
              <w:rPr>
                <w:rFonts w:ascii="Times New Roman" w:eastAsia="Times New Roman" w:hAnsi="Times New Roman" w:cs="Times New Roman"/>
                <w:sz w:val="24"/>
                <w:szCs w:val="24"/>
                <w:lang w:val="en-GB" w:eastAsia="cs-CZ"/>
              </w:rPr>
              <w:t xml:space="preserve">erm </w:t>
            </w:r>
            <w:r w:rsidRPr="00C67FEB" w:rsidR="00B10147">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nvestment</w:t>
            </w:r>
            <w:r w:rsidRPr="00C67FEB" w:rsidR="00B10147">
              <w:rPr>
                <w:rFonts w:ascii="Times New Roman" w:eastAsia="Times New Roman" w:hAnsi="Times New Roman" w:cs="Times New Roman"/>
                <w:sz w:val="24"/>
                <w:szCs w:val="24"/>
                <w:lang w:val="en-GB" w:eastAsia="cs-CZ"/>
              </w:rPr>
              <w:t xml:space="preserve"> Account</w:t>
            </w:r>
            <w:r w:rsidRPr="00C67FEB">
              <w:rPr>
                <w:rFonts w:ascii="Times New Roman" w:eastAsia="Times New Roman" w:hAnsi="Times New Roman" w:cs="Times New Roman"/>
                <w:sz w:val="24"/>
                <w:szCs w:val="24"/>
                <w:lang w:val="en-GB" w:eastAsia="cs-CZ"/>
              </w:rPr>
              <w:t xml:space="preserve"> contributions</w:t>
            </w:r>
            <w:r w:rsidRPr="00C67FEB" w:rsidR="00B10147">
              <w:rPr>
                <w:rFonts w:ascii="Times New Roman" w:eastAsia="Times New Roman" w:hAnsi="Times New Roman" w:cs="Times New Roman"/>
                <w:sz w:val="24"/>
                <w:szCs w:val="24"/>
                <w:lang w:val="en-GB" w:eastAsia="cs-CZ"/>
              </w:rPr>
              <w:t>, it</w:t>
            </w:r>
            <w:r w:rsidRPr="00C67FEB">
              <w:rPr>
                <w:rFonts w:ascii="Times New Roman" w:eastAsia="Times New Roman" w:hAnsi="Times New Roman" w:cs="Times New Roman"/>
                <w:sz w:val="24"/>
                <w:szCs w:val="24"/>
                <w:lang w:val="en-GB" w:eastAsia="cs-CZ"/>
              </w:rPr>
              <w:t xml:space="preserve"> would have a negative impact on </w:t>
            </w:r>
            <w:r w:rsidRPr="00C67FEB" w:rsidR="00C67FE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DPFOs</w:t>
            </w:r>
            <w:r w:rsidRPr="00C67FEB" w:rsidR="00C67FE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of CZK 150 million per annum </w:t>
            </w:r>
            <w:r w:rsidRPr="00C67FEB" w:rsidR="00B10147">
              <w:rPr>
                <w:rFonts w:ascii="Times New Roman" w:eastAsia="Times New Roman" w:hAnsi="Times New Roman" w:cs="Times New Roman"/>
                <w:sz w:val="24"/>
                <w:szCs w:val="24"/>
                <w:lang w:val="en-GB" w:eastAsia="cs-CZ"/>
              </w:rPr>
              <w:t>at the level of public budgets.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This option also presents social impacts, in particular positive impacts on the savings of Czech households. </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As the most appropriate solution, it is proposed to extend the conservative list of products intended for savings to old age by a personal savings account, called the </w:t>
            </w:r>
            <w:r w:rsidRPr="00C67FEB" w:rsidR="008F46DE">
              <w:rPr>
                <w:rFonts w:ascii="Times New Roman" w:eastAsia="Times New Roman" w:hAnsi="Times New Roman" w:cs="Times New Roman"/>
                <w:sz w:val="24"/>
                <w:szCs w:val="24"/>
                <w:lang w:val="en-GB" w:eastAsia="cs-CZ"/>
              </w:rPr>
              <w:t>Long-Term Investment Account</w:t>
            </w:r>
            <w:r w:rsidRPr="00C67FEB">
              <w:rPr>
                <w:rFonts w:ascii="Times New Roman" w:eastAsia="Times New Roman" w:hAnsi="Times New Roman" w:cs="Times New Roman"/>
                <w:sz w:val="24"/>
                <w:szCs w:val="24"/>
                <w:lang w:val="en-GB" w:eastAsia="cs-CZ"/>
              </w:rPr>
              <w:t xml:space="preserve">, so option 1 is the most appropriate solution. This account is associated with higher activity of its owner and the need to invest in investment instruments in order to increase their appreciation. </w:t>
            </w:r>
            <w:r w:rsidRPr="00C67FEB" w:rsidR="00B10147">
              <w:rPr>
                <w:rFonts w:ascii="Times New Roman" w:eastAsia="Times New Roman" w:hAnsi="Times New Roman" w:cs="Times New Roman"/>
                <w:sz w:val="24"/>
                <w:szCs w:val="24"/>
                <w:lang w:val="en-GB" w:eastAsia="cs-CZ"/>
              </w:rPr>
              <w:t>Investments should be made</w:t>
            </w:r>
            <w:r w:rsidRPr="00C67FEB">
              <w:rPr>
                <w:rFonts w:ascii="Times New Roman" w:eastAsia="Times New Roman" w:hAnsi="Times New Roman" w:cs="Times New Roman"/>
                <w:sz w:val="24"/>
                <w:szCs w:val="24"/>
                <w:lang w:val="en-GB" w:eastAsia="cs-CZ"/>
              </w:rPr>
              <w:t xml:space="preserve"> in financial products - stocks, bonds or funds, but the </w:t>
            </w:r>
            <w:r w:rsidRPr="00C67FEB" w:rsidR="00B10147">
              <w:rPr>
                <w:rFonts w:ascii="Times New Roman" w:eastAsia="Times New Roman" w:hAnsi="Times New Roman" w:cs="Times New Roman"/>
                <w:sz w:val="24"/>
                <w:szCs w:val="24"/>
                <w:lang w:val="en-GB" w:eastAsia="cs-CZ"/>
              </w:rPr>
              <w:t>account</w:t>
            </w:r>
            <w:r w:rsidRPr="00C67FEB">
              <w:rPr>
                <w:rFonts w:ascii="Times New Roman" w:eastAsia="Times New Roman" w:hAnsi="Times New Roman" w:cs="Times New Roman"/>
                <w:sz w:val="24"/>
                <w:szCs w:val="24"/>
                <w:lang w:val="en-GB" w:eastAsia="cs-CZ"/>
              </w:rPr>
              <w:t xml:space="preserve"> is intended also for saving money in a bank account with the intention to separate the assets and the special register using capital market instruments, if possible, reproduce</w:t>
            </w:r>
            <w:r w:rsidRPr="00C67FEB" w:rsidR="00933D4A">
              <w:rPr>
                <w:rFonts w:ascii="Times New Roman" w:eastAsia="Times New Roman" w:hAnsi="Times New Roman" w:cs="Times New Roman"/>
                <w:sz w:val="24"/>
                <w:szCs w:val="24"/>
                <w:lang w:val="en-GB" w:eastAsia="cs-CZ"/>
              </w:rPr>
              <w:t xml:space="preserve"> the assets</w:t>
            </w:r>
            <w:r w:rsidRPr="00C67FEB">
              <w:rPr>
                <w:rFonts w:ascii="Times New Roman" w:eastAsia="Times New Roman" w:hAnsi="Times New Roman" w:cs="Times New Roman"/>
                <w:sz w:val="24"/>
                <w:szCs w:val="24"/>
                <w:lang w:val="en-GB" w:eastAsia="cs-CZ"/>
              </w:rPr>
              <w:t xml:space="preserve"> and use the </w:t>
            </w:r>
            <w:r w:rsidRPr="00C67FEB" w:rsidR="00933D4A">
              <w:rPr>
                <w:rFonts w:ascii="Times New Roman" w:eastAsia="Times New Roman" w:hAnsi="Times New Roman" w:cs="Times New Roman"/>
                <w:sz w:val="24"/>
                <w:szCs w:val="24"/>
                <w:lang w:val="en-GB" w:eastAsia="cs-CZ"/>
              </w:rPr>
              <w:t xml:space="preserve">account in a </w:t>
            </w:r>
            <w:r w:rsidRPr="00C67FEB">
              <w:rPr>
                <w:rFonts w:ascii="Times New Roman" w:eastAsia="Times New Roman" w:hAnsi="Times New Roman" w:cs="Times New Roman"/>
                <w:sz w:val="24"/>
                <w:szCs w:val="24"/>
                <w:lang w:val="en-GB" w:eastAsia="cs-CZ"/>
              </w:rPr>
              <w:t>post-productive age as a retirement enhancement</w:t>
            </w:r>
            <w:r w:rsidRPr="00C67FEB" w:rsidR="00933D4A">
              <w:rPr>
                <w:rFonts w:ascii="Times New Roman" w:eastAsia="Times New Roman" w:hAnsi="Times New Roman" w:cs="Times New Roman"/>
                <w:sz w:val="24"/>
                <w:szCs w:val="24"/>
                <w:lang w:val="en-GB" w:eastAsia="cs-CZ"/>
              </w:rPr>
              <w:t xml:space="preserve"> of assets</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Although this variant has a negative impact on the state budget, it has a positive impact on the savings of Czech households. Other positive aspects that have led to a decision under this legislative solution are the positive social impacts in relation to active and responsible investing and managing </w:t>
            </w:r>
            <w:r w:rsidRPr="00C67FEB" w:rsidR="00933D4A">
              <w:rPr>
                <w:rFonts w:ascii="Times New Roman" w:eastAsia="Times New Roman" w:hAnsi="Times New Roman" w:cs="Times New Roman"/>
                <w:sz w:val="24"/>
                <w:szCs w:val="24"/>
                <w:lang w:val="en-GB" w:eastAsia="cs-CZ"/>
              </w:rPr>
              <w:t>of</w:t>
            </w:r>
            <w:r w:rsidRPr="00C67FEB">
              <w:rPr>
                <w:rFonts w:ascii="Times New Roman" w:eastAsia="Times New Roman" w:hAnsi="Times New Roman" w:cs="Times New Roman"/>
                <w:sz w:val="24"/>
                <w:szCs w:val="24"/>
                <w:lang w:val="en-GB" w:eastAsia="cs-CZ"/>
              </w:rPr>
              <w:t xml:space="preserve"> savings through this type of account, and last but not least, an increase in financial literacy is also a clear positive.</w:t>
            </w:r>
            <w:r w:rsidR="0087579E">
              <w:rPr>
                <w:rFonts w:ascii="Times New Roman" w:eastAsia="Times New Roman" w:hAnsi="Times New Roman" w:cs="Times New Roman"/>
                <w:sz w:val="24"/>
                <w:szCs w:val="24"/>
                <w:lang w:val="en-GB" w:eastAsia="cs-CZ"/>
              </w:rPr>
              <w:t xml:space="preserve"> </w:t>
            </w:r>
          </w:p>
          <w:p w:rsidR="00403DFA" w:rsidRPr="00DE785C" w:rsidP="0087579E">
            <w:pPr>
              <w:keepNext/>
              <w:spacing w:before="120" w:after="20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Summary of impacts of the chosen Option</w:t>
            </w:r>
            <w:r w:rsidRPr="00DE785C">
              <w:rPr>
                <w:rFonts w:ascii="Times New Roman" w:eastAsia="Times New Roman" w:hAnsi="Times New Roman" w:cs="Times New Roman"/>
                <w:b/>
                <w:bCs/>
                <w:sz w:val="24"/>
                <w:szCs w:val="24"/>
                <w:lang w:val="en-GB" w:eastAsia="cs-CZ"/>
              </w:rPr>
              <w:t xml:space="preserve"> 1</w:t>
            </w:r>
          </w:p>
          <w:tbl>
            <w:tblPr>
              <w:tblW w:w="5000" w:type="pct"/>
              <w:tblCellMar>
                <w:left w:w="0" w:type="dxa"/>
                <w:right w:w="0" w:type="dxa"/>
              </w:tblCellMar>
              <w:tblLook w:val="04A0"/>
            </w:tblPr>
            <w:tblGrid>
              <w:gridCol w:w="5358"/>
              <w:gridCol w:w="4265"/>
            </w:tblGrid>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DE785C"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DE785C">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2216"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DE785C"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color w:val="FFFFFF"/>
                      <w:sz w:val="24"/>
                      <w:szCs w:val="24"/>
                      <w:lang w:val="en-GB" w:eastAsia="cs-CZ"/>
                    </w:rPr>
                    <w:t>Cost</w:t>
                  </w:r>
                  <w:r w:rsidRPr="00DE785C" w:rsidR="00933D4A">
                    <w:rPr>
                      <w:rFonts w:ascii="Times New Roman" w:eastAsia="Times New Roman" w:hAnsi="Times New Roman" w:cs="Times New Roman"/>
                      <w:b/>
                      <w:bCs/>
                      <w:color w:val="FFFFFF"/>
                      <w:sz w:val="24"/>
                      <w:szCs w:val="24"/>
                      <w:lang w:val="en-GB" w:eastAsia="cs-CZ"/>
                    </w:rPr>
                    <w:t>s</w:t>
                  </w:r>
                  <w:r w:rsidRPr="00DE785C">
                    <w:rPr>
                      <w:rFonts w:ascii="Times New Roman" w:eastAsia="Times New Roman" w:hAnsi="Times New Roman" w:cs="Times New Roman"/>
                      <w:b/>
                      <w:bCs/>
                      <w:color w:val="FFFFFF"/>
                      <w:sz w:val="24"/>
                      <w:szCs w:val="24"/>
                      <w:lang w:val="en-GB" w:eastAsia="cs-CZ"/>
                    </w:rPr>
                    <w:t xml:space="preserve"> / n</w:t>
                  </w:r>
                  <w:r w:rsidRPr="00DE785C" w:rsidR="00933D4A">
                    <w:rPr>
                      <w:rFonts w:ascii="Times New Roman" w:eastAsia="Times New Roman" w:hAnsi="Times New Roman" w:cs="Times New Roman"/>
                      <w:b/>
                      <w:bCs/>
                      <w:color w:val="FFFFFF"/>
                      <w:sz w:val="24"/>
                      <w:szCs w:val="24"/>
                      <w:lang w:val="en-GB" w:eastAsia="cs-CZ"/>
                    </w:rPr>
                    <w:t>egatives</w:t>
                  </w:r>
                </w:p>
              </w:tc>
            </w:tr>
            <w:tr>
              <w:tblPrEx>
                <w:tblW w:w="5000" w:type="pct"/>
                <w:tblCellMar>
                  <w:left w:w="0" w:type="dxa"/>
                  <w:right w:w="0" w:type="dxa"/>
                </w:tblCellMar>
                <w:tblLook w:val="04A0"/>
              </w:tblPrEx>
              <w:tc>
                <w:tcPr>
                  <w:tcW w:w="27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savings of Czech households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capital market development</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variability in the selection of savings products for old age</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ability to manage your investments directly and responsibly</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increase</w:t>
                  </w:r>
                  <w:r w:rsidRPr="00C67FEB" w:rsidR="00933D4A">
                    <w:rPr>
                      <w:rFonts w:ascii="Times New Roman" w:eastAsia="Times New Roman" w:hAnsi="Times New Roman" w:cs="Times New Roman"/>
                      <w:sz w:val="24"/>
                      <w:szCs w:val="24"/>
                      <w:lang w:val="en-GB" w:eastAsia="cs-CZ"/>
                    </w:rPr>
                    <w:t xml:space="preserve"> in</w:t>
                  </w:r>
                  <w:r w:rsidRPr="00C67FEB">
                    <w:rPr>
                      <w:rFonts w:ascii="Times New Roman" w:eastAsia="Times New Roman" w:hAnsi="Times New Roman" w:cs="Times New Roman"/>
                      <w:sz w:val="24"/>
                      <w:szCs w:val="24"/>
                      <w:lang w:val="en-GB" w:eastAsia="cs-CZ"/>
                    </w:rPr>
                    <w:t xml:space="preserve"> financial literacy</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possibility of alternative dispute resolution through </w:t>
                  </w:r>
                  <w:r w:rsidRPr="00C67FEB" w:rsidR="00933D4A">
                    <w:rPr>
                      <w:rFonts w:ascii="Times New Roman" w:eastAsia="Times New Roman" w:hAnsi="Times New Roman" w:cs="Times New Roman"/>
                      <w:sz w:val="24"/>
                      <w:szCs w:val="24"/>
                      <w:lang w:val="en-GB" w:eastAsia="cs-CZ"/>
                    </w:rPr>
                    <w:t>the FA</w:t>
                  </w:r>
                  <w:r w:rsidRPr="00C67FEB">
                    <w:rPr>
                      <w:rFonts w:ascii="Times New Roman" w:eastAsia="Times New Roman" w:hAnsi="Times New Roman" w:cs="Times New Roman"/>
                      <w:sz w:val="24"/>
                      <w:szCs w:val="24"/>
                      <w:lang w:val="en-GB" w:eastAsia="cs-CZ"/>
                    </w:rPr>
                    <w:t xml:space="preserve">, relief of civil courts (decrease of their </w:t>
                  </w:r>
                  <w:r w:rsidRPr="00C67FEB" w:rsidR="00933D4A">
                    <w:rPr>
                      <w:rFonts w:ascii="Times New Roman" w:eastAsia="Times New Roman" w:hAnsi="Times New Roman" w:cs="Times New Roman"/>
                      <w:sz w:val="24"/>
                      <w:szCs w:val="24"/>
                      <w:lang w:val="en-GB" w:eastAsia="cs-CZ"/>
                    </w:rPr>
                    <w:t>use</w:t>
                  </w:r>
                  <w:r w:rsidRPr="00C67FEB">
                    <w:rPr>
                      <w:rFonts w:ascii="Times New Roman" w:eastAsia="Times New Roman" w:hAnsi="Times New Roman" w:cs="Times New Roman"/>
                      <w:sz w:val="24"/>
                      <w:szCs w:val="24"/>
                      <w:lang w:val="en-GB" w:eastAsia="cs-CZ"/>
                    </w:rPr>
                    <w:t>) from a possible dispute</w:t>
                  </w:r>
                  <w:r w:rsidR="0087579E">
                    <w:rPr>
                      <w:rFonts w:ascii="Times New Roman" w:eastAsia="Times New Roman" w:hAnsi="Times New Roman" w:cs="Times New Roman"/>
                      <w:sz w:val="24"/>
                      <w:szCs w:val="24"/>
                      <w:lang w:val="en-GB" w:eastAsia="cs-CZ"/>
                    </w:rPr>
                    <w:t xml:space="preserve"> </w:t>
                  </w:r>
                </w:p>
              </w:tc>
              <w:tc>
                <w:tcPr>
                  <w:tcW w:w="2216" w:type="pct"/>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burden on public budgets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the need to adapt </w:t>
                  </w:r>
                  <w:r w:rsidRPr="00C67FEB" w:rsidR="00933D4A">
                    <w:rPr>
                      <w:rFonts w:ascii="Times New Roman" w:eastAsia="Times New Roman" w:hAnsi="Times New Roman" w:cs="Times New Roman"/>
                      <w:sz w:val="24"/>
                      <w:szCs w:val="24"/>
                      <w:lang w:val="en-GB" w:eastAsia="cs-CZ"/>
                    </w:rPr>
                    <w:t xml:space="preserve">to </w:t>
                  </w:r>
                  <w:r w:rsidRPr="00C67FEB">
                    <w:rPr>
                      <w:rFonts w:ascii="Times New Roman" w:eastAsia="Times New Roman" w:hAnsi="Times New Roman" w:cs="Times New Roman"/>
                      <w:sz w:val="24"/>
                      <w:szCs w:val="24"/>
                      <w:lang w:val="en-GB" w:eastAsia="cs-CZ"/>
                    </w:rPr>
                    <w:t>the new legislation</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FA </w:t>
                  </w:r>
                  <w:r w:rsidRPr="00C67FEB" w:rsidR="00933D4A">
                    <w:rPr>
                      <w:rFonts w:ascii="Times New Roman" w:eastAsia="Times New Roman" w:hAnsi="Times New Roman" w:cs="Times New Roman"/>
                      <w:sz w:val="24"/>
                      <w:szCs w:val="24"/>
                      <w:lang w:val="en-GB" w:eastAsia="cs-CZ"/>
                    </w:rPr>
                    <w:t>use</w:t>
                  </w:r>
                  <w:r w:rsidRPr="00C67FEB">
                    <w:rPr>
                      <w:rFonts w:ascii="Times New Roman" w:eastAsia="Times New Roman" w:hAnsi="Times New Roman" w:cs="Times New Roman"/>
                      <w:sz w:val="24"/>
                      <w:szCs w:val="24"/>
                      <w:lang w:val="en-GB" w:eastAsia="cs-CZ"/>
                    </w:rPr>
                    <w:t xml:space="preserve">, higher risk of </w:t>
                  </w:r>
                  <w:r w:rsidRPr="00C67FEB" w:rsidR="00933D4A">
                    <w:rPr>
                      <w:rFonts w:ascii="Times New Roman" w:eastAsia="Times New Roman" w:hAnsi="Times New Roman" w:cs="Times New Roman"/>
                      <w:sz w:val="24"/>
                      <w:szCs w:val="24"/>
                      <w:lang w:val="en-GB" w:eastAsia="cs-CZ"/>
                    </w:rPr>
                    <w:t>use</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administrative costs</w:t>
                  </w:r>
                  <w:r w:rsidR="0087579E">
                    <w:rPr>
                      <w:rFonts w:ascii="Times New Roman" w:eastAsia="Times New Roman" w:hAnsi="Times New Roman" w:cs="Times New Roman"/>
                      <w:sz w:val="14"/>
                      <w:szCs w:val="14"/>
                      <w:lang w:val="en-GB" w:eastAsia="cs-CZ"/>
                    </w:rPr>
                    <w:t xml:space="preserve"> </w:t>
                  </w:r>
                </w:p>
              </w:tc>
            </w:tr>
            <w:tr>
              <w:tblPrEx>
                <w:tblW w:w="5000" w:type="pct"/>
                <w:tblCellMar>
                  <w:left w:w="0" w:type="dxa"/>
                  <w:right w:w="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3DFA" w:rsidRPr="00C67FEB" w:rsidP="0087579E">
                  <w:pPr>
                    <w:keepNext/>
                    <w:spacing w:after="0" w:line="240" w:lineRule="auto"/>
                    <w:rPr>
                      <w:rFonts w:ascii="Times New Roman" w:eastAsia="Times New Roman" w:hAnsi="Times New Roman" w:cs="Times New Roman"/>
                      <w:sz w:val="24"/>
                      <w:szCs w:val="24"/>
                      <w:lang w:val="en-GB" w:eastAsia="cs-CZ"/>
                    </w:rPr>
                  </w:pPr>
                </w:p>
              </w:tc>
              <w:tc>
                <w:tcPr>
                  <w:tcW w:w="2216"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 Do you agree to join taxpayer limits and to extend their application to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2) Do you agree to extend the application of tax depreciation in relation to employer's contributions </w:t>
                  </w:r>
                  <w:r w:rsidRPr="00C67FEB" w:rsidR="00C10C88">
                    <w:rPr>
                      <w:rFonts w:ascii="Times New Roman" w:eastAsia="Times New Roman" w:hAnsi="Times New Roman" w:cs="Times New Roman"/>
                      <w:color w:val="FFFFFF"/>
                      <w:sz w:val="24"/>
                      <w:szCs w:val="24"/>
                      <w:lang w:val="en-GB" w:eastAsia="cs-CZ"/>
                    </w:rPr>
                    <w:t>to the 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3) Do you agree to apply the 60 + 60 rule to the </w:t>
                  </w:r>
                  <w:r w:rsidRPr="00C67FEB" w:rsidR="00C10C88">
                    <w:rPr>
                      <w:rFonts w:ascii="Times New Roman" w:eastAsia="Times New Roman" w:hAnsi="Times New Roman" w:cs="Times New Roman"/>
                      <w:color w:val="FFFFFF"/>
                      <w:sz w:val="24"/>
                      <w:szCs w:val="24"/>
                      <w:lang w:val="en-GB" w:eastAsia="cs-CZ"/>
                    </w:rPr>
                    <w:t>L</w:t>
                  </w:r>
                  <w:r w:rsidRPr="00C67FEB">
                    <w:rPr>
                      <w:rFonts w:ascii="Times New Roman" w:eastAsia="Times New Roman" w:hAnsi="Times New Roman" w:cs="Times New Roman"/>
                      <w:color w:val="FFFFFF"/>
                      <w:sz w:val="24"/>
                      <w:szCs w:val="24"/>
                      <w:lang w:val="en-GB" w:eastAsia="cs-CZ"/>
                    </w:rPr>
                    <w:t>ong-</w:t>
                  </w:r>
                  <w:r w:rsidRPr="00C67FEB" w:rsidR="00C10C88">
                    <w:rPr>
                      <w:rFonts w:ascii="Times New Roman" w:eastAsia="Times New Roman" w:hAnsi="Times New Roman" w:cs="Times New Roman"/>
                      <w:color w:val="FFFFFF"/>
                      <w:sz w:val="24"/>
                      <w:szCs w:val="24"/>
                      <w:lang w:val="en-GB" w:eastAsia="cs-CZ"/>
                    </w:rPr>
                    <w:t>T</w:t>
                  </w:r>
                  <w:r w:rsidRPr="00C67FEB">
                    <w:rPr>
                      <w:rFonts w:ascii="Times New Roman" w:eastAsia="Times New Roman" w:hAnsi="Times New Roman" w:cs="Times New Roman"/>
                      <w:color w:val="FFFFFF"/>
                      <w:sz w:val="24"/>
                      <w:szCs w:val="24"/>
                      <w:lang w:val="en-GB" w:eastAsia="cs-CZ"/>
                    </w:rPr>
                    <w:t xml:space="preserve">erm </w:t>
                  </w:r>
                  <w:r w:rsidRPr="00C67FEB" w:rsidR="00C10C88">
                    <w:rPr>
                      <w:rFonts w:ascii="Times New Roman" w:eastAsia="Times New Roman" w:hAnsi="Times New Roman" w:cs="Times New Roman"/>
                      <w:color w:val="FFFFFF"/>
                      <w:sz w:val="24"/>
                      <w:szCs w:val="24"/>
                      <w:lang w:val="en-GB" w:eastAsia="cs-CZ"/>
                    </w:rPr>
                    <w:t>I</w:t>
                  </w:r>
                  <w:r w:rsidRPr="00C67FEB">
                    <w:rPr>
                      <w:rFonts w:ascii="Times New Roman" w:eastAsia="Times New Roman" w:hAnsi="Times New Roman" w:cs="Times New Roman"/>
                      <w:color w:val="FFFFFF"/>
                      <w:sz w:val="24"/>
                      <w:szCs w:val="24"/>
                      <w:lang w:val="en-GB" w:eastAsia="cs-CZ"/>
                    </w:rPr>
                    <w:t xml:space="preserve">nvestment </w:t>
                  </w:r>
                  <w:r w:rsidRPr="00C67FEB" w:rsidR="00C10C88">
                    <w:rPr>
                      <w:rFonts w:ascii="Times New Roman" w:eastAsia="Times New Roman" w:hAnsi="Times New Roman" w:cs="Times New Roman"/>
                      <w:color w:val="FFFFFF"/>
                      <w:sz w:val="24"/>
                      <w:szCs w:val="24"/>
                      <w:lang w:val="en-GB" w:eastAsia="cs-CZ"/>
                    </w:rPr>
                    <w:t>A</w:t>
                  </w:r>
                  <w:r w:rsidRPr="00C67FEB">
                    <w:rPr>
                      <w:rFonts w:ascii="Times New Roman" w:eastAsia="Times New Roman" w:hAnsi="Times New Roman" w:cs="Times New Roman"/>
                      <w:color w:val="FFFFFF"/>
                      <w:sz w:val="24"/>
                      <w:szCs w:val="24"/>
                      <w:lang w:val="en-GB" w:eastAsia="cs-CZ"/>
                    </w:rPr>
                    <w:t>ccount?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4) Do you consider it necessary to revise the 60 + 60 rule?</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5) Do you agree with the name of this new product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6) Do you agree to define the circle of persons who will be able to maintain a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7)</w:t>
                  </w:r>
                  <w:r w:rsidRPr="00C67FEB">
                    <w:rPr>
                      <w:rFonts w:ascii="Times New Roman" w:eastAsia="Times New Roman" w:hAnsi="Times New Roman" w:cs="Times New Roman"/>
                      <w:color w:val="FFFFFF"/>
                      <w:sz w:val="24"/>
                      <w:szCs w:val="24"/>
                      <w:lang w:val="en-GB" w:eastAsia="cs-CZ"/>
                    </w:rPr>
                    <w:t xml:space="preserve"> Do you agree with the definition of assets that can be registered in the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8)</w:t>
                  </w:r>
                  <w:r w:rsidRPr="00C67FEB">
                    <w:rPr>
                      <w:rFonts w:ascii="Times New Roman" w:eastAsia="Times New Roman" w:hAnsi="Times New Roman" w:cs="Times New Roman"/>
                      <w:color w:val="FFFFFF"/>
                      <w:sz w:val="24"/>
                      <w:szCs w:val="24"/>
                      <w:lang w:val="en-GB" w:eastAsia="cs-CZ"/>
                    </w:rPr>
                    <w:t xml:space="preserve"> Do you agree with the proposed treatment of asset income in the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10)</w:t>
                  </w:r>
                  <w:r w:rsidRPr="00C67FEB">
                    <w:rPr>
                      <w:rFonts w:ascii="Times New Roman" w:eastAsia="Times New Roman" w:hAnsi="Times New Roman" w:cs="Times New Roman"/>
                      <w:color w:val="FFFFFF"/>
                      <w:sz w:val="24"/>
                      <w:szCs w:val="24"/>
                      <w:lang w:val="en-GB" w:eastAsia="cs-CZ"/>
                    </w:rPr>
                    <w:t xml:space="preserve"> Do you agree with the proposed solution to the distribution of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w:t>
                  </w:r>
                </w:p>
                <w:p w:rsidR="00933D4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11)</w:t>
                  </w:r>
                  <w:r w:rsidRPr="00C67FEB">
                    <w:rPr>
                      <w:rFonts w:ascii="Times New Roman" w:eastAsia="Times New Roman" w:hAnsi="Times New Roman" w:cs="Times New Roman"/>
                      <w:color w:val="FFFFFF"/>
                      <w:sz w:val="24"/>
                      <w:szCs w:val="24"/>
                      <w:lang w:val="en-GB" w:eastAsia="cs-CZ"/>
                    </w:rPr>
                    <w:t xml:space="preserve"> Do you consider that there are other issues that need to be addressed in relation to the </w:t>
                  </w:r>
                  <w:r w:rsidRPr="00C67FEB" w:rsidR="00C10C88">
                    <w:rPr>
                      <w:rFonts w:ascii="Times New Roman" w:eastAsia="Times New Roman" w:hAnsi="Times New Roman" w:cs="Times New Roman"/>
                      <w:color w:val="FFFFFF"/>
                      <w:sz w:val="24"/>
                      <w:szCs w:val="24"/>
                      <w:lang w:val="en-GB" w:eastAsia="cs-CZ"/>
                    </w:rPr>
                    <w:t>Long-Term Investment Account</w:t>
                  </w:r>
                  <w:r w:rsidRPr="00C67FEB">
                    <w:rPr>
                      <w:rFonts w:ascii="Times New Roman" w:eastAsia="Times New Roman" w:hAnsi="Times New Roman" w:cs="Times New Roman"/>
                      <w:color w:val="FFFFFF"/>
                      <w:sz w:val="24"/>
                      <w:szCs w:val="24"/>
                      <w:lang w:val="en-GB" w:eastAsia="cs-CZ"/>
                    </w:rPr>
                    <w:t>? Ideally, in relation to these questions, also suggest your preferred solution.</w:t>
                  </w:r>
                </w:p>
                <w:p w:rsidR="00403DFA" w:rsidRPr="00C67FEB" w:rsidP="0087579E">
                  <w:pPr>
                    <w:keepNext/>
                    <w:spacing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12)</w:t>
                  </w:r>
                  <w:r w:rsidRPr="00C67FEB" w:rsidR="00933D4A">
                    <w:rPr>
                      <w:rFonts w:ascii="Times New Roman" w:eastAsia="Times New Roman" w:hAnsi="Times New Roman" w:cs="Times New Roman"/>
                      <w:color w:val="FFFFFF"/>
                      <w:sz w:val="24"/>
                      <w:szCs w:val="24"/>
                      <w:lang w:val="en-GB" w:eastAsia="cs-CZ"/>
                    </w:rPr>
                    <w:t xml:space="preserve"> Do you think that other possibilities should be considered in the future, how should the Czech Republic support saving </w:t>
                  </w:r>
                  <w:r w:rsidR="00DE785C">
                    <w:rPr>
                      <w:rFonts w:ascii="Times New Roman" w:eastAsia="Times New Roman" w:hAnsi="Times New Roman" w:cs="Times New Roman"/>
                      <w:color w:val="FFFFFF"/>
                      <w:sz w:val="24"/>
                      <w:szCs w:val="24"/>
                      <w:lang w:val="en-GB" w:eastAsia="cs-CZ"/>
                    </w:rPr>
                    <w:t xml:space="preserve">of </w:t>
                  </w:r>
                  <w:r w:rsidRPr="00C67FEB" w:rsidR="00933D4A">
                    <w:rPr>
                      <w:rFonts w:ascii="Times New Roman" w:eastAsia="Times New Roman" w:hAnsi="Times New Roman" w:cs="Times New Roman"/>
                      <w:color w:val="FFFFFF"/>
                      <w:sz w:val="24"/>
                      <w:szCs w:val="24"/>
                      <w:lang w:val="en-GB" w:eastAsia="cs-CZ"/>
                    </w:rPr>
                    <w:t>citizens for old age? If so, state the main features and any foreign inspiration (taking into account the impact of the chosen solution on the state budget).</w:t>
                  </w:r>
                </w:p>
              </w:tc>
            </w:tr>
          </w:tbl>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Results of the consultation</w:t>
            </w:r>
          </w:p>
          <w:p w:rsidR="00403DFA" w:rsidRPr="00DE785C" w:rsidP="0087579E">
            <w:pPr>
              <w:keepNext/>
              <w:spacing w:before="120" w:after="120" w:line="240" w:lineRule="auto"/>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In general:</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Supervisory Authority</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decision on the introduction of this new product and its possible tax support is a political issue, which is the responsibility of the Ministry of Finance and the Government of the Czech Republic, and therefore we take a neutral stance on the possible creation of the “Long</w:t>
            </w:r>
            <w:r w:rsidRPr="00C67FEB" w:rsidR="0067590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Term Investment Account” regime. However, we would like to draw your attention to facts that should be taken into account before making this decision.</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To sum up, the Czech Republic has four levels of tax support for pension products: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Level 1 - </w:t>
            </w:r>
            <w:r w:rsidRPr="00C67FEB" w:rsidR="00A50813">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tate contributions to pension products:</w:t>
            </w:r>
          </w:p>
          <w:p w:rsidR="00403DFA" w:rsidRPr="00C67FEB" w:rsidP="0087579E">
            <w:pPr>
              <w:pStyle w:val="ListParagraph"/>
              <w:keepNext/>
              <w:numPr>
                <w:ilvl w:val="0"/>
                <w:numId w:val="26"/>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w:t>
            </w:r>
            <w:r w:rsidRPr="00C67FEB">
              <w:rPr>
                <w:rFonts w:ascii="Times New Roman" w:eastAsia="Times New Roman" w:hAnsi="Times New Roman" w:cs="Times New Roman"/>
                <w:i/>
                <w:iCs/>
                <w:sz w:val="24"/>
                <w:szCs w:val="24"/>
                <w:lang w:val="en-GB" w:eastAsia="cs-CZ"/>
              </w:rPr>
              <w:t xml:space="preserve"> 2018 the Ministry of Finance </w:t>
            </w:r>
            <w:r w:rsidRPr="00C67FEB" w:rsidR="00A50813">
              <w:rPr>
                <w:rFonts w:ascii="Times New Roman" w:eastAsia="Times New Roman" w:hAnsi="Times New Roman" w:cs="Times New Roman"/>
                <w:i/>
                <w:iCs/>
                <w:sz w:val="24"/>
                <w:szCs w:val="24"/>
                <w:lang w:val="en-GB" w:eastAsia="cs-CZ"/>
              </w:rPr>
              <w:t>transferred</w:t>
            </w:r>
            <w:r w:rsidRPr="00C67FEB">
              <w:rPr>
                <w:rFonts w:ascii="Times New Roman" w:eastAsia="Times New Roman" w:hAnsi="Times New Roman" w:cs="Times New Roman"/>
                <w:i/>
                <w:iCs/>
                <w:sz w:val="24"/>
                <w:szCs w:val="24"/>
                <w:lang w:val="en-GB" w:eastAsia="cs-CZ"/>
              </w:rPr>
              <w:t xml:space="preserve"> the state pension contribution (transformed funds) and additional pension savings (</w:t>
            </w:r>
            <w:r w:rsidRPr="00C67FEB" w:rsidR="00675901">
              <w:rPr>
                <w:rFonts w:ascii="Times New Roman" w:eastAsia="Times New Roman" w:hAnsi="Times New Roman" w:cs="Times New Roman"/>
                <w:i/>
                <w:iCs/>
                <w:sz w:val="24"/>
                <w:szCs w:val="24"/>
                <w:lang w:val="en-GB" w:eastAsia="cs-CZ"/>
              </w:rPr>
              <w:t>participation</w:t>
            </w:r>
            <w:r w:rsidRPr="00C67FEB">
              <w:rPr>
                <w:rFonts w:ascii="Times New Roman" w:eastAsia="Times New Roman" w:hAnsi="Times New Roman" w:cs="Times New Roman"/>
                <w:i/>
                <w:iCs/>
                <w:sz w:val="24"/>
                <w:szCs w:val="24"/>
                <w:lang w:val="en-GB" w:eastAsia="cs-CZ"/>
              </w:rPr>
              <w:t xml:space="preserve"> funds) in the amount of 7.035 billion CZK. It is not known that such contributions exist in any state (except the Czech Republic).</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Level 2</w:t>
            </w:r>
            <w:r w:rsidRPr="00C67FEB">
              <w:rPr>
                <w:rFonts w:ascii="Times New Roman" w:eastAsia="Times New Roman" w:hAnsi="Times New Roman" w:cs="Times New Roman"/>
                <w:i/>
                <w:iCs/>
                <w:sz w:val="24"/>
                <w:szCs w:val="24"/>
                <w:lang w:val="en-GB" w:eastAsia="cs-CZ"/>
              </w:rPr>
              <w:t xml:space="preserve"> - tax relief for the participant:</w:t>
            </w:r>
          </w:p>
          <w:p w:rsidR="00403DFA" w:rsidRPr="00C67FEB" w:rsidP="0087579E">
            <w:pPr>
              <w:pStyle w:val="ListParagraph"/>
              <w:keepNext/>
              <w:numPr>
                <w:ilvl w:val="0"/>
                <w:numId w:val="26"/>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exemption from personal income tax on certain benefits from pension funds, private life insurance and pension insurance,</w:t>
            </w:r>
            <w:r w:rsidR="0087579E">
              <w:rPr>
                <w:rFonts w:ascii="Times New Roman" w:eastAsia="Times New Roman" w:hAnsi="Times New Roman" w:cs="Times New Roman"/>
                <w:i/>
                <w:iCs/>
                <w:sz w:val="24"/>
                <w:szCs w:val="24"/>
                <w:lang w:val="en-GB" w:eastAsia="cs-CZ"/>
              </w:rPr>
              <w:t xml:space="preserve"> </w:t>
            </w:r>
          </w:p>
          <w:p w:rsidR="00403DFA" w:rsidRPr="00C67FEB" w:rsidP="0087579E">
            <w:pPr>
              <w:pStyle w:val="ListParagraph"/>
              <w:keepNext/>
              <w:numPr>
                <w:ilvl w:val="0"/>
                <w:numId w:val="26"/>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deduction from the personal income tax base for contributions to pension funds and pension insurance, up to CZK 24,000 per year, </w:t>
            </w:r>
          </w:p>
          <w:p w:rsidR="00403DFA" w:rsidRPr="00C67FEB" w:rsidP="0087579E">
            <w:pPr>
              <w:pStyle w:val="ListParagraph"/>
              <w:keepNext/>
              <w:numPr>
                <w:ilvl w:val="0"/>
                <w:numId w:val="26"/>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deduction from the personal income tax base in the case of private life insurance contribution, up to CZK 24,000 per year, </w:t>
            </w:r>
          </w:p>
          <w:p w:rsidR="00403DFA" w:rsidRPr="00C67FEB" w:rsidP="0087579E">
            <w:pPr>
              <w:pStyle w:val="ListParagraph"/>
              <w:keepNext/>
              <w:numPr>
                <w:ilvl w:val="0"/>
                <w:numId w:val="26"/>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w:t>
            </w:r>
            <w:r w:rsidRPr="00C67FEB">
              <w:rPr>
                <w:rFonts w:ascii="Times New Roman" w:eastAsia="Times New Roman" w:hAnsi="Times New Roman" w:cs="Times New Roman"/>
                <w:i/>
                <w:iCs/>
                <w:sz w:val="24"/>
                <w:szCs w:val="24"/>
                <w:lang w:val="en-GB" w:eastAsia="cs-CZ"/>
              </w:rPr>
              <w:t xml:space="preserve"> employer's contribution to pension funds, private life insurance and pension insurance up to CZK 50,000 per year is exempt from personal income tax and is not subject to the employee's social security or health insurance contributions.</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Level 3 - tax relief for employers:</w:t>
            </w:r>
          </w:p>
          <w:p w:rsidR="00403DFA" w:rsidRPr="00C67FEB" w:rsidP="0087579E">
            <w:pPr>
              <w:pStyle w:val="ListParagraph"/>
              <w:keepNext/>
              <w:numPr>
                <w:ilvl w:val="0"/>
                <w:numId w:val="27"/>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w:t>
            </w:r>
            <w:r w:rsidRPr="00C67FEB">
              <w:rPr>
                <w:rFonts w:ascii="Times New Roman" w:eastAsia="Times New Roman" w:hAnsi="Times New Roman" w:cs="Times New Roman"/>
                <w:i/>
                <w:iCs/>
                <w:sz w:val="24"/>
                <w:szCs w:val="24"/>
                <w:lang w:val="en-GB" w:eastAsia="cs-CZ"/>
              </w:rPr>
              <w:t xml:space="preserve"> employer's contribution to pension funds, private life insurance and pension insurance up to CZK 50,000 per employee per year is not subject to employer's social or health insurance.</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Level 4 - reduced income tax rate of pension funds</w:t>
            </w:r>
          </w:p>
          <w:p w:rsidR="00403DFA" w:rsidRPr="00C67FEB" w:rsidP="0087579E">
            <w:pPr>
              <w:pStyle w:val="ListParagraph"/>
              <w:keepNext/>
              <w:numPr>
                <w:ilvl w:val="0"/>
                <w:numId w:val="27"/>
              </w:numPr>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w:t>
            </w:r>
            <w:r w:rsidRPr="00C67FEB">
              <w:rPr>
                <w:rFonts w:ascii="Times New Roman" w:eastAsia="Times New Roman" w:hAnsi="Times New Roman" w:cs="Times New Roman"/>
                <w:i/>
                <w:iCs/>
                <w:sz w:val="24"/>
                <w:szCs w:val="24"/>
                <w:lang w:val="en-GB" w:eastAsia="cs-CZ"/>
              </w:rPr>
              <w:t xml:space="preserve"> income tax rate of pension funds is 0% instead of 19%.</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As regards the proposal to apply tax advantages also to the newly introduced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we present the following: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60 + 60</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rule is relevant only for the purposes of deduction from the taxable person's income tax base, not for expulsion of the product (existing pension products include surrender options). If a participant has applied a tax deduction and subsequently </w:t>
            </w:r>
            <w:r w:rsidRPr="00C67FEB" w:rsidR="0074294A">
              <w:rPr>
                <w:rFonts w:ascii="Times New Roman" w:eastAsia="Times New Roman" w:hAnsi="Times New Roman" w:cs="Times New Roman"/>
                <w:i/>
                <w:iCs/>
                <w:sz w:val="24"/>
                <w:szCs w:val="24"/>
                <w:lang w:val="en-GB" w:eastAsia="cs-CZ"/>
              </w:rPr>
              <w:t>terminates the contract with surrender payment</w:t>
            </w:r>
            <w:r w:rsidRPr="00C67FEB">
              <w:rPr>
                <w:rFonts w:ascii="Times New Roman" w:eastAsia="Times New Roman" w:hAnsi="Times New Roman" w:cs="Times New Roman"/>
                <w:i/>
                <w:iCs/>
                <w:sz w:val="24"/>
                <w:szCs w:val="24"/>
                <w:lang w:val="en-GB" w:eastAsia="cs-CZ"/>
              </w:rPr>
              <w:t xml:space="preserve">, it must, with respect to the "60 + 60" rule, </w:t>
            </w:r>
            <w:r w:rsidRPr="00C67FEB" w:rsidR="0074294A">
              <w:rPr>
                <w:rFonts w:ascii="Times New Roman" w:eastAsia="Times New Roman" w:hAnsi="Times New Roman" w:cs="Times New Roman"/>
                <w:i/>
                <w:iCs/>
                <w:sz w:val="24"/>
                <w:szCs w:val="24"/>
                <w:lang w:val="en-GB" w:eastAsia="cs-CZ"/>
              </w:rPr>
              <w:t>tax the</w:t>
            </w:r>
            <w:r w:rsidRPr="00C67FEB">
              <w:rPr>
                <w:rFonts w:ascii="Times New Roman" w:eastAsia="Times New Roman" w:hAnsi="Times New Roman" w:cs="Times New Roman"/>
                <w:i/>
                <w:iCs/>
                <w:sz w:val="24"/>
                <w:szCs w:val="24"/>
                <w:lang w:val="en-GB" w:eastAsia="cs-CZ"/>
              </w:rPr>
              <w:t xml:space="preserve"> funds by which it has reduced its tax base in recent years.</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existence of a European variant of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which is a </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pan-European personal pension product</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(PEPP) under Regulation (EU) 2019/1238, may be taken into account. The regulatory framework for PEPP lays down, inter alia, distribution requirements and information obligations, and allows for a significant expansion of the range of existing pension products.</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British </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individual savings account</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(ISA) and the Slovak </w:t>
            </w:r>
            <w:r w:rsidRPr="00C67FEB" w:rsidR="0074294A">
              <w:rPr>
                <w:rFonts w:ascii="Times New Roman" w:eastAsia="Times New Roman" w:hAnsi="Times New Roman" w:cs="Times New Roman"/>
                <w:i/>
                <w:iCs/>
                <w:sz w:val="24"/>
                <w:szCs w:val="24"/>
                <w:lang w:val="en-GB" w:eastAsia="cs-CZ"/>
              </w:rPr>
              <w:t>“</w:t>
            </w:r>
            <w:r w:rsidRPr="00C67FEB" w:rsidR="0074294A">
              <w:rPr>
                <w:rFonts w:ascii="Times New Roman" w:eastAsia="Times New Roman" w:hAnsi="Times New Roman" w:cs="Times New Roman"/>
                <w:i/>
                <w:iCs/>
                <w:sz w:val="24"/>
                <w:szCs w:val="24"/>
                <w:lang w:val="en-GB" w:eastAsia="cs-CZ"/>
              </w:rPr>
              <w:t>dlhodobé</w:t>
            </w:r>
            <w:r w:rsidRPr="00C67FEB" w:rsidR="0074294A">
              <w:rPr>
                <w:rFonts w:ascii="Times New Roman" w:eastAsia="Times New Roman" w:hAnsi="Times New Roman" w:cs="Times New Roman"/>
                <w:i/>
                <w:iCs/>
                <w:sz w:val="24"/>
                <w:szCs w:val="24"/>
                <w:lang w:val="en-GB" w:eastAsia="cs-CZ"/>
              </w:rPr>
              <w:t xml:space="preserve"> </w:t>
            </w:r>
            <w:r w:rsidRPr="00C67FEB" w:rsidR="0074294A">
              <w:rPr>
                <w:rFonts w:ascii="Times New Roman" w:eastAsia="Times New Roman" w:hAnsi="Times New Roman" w:cs="Times New Roman"/>
                <w:i/>
                <w:iCs/>
                <w:sz w:val="24"/>
                <w:szCs w:val="24"/>
                <w:lang w:val="en-GB" w:eastAsia="cs-CZ"/>
              </w:rPr>
              <w:t>investičné</w:t>
            </w:r>
            <w:r w:rsidRPr="00C67FEB" w:rsidR="0074294A">
              <w:rPr>
                <w:rFonts w:ascii="Times New Roman" w:eastAsia="Times New Roman" w:hAnsi="Times New Roman" w:cs="Times New Roman"/>
                <w:i/>
                <w:iCs/>
                <w:sz w:val="24"/>
                <w:szCs w:val="24"/>
                <w:lang w:val="en-GB" w:eastAsia="cs-CZ"/>
              </w:rPr>
              <w:t xml:space="preserve"> </w:t>
            </w:r>
            <w:r w:rsidRPr="00C67FEB" w:rsidR="0074294A">
              <w:rPr>
                <w:rFonts w:ascii="Times New Roman" w:eastAsia="Times New Roman" w:hAnsi="Times New Roman" w:cs="Times New Roman"/>
                <w:i/>
                <w:iCs/>
                <w:sz w:val="24"/>
                <w:szCs w:val="24"/>
                <w:lang w:val="en-GB" w:eastAsia="cs-CZ"/>
              </w:rPr>
              <w:t>sporenie</w:t>
            </w:r>
            <w:r w:rsidRPr="00C67FEB" w:rsidR="0074294A">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are not pension products. Citizens deposit already taxed money into their accounts, i</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e</w:t>
            </w:r>
            <w:r w:rsidRPr="00C67FEB" w:rsidR="0074294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there is no 1st, 2nd or 3rd degree of tax support applied in the Czech Republic.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Of course, the above points do not prevent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from being subject to tax support in the Czech Republic. As this is a political issue, the CNB is neutral.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Market operator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our institutions' view, the only way to increase investor interest in the capital market, financial incentives, money, in the form of tax incentives or </w:t>
            </w:r>
            <w:r w:rsidRPr="00C67FEB" w:rsidR="00526699">
              <w:rPr>
                <w:rFonts w:ascii="Times New Roman" w:eastAsia="Times New Roman" w:hAnsi="Times New Roman" w:cs="Times New Roman"/>
                <w:i/>
                <w:iCs/>
                <w:sz w:val="24"/>
                <w:szCs w:val="24"/>
                <w:lang w:val="en-GB" w:eastAsia="cs-CZ"/>
              </w:rPr>
              <w:t>reliefs</w:t>
            </w:r>
            <w:r w:rsidRPr="00C67FEB">
              <w:rPr>
                <w:rFonts w:ascii="Times New Roman" w:eastAsia="Times New Roman" w:hAnsi="Times New Roman" w:cs="Times New Roman"/>
                <w:i/>
                <w:iCs/>
                <w:sz w:val="24"/>
                <w:szCs w:val="24"/>
                <w:lang w:val="en-GB" w:eastAsia="cs-CZ"/>
              </w:rPr>
              <w:t>, is the most effective way to ensure greater investor involvement.</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development and good functioning of the capital market is essential for the efficient functioning of the economy. There are many studies available to the </w:t>
            </w:r>
            <w:r w:rsidRPr="00C67FEB" w:rsidR="00526699">
              <w:rPr>
                <w:rFonts w:ascii="Times New Roman" w:eastAsia="Times New Roman" w:hAnsi="Times New Roman" w:cs="Times New Roman"/>
                <w:i/>
                <w:iCs/>
                <w:sz w:val="24"/>
                <w:szCs w:val="24"/>
                <w:lang w:val="en-GB" w:eastAsia="cs-CZ"/>
              </w:rPr>
              <w:t>MF</w:t>
            </w:r>
            <w:r w:rsidRPr="00C67FEB">
              <w:rPr>
                <w:rFonts w:ascii="Times New Roman" w:eastAsia="Times New Roman" w:hAnsi="Times New Roman" w:cs="Times New Roman"/>
                <w:i/>
                <w:iCs/>
                <w:sz w:val="24"/>
                <w:szCs w:val="24"/>
                <w:lang w:val="en-GB" w:eastAsia="cs-CZ"/>
              </w:rPr>
              <w:t xml:space="preserve"> that support these conclusions. The Czech capital market will not develop due to the technical dexterity of legislators or the high expertise of specialists preparing the </w:t>
            </w:r>
            <w:r w:rsidRPr="00C67FEB" w:rsidR="00254E72">
              <w:rPr>
                <w:rFonts w:ascii="Times New Roman" w:eastAsia="Times New Roman" w:hAnsi="Times New Roman" w:cs="Times New Roman"/>
                <w:i/>
                <w:iCs/>
                <w:sz w:val="24"/>
                <w:szCs w:val="24"/>
                <w:lang w:val="en-GB" w:eastAsia="cs-CZ"/>
              </w:rPr>
              <w:t>Strategy</w:t>
            </w:r>
            <w:r w:rsidRPr="00C67FEB">
              <w:rPr>
                <w:rFonts w:ascii="Times New Roman" w:eastAsia="Times New Roman" w:hAnsi="Times New Roman" w:cs="Times New Roman"/>
                <w:i/>
                <w:iCs/>
                <w:sz w:val="24"/>
                <w:szCs w:val="24"/>
                <w:lang w:val="en-GB" w:eastAsia="cs-CZ"/>
              </w:rPr>
              <w:t xml:space="preserve">. Nothing new genius can be devised. The Czech capital market will not develop thanks to new technologies. Existing technologies are sufficiently efficient and safe and cheap. </w:t>
            </w:r>
            <w:r w:rsidRPr="00C67FEB" w:rsidR="00526699">
              <w:rPr>
                <w:rFonts w:ascii="Times New Roman" w:eastAsia="Times New Roman" w:hAnsi="Times New Roman" w:cs="Times New Roman"/>
                <w:i/>
                <w:iCs/>
                <w:sz w:val="24"/>
                <w:szCs w:val="24"/>
                <w:lang w:val="en-GB" w:eastAsia="cs-CZ"/>
              </w:rPr>
              <w:t>Promoting</w:t>
            </w:r>
            <w:r w:rsidRPr="00C67FEB">
              <w:rPr>
                <w:rFonts w:ascii="Times New Roman" w:eastAsia="Times New Roman" w:hAnsi="Times New Roman" w:cs="Times New Roman"/>
                <w:i/>
                <w:iCs/>
                <w:sz w:val="24"/>
                <w:szCs w:val="24"/>
                <w:lang w:val="en-GB" w:eastAsia="cs-CZ"/>
              </w:rPr>
              <w:t xml:space="preserve"> capital market development will only occur in the event of a political consensus of the political representatives of the state (government and parliament), whose output will be the environment motivating investors to long-term investment in capital market instruments and, on the other hand, the interest of issuers to use the capital market </w:t>
            </w:r>
            <w:r w:rsidRPr="00C67FEB" w:rsidR="00526699">
              <w:rPr>
                <w:rFonts w:ascii="Times New Roman" w:eastAsia="Times New Roman" w:hAnsi="Times New Roman" w:cs="Times New Roman"/>
                <w:i/>
                <w:iCs/>
                <w:sz w:val="24"/>
                <w:szCs w:val="24"/>
                <w:lang w:val="en-GB" w:eastAsia="cs-CZ"/>
              </w:rPr>
              <w:t>for their own financing.</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Of the presented areas, it seems to be the </w:t>
            </w:r>
            <w:r w:rsidRPr="00C67FEB" w:rsidR="00526699">
              <w:rPr>
                <w:rFonts w:ascii="Times New Roman" w:eastAsia="Times New Roman" w:hAnsi="Times New Roman" w:cs="Times New Roman"/>
                <w:i/>
                <w:iCs/>
                <w:sz w:val="24"/>
                <w:szCs w:val="24"/>
                <w:lang w:val="en-GB" w:eastAsia="cs-CZ"/>
              </w:rPr>
              <w:t>best</w:t>
            </w:r>
            <w:r w:rsidRPr="00C67FEB">
              <w:rPr>
                <w:rFonts w:ascii="Times New Roman" w:eastAsia="Times New Roman" w:hAnsi="Times New Roman" w:cs="Times New Roman"/>
                <w:i/>
                <w:iCs/>
                <w:sz w:val="24"/>
                <w:szCs w:val="24"/>
                <w:lang w:val="en-GB" w:eastAsia="cs-CZ"/>
              </w:rPr>
              <w:t xml:space="preserve"> to use the possibilities under</w:t>
            </w:r>
            <w:r w:rsidRPr="00C67FEB" w:rsidR="00526699">
              <w:rPr>
                <w:rFonts w:ascii="Times New Roman" w:eastAsia="Times New Roman" w:hAnsi="Times New Roman" w:cs="Times New Roman"/>
                <w:i/>
                <w:iCs/>
                <w:sz w:val="24"/>
                <w:szCs w:val="24"/>
                <w:lang w:val="en-GB" w:eastAsia="cs-CZ"/>
              </w:rPr>
              <w:t xml:space="preserve"> points</w:t>
            </w:r>
            <w:r w:rsidRPr="00C67FEB">
              <w:rPr>
                <w:rFonts w:ascii="Times New Roman" w:eastAsia="Times New Roman" w:hAnsi="Times New Roman" w:cs="Times New Roman"/>
                <w:i/>
                <w:iCs/>
                <w:sz w:val="24"/>
                <w:szCs w:val="24"/>
                <w:lang w:val="en-GB" w:eastAsia="cs-CZ"/>
              </w:rPr>
              <w:t xml:space="preserve"> 2) and 10). ISA and the expansion of pension funds support, </w:t>
            </w:r>
            <w:r w:rsidRPr="00C67FEB" w:rsidR="00526699">
              <w:rPr>
                <w:rFonts w:ascii="Times New Roman" w:eastAsia="Times New Roman" w:hAnsi="Times New Roman" w:cs="Times New Roman"/>
                <w:i/>
                <w:iCs/>
                <w:sz w:val="24"/>
                <w:szCs w:val="24"/>
                <w:lang w:val="en-GB" w:eastAsia="cs-CZ"/>
              </w:rPr>
              <w:t>but only those</w:t>
            </w:r>
            <w:r w:rsidRPr="00C67FEB">
              <w:rPr>
                <w:rFonts w:ascii="Times New Roman" w:eastAsia="Times New Roman" w:hAnsi="Times New Roman" w:cs="Times New Roman"/>
                <w:i/>
                <w:iCs/>
                <w:sz w:val="24"/>
                <w:szCs w:val="24"/>
                <w:lang w:val="en-GB" w:eastAsia="cs-CZ"/>
              </w:rPr>
              <w:t>, which have a majority in the portfolio of capital market instruments. The terms and conditions for each individual should be adjusted so that its growing portfolio would be recorded in a virtual individual savings</w:t>
            </w:r>
            <w:r w:rsidRPr="00C67FEB" w:rsidR="002C7A6E">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(and even a special pension)</w:t>
            </w:r>
            <w:r w:rsidRPr="00C67FEB" w:rsidR="002C7A6E">
              <w:rPr>
                <w:rFonts w:ascii="Times New Roman" w:eastAsia="Times New Roman" w:hAnsi="Times New Roman" w:cs="Times New Roman"/>
                <w:i/>
                <w:iCs/>
                <w:sz w:val="24"/>
                <w:szCs w:val="24"/>
                <w:lang w:val="en-GB" w:eastAsia="cs-CZ"/>
              </w:rPr>
              <w:t xml:space="preserve"> account</w:t>
            </w:r>
            <w:r w:rsidRPr="00C67FEB">
              <w:rPr>
                <w:rFonts w:ascii="Times New Roman" w:eastAsia="Times New Roman" w:hAnsi="Times New Roman" w:cs="Times New Roman"/>
                <w:i/>
                <w:iCs/>
                <w:sz w:val="24"/>
                <w:szCs w:val="24"/>
                <w:lang w:val="en-GB" w:eastAsia="cs-CZ"/>
              </w:rPr>
              <w:t>. Investing through such an account would be assessed as a single annual amount and would be somehow financial / tax / monetary motivated, e</w:t>
            </w:r>
            <w:r w:rsidRPr="00C67FEB" w:rsidR="002C7A6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2C7A6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by an extended tax time test, increased state contribution in its pension part, tax depreciation in case of losses, etc. and the greater the concessions or contributions or the broader tax time test, the greater the incentive for investors to invest. E.g. in England, the ISA investment account has an annual investment limit of about </w:t>
            </w:r>
            <w:r w:rsidRPr="00C67FEB" w:rsidR="002C7A6E">
              <w:rPr>
                <w:rFonts w:ascii="Times New Roman" w:eastAsia="Times New Roman" w:hAnsi="Times New Roman" w:cs="Times New Roman"/>
                <w:i/>
                <w:iCs/>
                <w:sz w:val="24"/>
                <w:szCs w:val="24"/>
                <w:lang w:val="en-GB" w:eastAsia="cs-CZ"/>
              </w:rPr>
              <w:t>GBP</w:t>
            </w:r>
            <w:r w:rsidRPr="00C67FEB">
              <w:rPr>
                <w:rFonts w:ascii="Times New Roman" w:eastAsia="Times New Roman" w:hAnsi="Times New Roman" w:cs="Times New Roman"/>
                <w:i/>
                <w:iCs/>
                <w:sz w:val="24"/>
                <w:szCs w:val="24"/>
                <w:lang w:val="en-GB" w:eastAsia="cs-CZ"/>
              </w:rPr>
              <w:t xml:space="preserve"> 20,000, and all profits from these investments are not subject to any additional tax. It is necessary that the total annual amount is not unnecessarily small and that this product is interesting and </w:t>
            </w:r>
            <w:r w:rsidRPr="00C67FEB" w:rsidR="002C7A6E">
              <w:rPr>
                <w:rFonts w:ascii="Times New Roman" w:eastAsia="Times New Roman" w:hAnsi="Times New Roman" w:cs="Times New Roman"/>
                <w:i/>
                <w:iCs/>
                <w:sz w:val="24"/>
                <w:szCs w:val="24"/>
                <w:lang w:val="en-GB" w:eastAsia="cs-CZ"/>
              </w:rPr>
              <w:t>fulfils</w:t>
            </w:r>
            <w:r w:rsidRPr="00C67FEB">
              <w:rPr>
                <w:rFonts w:ascii="Times New Roman" w:eastAsia="Times New Roman" w:hAnsi="Times New Roman" w:cs="Times New Roman"/>
                <w:i/>
                <w:iCs/>
                <w:sz w:val="24"/>
                <w:szCs w:val="24"/>
                <w:lang w:val="en-GB" w:eastAsia="cs-CZ"/>
              </w:rPr>
              <w:t xml:space="preserve"> the role even for higher income groups, for example saving / investing 50 thousand. </w:t>
            </w:r>
            <w:r w:rsidRPr="00C67FEB">
              <w:rPr>
                <w:rFonts w:ascii="Times New Roman" w:eastAsia="Times New Roman" w:hAnsi="Times New Roman" w:cs="Times New Roman"/>
                <w:i/>
                <w:iCs/>
                <w:sz w:val="24"/>
                <w:szCs w:val="24"/>
                <w:lang w:val="en-GB" w:eastAsia="cs-CZ"/>
              </w:rPr>
              <w:t>monthly</w:t>
            </w:r>
            <w:r w:rsidRPr="00C67FEB">
              <w:rPr>
                <w:rFonts w:ascii="Times New Roman" w:eastAsia="Times New Roman" w:hAnsi="Times New Roman" w:cs="Times New Roman"/>
                <w:i/>
                <w:iCs/>
                <w:sz w:val="24"/>
                <w:szCs w:val="24"/>
                <w:lang w:val="en-GB" w:eastAsia="cs-CZ"/>
              </w:rPr>
              <w:t>, 600 t</w:t>
            </w:r>
            <w:r w:rsidRPr="00C67FEB" w:rsidR="002C7A6E">
              <w:rPr>
                <w:rFonts w:ascii="Times New Roman" w:eastAsia="Times New Roman" w:hAnsi="Times New Roman" w:cs="Times New Roman"/>
                <w:i/>
                <w:iCs/>
                <w:sz w:val="24"/>
                <w:szCs w:val="24"/>
                <w:lang w:val="en-GB" w:eastAsia="cs-CZ"/>
              </w:rPr>
              <w:t>housand</w:t>
            </w:r>
            <w:r w:rsidRPr="00C67FEB">
              <w:rPr>
                <w:rFonts w:ascii="Times New Roman" w:eastAsia="Times New Roman" w:hAnsi="Times New Roman" w:cs="Times New Roman"/>
                <w:i/>
                <w:iCs/>
                <w:sz w:val="24"/>
                <w:szCs w:val="24"/>
                <w:lang w:val="en-GB" w:eastAsia="cs-CZ"/>
              </w:rPr>
              <w:t xml:space="preserve"> yearly as in England. Compare incentives for retail investment in France, Sweden and other EU countries. The ISA investment account should not have the same 60/60 product parameters as the retirement </w:t>
            </w:r>
            <w:r w:rsidRPr="00C67FEB">
              <w:rPr>
                <w:rFonts w:ascii="Times New Roman" w:eastAsia="Times New Roman" w:hAnsi="Times New Roman" w:cs="Times New Roman"/>
                <w:i/>
                <w:iCs/>
                <w:sz w:val="24"/>
                <w:szCs w:val="24"/>
                <w:lang w:val="en-GB" w:eastAsia="cs-CZ"/>
              </w:rPr>
              <w:t>account, but should be differentiated (in terms of time, tax, investment amount) so that it is in addition to pension savings (e</w:t>
            </w:r>
            <w:r w:rsidRPr="00C67FEB" w:rsidR="002C7A6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2C7A6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0/0 + annual limit) and investors could develop a suitable long-term flexible investment portfolio - thereby giving them greater incentives to use all kinds of investment / savings instruments.</w:t>
            </w:r>
            <w:r w:rsidR="0087579E">
              <w:rPr>
                <w:rFonts w:ascii="Times New Roman" w:eastAsia="Times New Roman" w:hAnsi="Times New Roman" w:cs="Times New Roman"/>
                <w:i/>
                <w:iCs/>
                <w:sz w:val="24"/>
                <w:szCs w:val="24"/>
                <w:lang w:val="en-GB" w:eastAsia="cs-CZ"/>
              </w:rPr>
              <w:t xml:space="preserve">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To begin with, we would like to say that we consider the initial definition of the introduction of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as an absolute priority, including the timeframe, to be quite right. It is imperative that the Government of the Czech Republic</w:t>
            </w:r>
            <w:r w:rsidRPr="00C67FEB" w:rsidR="002C7A6E">
              <w:rPr>
                <w:rFonts w:ascii="Times New Roman" w:eastAsia="Times New Roman" w:hAnsi="Times New Roman" w:cs="Times New Roman"/>
                <w:i/>
                <w:iCs/>
                <w:sz w:val="24"/>
                <w:szCs w:val="24"/>
                <w:lang w:val="en-GB" w:eastAsia="cs-CZ"/>
              </w:rPr>
              <w:t xml:space="preserve"> will</w:t>
            </w:r>
            <w:r w:rsidRPr="00C67FEB">
              <w:rPr>
                <w:rFonts w:ascii="Times New Roman" w:eastAsia="Times New Roman" w:hAnsi="Times New Roman" w:cs="Times New Roman"/>
                <w:i/>
                <w:iCs/>
                <w:sz w:val="24"/>
                <w:szCs w:val="24"/>
                <w:lang w:val="en-GB" w:eastAsia="cs-CZ"/>
              </w:rPr>
              <w:t xml:space="preserve"> be submitted a draft amendment to the relevant laws by the end of 2019 so that this draft can be implemented as soon as possible. This is an issue that has been the subject of a number of discussions for several years and therefore deserves to be adopted in the shortest possible time.</w:t>
            </w:r>
            <w:r w:rsidRPr="00C67FE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Ministry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Ministry of Labo</w:t>
            </w:r>
            <w:r w:rsidRPr="00C67FEB" w:rsidR="002C7A6E">
              <w:rPr>
                <w:rFonts w:ascii="Times New Roman" w:eastAsia="Times New Roman" w:hAnsi="Times New Roman" w:cs="Times New Roman"/>
                <w:i/>
                <w:iCs/>
                <w:sz w:val="24"/>
                <w:szCs w:val="24"/>
                <w:lang w:val="en-GB" w:eastAsia="cs-CZ"/>
              </w:rPr>
              <w:t>u</w:t>
            </w:r>
            <w:r w:rsidRPr="00C67FEB">
              <w:rPr>
                <w:rFonts w:ascii="Times New Roman" w:eastAsia="Times New Roman" w:hAnsi="Times New Roman" w:cs="Times New Roman"/>
                <w:i/>
                <w:iCs/>
                <w:sz w:val="24"/>
                <w:szCs w:val="24"/>
                <w:lang w:val="en-GB" w:eastAsia="cs-CZ"/>
              </w:rPr>
              <w:t xml:space="preserve">r and Social Affairs welcomes and supports the development of activities and programs that will increase the motivation of citizens to create additional financial security during their economically active life for the post-productive period, when they will receive the state old-age pension under the first pillar, wherever possible, there has been no significant reduction in living standards due to insufficient financial security in old age. In line with the conclusions of the Commission on Equitable Pensions, we would like to point out that it is also very important for the </w:t>
            </w:r>
            <w:r w:rsidRPr="00C67FEB" w:rsidR="002C7A6E">
              <w:rPr>
                <w:rFonts w:ascii="Times New Roman" w:eastAsia="Times New Roman" w:hAnsi="Times New Roman" w:cs="Times New Roman"/>
                <w:i/>
                <w:iCs/>
                <w:sz w:val="24"/>
                <w:szCs w:val="24"/>
                <w:lang w:val="en-GB" w:eastAsia="cs-CZ"/>
              </w:rPr>
              <w:t>Ministry of Labour and Social Affairs</w:t>
            </w:r>
            <w:r w:rsidRPr="00C67FEB">
              <w:rPr>
                <w:rFonts w:ascii="Times New Roman" w:eastAsia="Times New Roman" w:hAnsi="Times New Roman" w:cs="Times New Roman"/>
                <w:i/>
                <w:iCs/>
                <w:sz w:val="24"/>
                <w:szCs w:val="24"/>
                <w:lang w:val="en-GB" w:eastAsia="cs-CZ"/>
              </w:rPr>
              <w:t xml:space="preserve"> to address the effectiveness of the system and the improvement of the </w:t>
            </w:r>
            <w:r w:rsidRPr="00C67FEB" w:rsidR="00CA458B">
              <w:rPr>
                <w:rFonts w:ascii="Times New Roman" w:eastAsia="Times New Roman" w:hAnsi="Times New Roman" w:cs="Times New Roman"/>
                <w:i/>
                <w:iCs/>
                <w:sz w:val="24"/>
                <w:szCs w:val="24"/>
                <w:lang w:val="en-GB" w:eastAsia="cs-CZ"/>
              </w:rPr>
              <w:t>pay check phase</w:t>
            </w:r>
            <w:r w:rsidRPr="00C67FEB">
              <w:rPr>
                <w:rFonts w:ascii="Times New Roman" w:eastAsia="Times New Roman" w:hAnsi="Times New Roman" w:cs="Times New Roman"/>
                <w:i/>
                <w:iCs/>
                <w:sz w:val="24"/>
                <w:szCs w:val="24"/>
                <w:lang w:val="en-GB" w:eastAsia="cs-CZ"/>
              </w:rPr>
              <w:t>, i</w:t>
            </w:r>
            <w:r w:rsidRPr="00C67FEB" w:rsidR="00CA458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e</w:t>
            </w:r>
            <w:r w:rsidRPr="00C67FEB" w:rsidR="00CA458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ensuring that disbursements are not taken up almost exclusively; as they were created, i</w:t>
            </w:r>
            <w:r w:rsidRPr="00C67FEB" w:rsidR="00CA458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e</w:t>
            </w:r>
            <w:r w:rsidRPr="00C67FEB" w:rsidR="00CA458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ensuring regular income in old age, and allowed security during all or a large part of post-productive life.</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From the perspective of the Ministry of Labo</w:t>
            </w:r>
            <w:r w:rsidRPr="00C67FEB" w:rsidR="002C7A6E">
              <w:rPr>
                <w:rFonts w:ascii="Times New Roman" w:eastAsia="Times New Roman" w:hAnsi="Times New Roman" w:cs="Times New Roman"/>
                <w:i/>
                <w:iCs/>
                <w:sz w:val="24"/>
                <w:szCs w:val="24"/>
                <w:lang w:val="en-GB" w:eastAsia="cs-CZ"/>
              </w:rPr>
              <w:t>u</w:t>
            </w:r>
            <w:r w:rsidRPr="00C67FEB">
              <w:rPr>
                <w:rFonts w:ascii="Times New Roman" w:eastAsia="Times New Roman" w:hAnsi="Times New Roman" w:cs="Times New Roman"/>
                <w:i/>
                <w:iCs/>
                <w:sz w:val="24"/>
                <w:szCs w:val="24"/>
                <w:lang w:val="en-GB" w:eastAsia="cs-CZ"/>
              </w:rPr>
              <w:t xml:space="preserve">r and Social Affairs, a proposal for a similar instrument does not seem appropriate for the Czech Republic, at least from the point of view of the development phase of retirement benefit systems. The </w:t>
            </w:r>
            <w:r w:rsidRPr="00C67FEB" w:rsidR="002C7A6E">
              <w:rPr>
                <w:rFonts w:ascii="Times New Roman" w:eastAsia="Times New Roman" w:hAnsi="Times New Roman" w:cs="Times New Roman"/>
                <w:i/>
                <w:iCs/>
                <w:sz w:val="24"/>
                <w:szCs w:val="24"/>
                <w:lang w:val="en-GB" w:eastAsia="cs-CZ"/>
              </w:rPr>
              <w:t>Ministry of Labour and Social Affairs</w:t>
            </w:r>
            <w:r w:rsidRPr="00C67FEB">
              <w:rPr>
                <w:rFonts w:ascii="Times New Roman" w:eastAsia="Times New Roman" w:hAnsi="Times New Roman" w:cs="Times New Roman"/>
                <w:i/>
                <w:iCs/>
                <w:sz w:val="24"/>
                <w:szCs w:val="24"/>
                <w:lang w:val="en-GB" w:eastAsia="cs-CZ"/>
              </w:rPr>
              <w:t xml:space="preserve"> believes that before discussing the possible expansion of financial institutions managing supported forms of savings, it is necessary to first solve the effectiveness of the current third pillar in terms of insufficient revenues and cost regulation, especially in transformed funds, </w:t>
            </w:r>
            <w:r w:rsidRPr="00C67FEB" w:rsidR="00CA458B">
              <w:rPr>
                <w:rFonts w:ascii="Times New Roman" w:eastAsia="Times New Roman" w:hAnsi="Times New Roman" w:cs="Times New Roman"/>
                <w:i/>
                <w:iCs/>
                <w:sz w:val="24"/>
                <w:szCs w:val="24"/>
                <w:lang w:val="en-GB" w:eastAsia="cs-CZ"/>
              </w:rPr>
              <w:t>used by</w:t>
            </w:r>
            <w:r w:rsidRPr="00C67FEB">
              <w:rPr>
                <w:rFonts w:ascii="Times New Roman" w:eastAsia="Times New Roman" w:hAnsi="Times New Roman" w:cs="Times New Roman"/>
                <w:i/>
                <w:iCs/>
                <w:sz w:val="24"/>
                <w:szCs w:val="24"/>
                <w:lang w:val="en-GB" w:eastAsia="cs-CZ"/>
              </w:rPr>
              <w:t xml:space="preserve"> about 75 % of people saving on retirement </w:t>
            </w:r>
            <w:r w:rsidRPr="00C67FEB" w:rsidR="00CA458B">
              <w:rPr>
                <w:rFonts w:ascii="Times New Roman" w:eastAsia="Times New Roman" w:hAnsi="Times New Roman" w:cs="Times New Roman"/>
                <w:i/>
                <w:iCs/>
                <w:sz w:val="24"/>
                <w:szCs w:val="24"/>
                <w:lang w:val="en-GB" w:eastAsia="cs-CZ"/>
              </w:rPr>
              <w:t>at</w:t>
            </w:r>
            <w:r w:rsidRPr="00C67FEB">
              <w:rPr>
                <w:rFonts w:ascii="Times New Roman" w:eastAsia="Times New Roman" w:hAnsi="Times New Roman" w:cs="Times New Roman"/>
                <w:i/>
                <w:iCs/>
                <w:sz w:val="24"/>
                <w:szCs w:val="24"/>
                <w:lang w:val="en-GB" w:eastAsia="cs-CZ"/>
              </w:rPr>
              <w:t xml:space="preserve"> pension companies. Given the large number of citizens involved, it is unlikely that an increase in the number of people who will start saving for old age can be expected; rather, the transfer of existing clients can be expected </w:t>
            </w:r>
            <w:r w:rsidRPr="00C67FEB" w:rsidR="00FE04C6">
              <w:rPr>
                <w:rFonts w:ascii="Times New Roman" w:eastAsia="Times New Roman" w:hAnsi="Times New Roman" w:cs="Times New Roman"/>
                <w:i/>
                <w:iCs/>
                <w:sz w:val="24"/>
                <w:szCs w:val="24"/>
                <w:lang w:val="en-GB" w:eastAsia="cs-CZ"/>
              </w:rPr>
              <w:t>when creating</w:t>
            </w:r>
            <w:r w:rsidRPr="00C67FEB">
              <w:rPr>
                <w:rFonts w:ascii="Times New Roman" w:eastAsia="Times New Roman" w:hAnsi="Times New Roman" w:cs="Times New Roman"/>
                <w:i/>
                <w:iCs/>
                <w:sz w:val="24"/>
                <w:szCs w:val="24"/>
                <w:lang w:val="en-GB" w:eastAsia="cs-CZ"/>
              </w:rPr>
              <w:t xml:space="preserve"> more favo</w:t>
            </w:r>
            <w:r w:rsidRPr="00C67FEB" w:rsidR="00CA458B">
              <w:rPr>
                <w:rFonts w:ascii="Times New Roman" w:eastAsia="Times New Roman" w:hAnsi="Times New Roman" w:cs="Times New Roman"/>
                <w:i/>
                <w:iCs/>
                <w:sz w:val="24"/>
                <w:szCs w:val="24"/>
                <w:lang w:val="en-GB" w:eastAsia="cs-CZ"/>
              </w:rPr>
              <w:t>u</w:t>
            </w:r>
            <w:r w:rsidRPr="00C67FEB">
              <w:rPr>
                <w:rFonts w:ascii="Times New Roman" w:eastAsia="Times New Roman" w:hAnsi="Times New Roman" w:cs="Times New Roman"/>
                <w:i/>
                <w:iCs/>
                <w:sz w:val="24"/>
                <w:szCs w:val="24"/>
                <w:lang w:val="en-GB" w:eastAsia="cs-CZ"/>
              </w:rPr>
              <w:t xml:space="preserve">rable conditions for new institutions.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From the perspective of the Ministry of Labo</w:t>
            </w:r>
            <w:r w:rsidRPr="00C67FEB" w:rsidR="002C7A6E">
              <w:rPr>
                <w:rFonts w:ascii="Times New Roman" w:eastAsia="Times New Roman" w:hAnsi="Times New Roman" w:cs="Times New Roman"/>
                <w:i/>
                <w:iCs/>
                <w:sz w:val="24"/>
                <w:szCs w:val="24"/>
                <w:lang w:val="en-GB" w:eastAsia="cs-CZ"/>
              </w:rPr>
              <w:t>u</w:t>
            </w:r>
            <w:r w:rsidRPr="00C67FEB">
              <w:rPr>
                <w:rFonts w:ascii="Times New Roman" w:eastAsia="Times New Roman" w:hAnsi="Times New Roman" w:cs="Times New Roman"/>
                <w:i/>
                <w:iCs/>
                <w:sz w:val="24"/>
                <w:szCs w:val="24"/>
                <w:lang w:val="en-GB" w:eastAsia="cs-CZ"/>
              </w:rPr>
              <w:t xml:space="preserve">r and Social Affairs, the introduction of other state-supported </w:t>
            </w:r>
            <w:r w:rsidRPr="00C67FEB" w:rsidR="00FE04C6">
              <w:rPr>
                <w:rFonts w:ascii="Times New Roman" w:eastAsia="Times New Roman" w:hAnsi="Times New Roman" w:cs="Times New Roman"/>
                <w:i/>
                <w:iCs/>
                <w:sz w:val="24"/>
                <w:szCs w:val="24"/>
                <w:lang w:val="en-GB" w:eastAsia="cs-CZ"/>
              </w:rPr>
              <w:t>l</w:t>
            </w:r>
            <w:r w:rsidRPr="00C67FEB" w:rsidR="008F46DE">
              <w:rPr>
                <w:rFonts w:ascii="Times New Roman" w:eastAsia="Times New Roman" w:hAnsi="Times New Roman" w:cs="Times New Roman"/>
                <w:i/>
                <w:iCs/>
                <w:sz w:val="24"/>
                <w:szCs w:val="24"/>
                <w:lang w:val="en-GB" w:eastAsia="cs-CZ"/>
              </w:rPr>
              <w:t>ong-</w:t>
            </w:r>
            <w:r w:rsidRPr="00C67FEB" w:rsidR="00FE04C6">
              <w:rPr>
                <w:rFonts w:ascii="Times New Roman" w:eastAsia="Times New Roman" w:hAnsi="Times New Roman" w:cs="Times New Roman"/>
                <w:i/>
                <w:iCs/>
                <w:sz w:val="24"/>
                <w:szCs w:val="24"/>
                <w:lang w:val="en-GB" w:eastAsia="cs-CZ"/>
              </w:rPr>
              <w:t>t</w:t>
            </w:r>
            <w:r w:rsidRPr="00C67FEB" w:rsidR="008F46DE">
              <w:rPr>
                <w:rFonts w:ascii="Times New Roman" w:eastAsia="Times New Roman" w:hAnsi="Times New Roman" w:cs="Times New Roman"/>
                <w:i/>
                <w:iCs/>
                <w:sz w:val="24"/>
                <w:szCs w:val="24"/>
                <w:lang w:val="en-GB" w:eastAsia="cs-CZ"/>
              </w:rPr>
              <w:t xml:space="preserve">erm </w:t>
            </w:r>
            <w:r w:rsidRPr="00C67FEB" w:rsidR="00FE04C6">
              <w:rPr>
                <w:rFonts w:ascii="Times New Roman" w:eastAsia="Times New Roman" w:hAnsi="Times New Roman" w:cs="Times New Roman"/>
                <w:i/>
                <w:iCs/>
                <w:sz w:val="24"/>
                <w:szCs w:val="24"/>
                <w:lang w:val="en-GB" w:eastAsia="cs-CZ"/>
              </w:rPr>
              <w:t>i</w:t>
            </w:r>
            <w:r w:rsidRPr="00C67FEB" w:rsidR="008F46DE">
              <w:rPr>
                <w:rFonts w:ascii="Times New Roman" w:eastAsia="Times New Roman" w:hAnsi="Times New Roman" w:cs="Times New Roman"/>
                <w:i/>
                <w:iCs/>
                <w:sz w:val="24"/>
                <w:szCs w:val="24"/>
                <w:lang w:val="en-GB" w:eastAsia="cs-CZ"/>
              </w:rPr>
              <w:t xml:space="preserve">nvestment </w:t>
            </w:r>
            <w:r w:rsidRPr="00C67FEB" w:rsidR="00FE04C6">
              <w:rPr>
                <w:rFonts w:ascii="Times New Roman" w:eastAsia="Times New Roman" w:hAnsi="Times New Roman" w:cs="Times New Roman"/>
                <w:i/>
                <w:iCs/>
                <w:sz w:val="24"/>
                <w:szCs w:val="24"/>
                <w:lang w:val="en-GB" w:eastAsia="cs-CZ"/>
              </w:rPr>
              <w:t>a</w:t>
            </w:r>
            <w:r w:rsidRPr="00C67FEB" w:rsidR="008F46DE">
              <w:rPr>
                <w:rFonts w:ascii="Times New Roman" w:eastAsia="Times New Roman" w:hAnsi="Times New Roman" w:cs="Times New Roman"/>
                <w:i/>
                <w:iCs/>
                <w:sz w:val="24"/>
                <w:szCs w:val="24"/>
                <w:lang w:val="en-GB" w:eastAsia="cs-CZ"/>
              </w:rPr>
              <w:t>ccount</w:t>
            </w:r>
            <w:r w:rsidRPr="00C67FEB">
              <w:rPr>
                <w:rFonts w:ascii="Times New Roman" w:eastAsia="Times New Roman" w:hAnsi="Times New Roman" w:cs="Times New Roman"/>
                <w:i/>
                <w:iCs/>
                <w:sz w:val="24"/>
                <w:szCs w:val="24"/>
                <w:lang w:val="en-GB" w:eastAsia="cs-CZ"/>
              </w:rPr>
              <w:t xml:space="preserve">s for old-age savings could lead to fragmentation of the old-age savings system and further weaken the already low efficiency. Therefore, the </w:t>
            </w:r>
            <w:r w:rsidRPr="00C67FEB" w:rsidR="00FE04C6">
              <w:rPr>
                <w:rFonts w:ascii="Times New Roman" w:eastAsia="Times New Roman" w:hAnsi="Times New Roman" w:cs="Times New Roman"/>
                <w:i/>
                <w:iCs/>
                <w:sz w:val="24"/>
                <w:szCs w:val="24"/>
                <w:lang w:val="en-GB" w:eastAsia="cs-CZ"/>
              </w:rPr>
              <w:t>Ministry of Labour and Social Affairs</w:t>
            </w:r>
            <w:r w:rsidRPr="00C67FEB">
              <w:rPr>
                <w:rFonts w:ascii="Times New Roman" w:eastAsia="Times New Roman" w:hAnsi="Times New Roman" w:cs="Times New Roman"/>
                <w:i/>
                <w:iCs/>
                <w:sz w:val="24"/>
                <w:szCs w:val="24"/>
                <w:lang w:val="en-GB" w:eastAsia="cs-CZ"/>
              </w:rPr>
              <w:t xml:space="preserve"> prefers to consolidate the system as a priority, for example by setting up a state pension fund, moving clients from existing pension funds to a state pension fund, and to more appropriate profiles of participating funds. These are topics which are, among others, the subject of discussions by the Commission </w:t>
            </w:r>
            <w:r w:rsidRPr="00C67FEB" w:rsidR="00FE04C6">
              <w:rPr>
                <w:rFonts w:ascii="Times New Roman" w:eastAsia="Times New Roman" w:hAnsi="Times New Roman" w:cs="Times New Roman"/>
                <w:i/>
                <w:iCs/>
                <w:sz w:val="24"/>
                <w:szCs w:val="24"/>
                <w:lang w:val="en-GB" w:eastAsia="cs-CZ"/>
              </w:rPr>
              <w:t>for</w:t>
            </w:r>
            <w:r w:rsidRPr="00C67FEB">
              <w:rPr>
                <w:rFonts w:ascii="Times New Roman" w:eastAsia="Times New Roman" w:hAnsi="Times New Roman" w:cs="Times New Roman"/>
                <w:i/>
                <w:iCs/>
                <w:sz w:val="24"/>
                <w:szCs w:val="24"/>
                <w:lang w:val="en-GB" w:eastAsia="cs-CZ"/>
              </w:rPr>
              <w:t xml:space="preserve"> Fair Pensions.</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For these and other reasons, the </w:t>
            </w:r>
            <w:r w:rsidRPr="00C67FEB" w:rsidR="002C7A6E">
              <w:rPr>
                <w:rFonts w:ascii="Times New Roman" w:eastAsia="Times New Roman" w:hAnsi="Times New Roman" w:cs="Times New Roman"/>
                <w:i/>
                <w:iCs/>
                <w:sz w:val="24"/>
                <w:szCs w:val="24"/>
                <w:lang w:val="en-GB" w:eastAsia="cs-CZ"/>
              </w:rPr>
              <w:t>Ministry of Labour and Social Affairs</w:t>
            </w:r>
            <w:r w:rsidRPr="00C67FEB">
              <w:rPr>
                <w:rFonts w:ascii="Times New Roman" w:eastAsia="Times New Roman" w:hAnsi="Times New Roman" w:cs="Times New Roman"/>
                <w:i/>
                <w:iCs/>
                <w:sz w:val="24"/>
                <w:szCs w:val="24"/>
                <w:lang w:val="en-GB" w:eastAsia="cs-CZ"/>
              </w:rPr>
              <w:t xml:space="preserve"> does not support the proposal to introduce a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We consider this intention of the Ministry of Finance to be such a fundamental intervention in the pension system of the Czech Republic that agreement between the Ministry of Labo</w:t>
            </w:r>
            <w:r w:rsidRPr="00C67FEB" w:rsidR="002C7A6E">
              <w:rPr>
                <w:rFonts w:ascii="Times New Roman" w:eastAsia="Times New Roman" w:hAnsi="Times New Roman" w:cs="Times New Roman"/>
                <w:i/>
                <w:iCs/>
                <w:sz w:val="24"/>
                <w:szCs w:val="24"/>
                <w:lang w:val="en-GB" w:eastAsia="cs-CZ"/>
              </w:rPr>
              <w:t>u</w:t>
            </w:r>
            <w:r w:rsidRPr="00C67FEB">
              <w:rPr>
                <w:rFonts w:ascii="Times New Roman" w:eastAsia="Times New Roman" w:hAnsi="Times New Roman" w:cs="Times New Roman"/>
                <w:i/>
                <w:iCs/>
                <w:sz w:val="24"/>
                <w:szCs w:val="24"/>
                <w:lang w:val="en-GB" w:eastAsia="cs-CZ"/>
              </w:rPr>
              <w:t>r and Social Affairs and the Ministry of Finance is highly desirable. Similarly, we consider it appropriate to discuss this intention in the framework of the Commission for Fair Pensions, which, according to the government's policy statement, must also address the forms of individual retirement</w:t>
            </w:r>
            <w:r w:rsidRPr="00C67FEB" w:rsidR="00FE04C6">
              <w:rPr>
                <w:rFonts w:ascii="Times New Roman" w:eastAsia="Times New Roman" w:hAnsi="Times New Roman" w:cs="Times New Roman"/>
                <w:i/>
                <w:iCs/>
                <w:sz w:val="24"/>
                <w:szCs w:val="24"/>
                <w:lang w:val="en-GB" w:eastAsia="cs-CZ"/>
              </w:rPr>
              <w:t xml:space="preserve"> security.</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3</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From our point of view, not all the essential aspects of such a proposal are addressed in the </w:t>
            </w:r>
            <w:r w:rsidRPr="00C67FEB" w:rsidR="00FE04C6">
              <w:rPr>
                <w:rFonts w:ascii="Times New Roman" w:eastAsia="Times New Roman" w:hAnsi="Times New Roman" w:cs="Times New Roman"/>
                <w:i/>
                <w:iCs/>
                <w:sz w:val="24"/>
                <w:szCs w:val="24"/>
                <w:lang w:val="en-GB" w:eastAsia="cs-CZ"/>
              </w:rPr>
              <w:t>Consultation Paper.</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5</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support the introduction of a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and it is in our opinion also in the interest of our clients. This will settle the support / advantage for all substitution products (investments, pension savings, </w:t>
            </w:r>
            <w:r w:rsidRPr="00C67FEB">
              <w:rPr>
                <w:rFonts w:ascii="Times New Roman" w:eastAsia="Times New Roman" w:hAnsi="Times New Roman" w:cs="Times New Roman"/>
                <w:i/>
                <w:iCs/>
                <w:sz w:val="24"/>
                <w:szCs w:val="24"/>
                <w:lang w:val="en-GB" w:eastAsia="cs-CZ"/>
              </w:rPr>
              <w:t>investment</w:t>
            </w:r>
            <w:r w:rsidRPr="00C67FEB">
              <w:rPr>
                <w:rFonts w:ascii="Times New Roman" w:eastAsia="Times New Roman" w:hAnsi="Times New Roman" w:cs="Times New Roman"/>
                <w:i/>
                <w:iCs/>
                <w:sz w:val="24"/>
                <w:szCs w:val="24"/>
                <w:lang w:val="en-GB" w:eastAsia="cs-CZ"/>
              </w:rPr>
              <w:t xml:space="preserve"> life insurance). The name of the account itself should reflect not only the long-term but also the sense of saving money for “pension”.</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1:</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after="0" w:line="240" w:lineRule="auto"/>
              <w:jc w:val="both"/>
              <w:rPr>
                <w:rFonts w:ascii="Times New Roman" w:eastAsia="Times New Roman" w:hAnsi="Times New Roman" w:cs="Times New Roman"/>
                <w:i/>
                <w:iCs/>
                <w:sz w:val="24"/>
                <w:szCs w:val="24"/>
                <w:lang w:val="en-GB" w:eastAsia="cs-CZ"/>
              </w:rPr>
            </w:pPr>
            <w:r w:rsidRPr="00C67FEB">
              <w:rPr>
                <w:rFonts w:ascii="Times New Roman" w:eastAsia="Times New Roman" w:hAnsi="Times New Roman" w:cs="Times New Roman"/>
                <w:i/>
                <w:iCs/>
                <w:sz w:val="24"/>
                <w:szCs w:val="24"/>
                <w:lang w:val="en-GB" w:eastAsia="cs-CZ"/>
              </w:rPr>
              <w:t>Yes, but only with the simultaneous increase in the overall limit, e</w:t>
            </w:r>
            <w:r w:rsidRPr="00C67FEB" w:rsidR="00FE04C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FE04C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to 60 thousand CZK annually.</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our opinion, it would make more sense to increase the existing limits on the taxpayer in order to increase the incentive to further save for old age. This would also motivate those already using existing old-age savings products to start using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s. However, we prefer to have a separate limit for pension funds as well as a separate limit for the </w:t>
            </w:r>
            <w:r w:rsidRPr="00C67FEB" w:rsidR="004A02EF">
              <w:rPr>
                <w:rFonts w:ascii="Times New Roman" w:eastAsia="Times New Roman" w:hAnsi="Times New Roman" w:cs="Times New Roman"/>
                <w:i/>
                <w:iCs/>
                <w:sz w:val="24"/>
                <w:szCs w:val="24"/>
                <w:lang w:val="en-GB" w:eastAsia="cs-CZ"/>
              </w:rPr>
              <w:t>investment life insurance</w:t>
            </w:r>
            <w:r w:rsidRPr="00C67FEB">
              <w:rPr>
                <w:rFonts w:ascii="Times New Roman" w:eastAsia="Times New Roman" w:hAnsi="Times New Roman" w:cs="Times New Roman"/>
                <w:i/>
                <w:iCs/>
                <w:sz w:val="24"/>
                <w:szCs w:val="24"/>
                <w:lang w:val="en-GB" w:eastAsia="cs-CZ"/>
              </w:rPr>
              <w:t xml:space="preserve"> and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Market operator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principle, we agree with the intention to set up one investment account and one retirement savings account through which an individual would be able to invest in many other instruments / funds. As mentioned above under 1), there </w:t>
            </w:r>
            <w:r w:rsidRPr="00C67FEB" w:rsidR="004A02EF">
              <w:rPr>
                <w:rFonts w:ascii="Times New Roman" w:eastAsia="Times New Roman" w:hAnsi="Times New Roman" w:cs="Times New Roman"/>
                <w:i/>
                <w:iCs/>
                <w:sz w:val="24"/>
                <w:szCs w:val="24"/>
                <w:lang w:val="en-GB" w:eastAsia="cs-CZ"/>
              </w:rPr>
              <w:t>are many</w:t>
            </w:r>
            <w:r w:rsidRPr="00C67FEB">
              <w:rPr>
                <w:rFonts w:ascii="Times New Roman" w:eastAsia="Times New Roman" w:hAnsi="Times New Roman" w:cs="Times New Roman"/>
                <w:i/>
                <w:iCs/>
                <w:sz w:val="24"/>
                <w:szCs w:val="24"/>
                <w:lang w:val="en-GB" w:eastAsia="cs-CZ"/>
              </w:rPr>
              <w:t xml:space="preserve"> variation</w:t>
            </w:r>
            <w:r w:rsidRPr="00C67FEB" w:rsidR="004A02EF">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 of motivation</w:t>
            </w:r>
            <w:r w:rsidRPr="00C67FEB" w:rsidR="004A02EF">
              <w:rPr>
                <w:rFonts w:ascii="Times New Roman" w:eastAsia="Times New Roman" w:hAnsi="Times New Roman" w:cs="Times New Roman"/>
                <w:i/>
                <w:iCs/>
                <w:sz w:val="24"/>
                <w:szCs w:val="24"/>
                <w:lang w:val="en-GB" w:eastAsia="cs-CZ"/>
              </w:rPr>
              <w:t xml:space="preserve"> to imagine</w:t>
            </w:r>
            <w:r w:rsidRPr="00C67FEB">
              <w:rPr>
                <w:rFonts w:ascii="Times New Roman" w:eastAsia="Times New Roman" w:hAnsi="Times New Roman" w:cs="Times New Roman"/>
                <w:i/>
                <w:iCs/>
                <w:sz w:val="24"/>
                <w:szCs w:val="24"/>
                <w:lang w:val="en-GB" w:eastAsia="cs-CZ"/>
              </w:rPr>
              <w:t xml:space="preserve">. It is not appropriate to combine </w:t>
            </w:r>
            <w:r w:rsidRPr="00C67FEB" w:rsidR="004A02EF">
              <w:rPr>
                <w:rFonts w:ascii="Times New Roman" w:eastAsia="Times New Roman" w:hAnsi="Times New Roman" w:cs="Times New Roman"/>
                <w:i/>
                <w:iCs/>
                <w:sz w:val="24"/>
                <w:szCs w:val="24"/>
                <w:lang w:val="en-GB" w:eastAsia="cs-CZ"/>
              </w:rPr>
              <w:t>retirement</w:t>
            </w:r>
            <w:r w:rsidRPr="00C67FEB">
              <w:rPr>
                <w:rFonts w:ascii="Times New Roman" w:eastAsia="Times New Roman" w:hAnsi="Times New Roman" w:cs="Times New Roman"/>
                <w:i/>
                <w:iCs/>
                <w:sz w:val="24"/>
                <w:szCs w:val="24"/>
                <w:lang w:val="en-GB" w:eastAsia="cs-CZ"/>
              </w:rPr>
              <w:t xml:space="preserve"> savings</w:t>
            </w:r>
            <w:r w:rsidRPr="00C67FEB" w:rsidR="004A02EF">
              <w:rPr>
                <w:rFonts w:ascii="Times New Roman" w:eastAsia="Times New Roman" w:hAnsi="Times New Roman" w:cs="Times New Roman"/>
                <w:i/>
                <w:iCs/>
                <w:sz w:val="24"/>
                <w:szCs w:val="24"/>
                <w:lang w:val="en-GB" w:eastAsia="cs-CZ"/>
              </w:rPr>
              <w:t xml:space="preserve"> accounts</w:t>
            </w:r>
            <w:r w:rsidRPr="00C67FEB">
              <w:rPr>
                <w:rFonts w:ascii="Times New Roman" w:eastAsia="Times New Roman" w:hAnsi="Times New Roman" w:cs="Times New Roman"/>
                <w:i/>
                <w:iCs/>
                <w:sz w:val="24"/>
                <w:szCs w:val="24"/>
                <w:lang w:val="en-GB" w:eastAsia="cs-CZ"/>
              </w:rPr>
              <w:t xml:space="preserve"> and investment accounts into one product.</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particular, it is appropriate to distinguish between an individual investment account and an individual pension account. Both have different modes and mostly serve a different purpose. Note however, it is quite common in the UK that savings in the ISA personal investment account also serve as part of investors' income at their retirement age. It is common practice that withdrawals (either one-off or regular) from an ISA account supplement pension income. The reason is usually a combination of different tax structures, generational planning, investment strategies, etc. However, ISA provides investors with great flexibility, by choosing from that account at any time.</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For an investment account, it is necessary to count with one-time deposits and high withdrawals even before reaching retirement age (e</w:t>
            </w:r>
            <w:r w:rsidRPr="00C67FEB" w:rsidR="001E3BE9">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1E3BE9">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I sell a property and buy a new one after 5 years, meanwhile I want to invest in various e</w:t>
            </w:r>
            <w:r w:rsidRPr="00C67FEB" w:rsidR="001E3BE9">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1E3BE9">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5 funds through ISA). This simple investment account should complement the pension account. It should offer other tax benefits so that investors are offered more flexibility and incentives to use both the pension and investment accounts. The 60/60 rule would be unfortunate for both types of accounts, as many people already fear that they have access to pension accounts only on their 60th birthday, and that the</w:t>
            </w:r>
            <w:r w:rsidRPr="00C67FEB" w:rsidR="001E3BE9">
              <w:rPr>
                <w:rFonts w:ascii="Times New Roman" w:eastAsia="Times New Roman" w:hAnsi="Times New Roman" w:cs="Times New Roman"/>
                <w:i/>
                <w:iCs/>
                <w:sz w:val="24"/>
                <w:szCs w:val="24"/>
                <w:lang w:val="en-GB" w:eastAsia="cs-CZ"/>
              </w:rPr>
              <w:t>ir private pension</w:t>
            </w:r>
            <w:r w:rsidRPr="00C67FEB">
              <w:rPr>
                <w:rFonts w:ascii="Times New Roman" w:eastAsia="Times New Roman" w:hAnsi="Times New Roman" w:cs="Times New Roman"/>
                <w:i/>
                <w:iCs/>
                <w:sz w:val="24"/>
                <w:szCs w:val="24"/>
                <w:lang w:val="en-GB" w:eastAsia="cs-CZ"/>
              </w:rPr>
              <w:t xml:space="preserve"> can become nationalized at any time. As already mentioned, an alternative retirement account could be a personal investment account that would not, for example, offer tax support on initial investment but allow withdrawal without any tax and time burden, but would specify an annual deposit limit for each investment account holder. This is how the UK personal investment account (ISA) works and is very popular in the UK. This account can be opened only by institutions that have obtained permission from the tax office and their duty is to monitor the limits set by investors. ISA does not burden either the investor or the tax office, since profits / withdrawals do not have to be filled in the annual tax clearance.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retirement account should primarily be intended for long-term savings up to the selected retirement age (in the UK, private retirement savings have a retirement age of 10 years lower than the state, i</w:t>
            </w:r>
            <w:r w:rsidRPr="00C67FEB" w:rsidR="001E3BE9">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e</w:t>
            </w:r>
            <w:r w:rsidRPr="00C67FEB" w:rsidR="001E3BE9">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the state retirement age is 65 and the </w:t>
            </w:r>
            <w:r w:rsidRPr="00C67FEB" w:rsidR="001E3BE9">
              <w:rPr>
                <w:rFonts w:ascii="Times New Roman" w:eastAsia="Times New Roman" w:hAnsi="Times New Roman" w:cs="Times New Roman"/>
                <w:i/>
                <w:iCs/>
                <w:sz w:val="24"/>
                <w:szCs w:val="24"/>
                <w:lang w:val="en-GB" w:eastAsia="cs-CZ"/>
              </w:rPr>
              <w:t>“</w:t>
            </w:r>
            <w:r w:rsidRPr="00C67FEB" w:rsidR="001E3BE9">
              <w:rPr>
                <w:rFonts w:ascii="Times New Roman" w:eastAsia="Times New Roman" w:hAnsi="Times New Roman" w:cs="Times New Roman"/>
                <w:i/>
                <w:iCs/>
                <w:sz w:val="24"/>
                <w:szCs w:val="24"/>
                <w:lang w:val="en-GB" w:eastAsia="cs-CZ"/>
              </w:rPr>
              <w:t>private”</w:t>
            </w:r>
            <w:r w:rsidRPr="00C67FEB">
              <w:rPr>
                <w:rFonts w:ascii="Times New Roman" w:eastAsia="Times New Roman" w:hAnsi="Times New Roman" w:cs="Times New Roman"/>
                <w:i/>
                <w:iCs/>
                <w:sz w:val="24"/>
                <w:szCs w:val="24"/>
                <w:lang w:val="en-GB" w:eastAsia="cs-CZ"/>
              </w:rPr>
              <w:t>retirement</w:t>
            </w:r>
            <w:r w:rsidRPr="00C67FEB">
              <w:rPr>
                <w:rFonts w:ascii="Times New Roman" w:eastAsia="Times New Roman" w:hAnsi="Times New Roman" w:cs="Times New Roman"/>
                <w:i/>
                <w:iCs/>
                <w:sz w:val="24"/>
                <w:szCs w:val="24"/>
                <w:lang w:val="en-GB" w:eastAsia="cs-CZ"/>
              </w:rPr>
              <w:t xml:space="preserve"> age is 55</w:t>
            </w:r>
            <w:r w:rsidRPr="00C67FEB">
              <w:rPr>
                <w:rFonts w:ascii="Times New Roman" w:eastAsia="Times New Roman" w:hAnsi="Times New Roman" w:cs="Times New Roman"/>
                <w:i/>
                <w:iCs/>
                <w:sz w:val="24"/>
                <w:szCs w:val="24"/>
                <w:lang w:val="en-GB" w:eastAsia="cs-CZ"/>
              </w:rPr>
              <w:t>)</w:t>
            </w:r>
            <w:r w:rsidRPr="00C67FEB" w:rsidR="001E3BE9">
              <w:rPr>
                <w:rFonts w:ascii="Times New Roman" w:eastAsia="Times New Roman" w:hAnsi="Times New Roman" w:cs="Times New Roman"/>
                <w:i/>
                <w:iCs/>
                <w:sz w:val="24"/>
                <w:szCs w:val="24"/>
                <w:lang w:val="en-GB" w:eastAsia="cs-CZ"/>
              </w:rPr>
              <w:t>with</w:t>
            </w:r>
            <w:r w:rsidRPr="00C67FEB">
              <w:rPr>
                <w:rFonts w:ascii="Times New Roman" w:eastAsia="Times New Roman" w:hAnsi="Times New Roman" w:cs="Times New Roman"/>
                <w:i/>
                <w:iCs/>
                <w:sz w:val="24"/>
                <w:szCs w:val="24"/>
                <w:lang w:val="en-GB" w:eastAsia="cs-CZ"/>
              </w:rPr>
              <w:t xml:space="preserve"> regular payments and its gradual </w:t>
            </w:r>
            <w:r w:rsidRPr="00C67FEB" w:rsidR="001E3BE9">
              <w:rPr>
                <w:rFonts w:ascii="Times New Roman" w:eastAsia="Times New Roman" w:hAnsi="Times New Roman" w:cs="Times New Roman"/>
                <w:i/>
                <w:iCs/>
                <w:sz w:val="24"/>
                <w:szCs w:val="24"/>
                <w:lang w:val="en-GB" w:eastAsia="cs-CZ"/>
              </w:rPr>
              <w:t>withdrawals</w:t>
            </w:r>
            <w:r w:rsidRPr="00C67FEB">
              <w:rPr>
                <w:rFonts w:ascii="Times New Roman" w:eastAsia="Times New Roman" w:hAnsi="Times New Roman" w:cs="Times New Roman"/>
                <w:i/>
                <w:iCs/>
                <w:sz w:val="24"/>
                <w:szCs w:val="24"/>
                <w:lang w:val="en-GB" w:eastAsia="cs-CZ"/>
              </w:rPr>
              <w:t>, not one-off, after the end of working life. However, the pension part should also be set to higher income groups.</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Supervisory Authority</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State aid </w:t>
            </w:r>
            <w:r w:rsidRPr="00C67FEB" w:rsidR="001E3BE9">
              <w:rPr>
                <w:rFonts w:ascii="Times New Roman" w:eastAsia="Times New Roman" w:hAnsi="Times New Roman" w:cs="Times New Roman"/>
                <w:i/>
                <w:iCs/>
                <w:sz w:val="24"/>
                <w:szCs w:val="24"/>
                <w:lang w:val="en-GB" w:eastAsia="cs-CZ"/>
              </w:rPr>
              <w:t>of 3rd pillar</w:t>
            </w:r>
            <w:r w:rsidRPr="00C67FEB">
              <w:rPr>
                <w:rFonts w:ascii="Times New Roman" w:eastAsia="Times New Roman" w:hAnsi="Times New Roman" w:cs="Times New Roman"/>
                <w:i/>
                <w:iCs/>
                <w:sz w:val="24"/>
                <w:szCs w:val="24"/>
                <w:lang w:val="en-GB" w:eastAsia="cs-CZ"/>
              </w:rPr>
              <w:t xml:space="preserve"> incl. </w:t>
            </w:r>
            <w:r w:rsidRPr="00C67FEB" w:rsidR="001E3BE9">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ossible changes are currently being discussed on the Commission's Platform for Fair Pensions. The CNB takes a neutral view on the possible extension of tax relief to citizens' contributions to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and related legislative changes. However, it should be noted that it would be appropriate - whether or not </w:t>
            </w:r>
            <w:r w:rsidRPr="00C67FEB" w:rsidR="001E3BE9">
              <w:rPr>
                <w:rFonts w:ascii="Times New Roman" w:eastAsia="Times New Roman" w:hAnsi="Times New Roman" w:cs="Times New Roman"/>
                <w:i/>
                <w:iCs/>
                <w:sz w:val="24"/>
                <w:szCs w:val="24"/>
                <w:lang w:val="en-GB" w:eastAsia="cs-CZ"/>
              </w:rPr>
              <w:t>extension will take place</w:t>
            </w:r>
            <w:r w:rsidRPr="00C67FEB">
              <w:rPr>
                <w:rFonts w:ascii="Times New Roman" w:eastAsia="Times New Roman" w:hAnsi="Times New Roman" w:cs="Times New Roman"/>
                <w:i/>
                <w:iCs/>
                <w:sz w:val="24"/>
                <w:szCs w:val="24"/>
                <w:lang w:val="en-GB" w:eastAsia="cs-CZ"/>
              </w:rPr>
              <w:t xml:space="preserve"> - to have a thorough discussion of efficiency </w:t>
            </w:r>
            <w:r w:rsidRPr="00C67FEB" w:rsidR="001E3BE9">
              <w:rPr>
                <w:rFonts w:ascii="Times New Roman" w:eastAsia="Times New Roman" w:hAnsi="Times New Roman" w:cs="Times New Roman"/>
                <w:i/>
                <w:iCs/>
                <w:sz w:val="24"/>
                <w:szCs w:val="24"/>
                <w:lang w:val="en-GB" w:eastAsia="cs-CZ"/>
              </w:rPr>
              <w:t>of 3rd pillar</w:t>
            </w:r>
            <w:r w:rsidRPr="00C67FEB">
              <w:rPr>
                <w:rFonts w:ascii="Times New Roman" w:eastAsia="Times New Roman" w:hAnsi="Times New Roman" w:cs="Times New Roman"/>
                <w:i/>
                <w:iCs/>
                <w:sz w:val="24"/>
                <w:szCs w:val="24"/>
                <w:lang w:val="en-GB" w:eastAsia="cs-CZ"/>
              </w:rPr>
              <w:t xml:space="preserve"> in connection with its tax support.</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As already mentioned, account should also be taken of the existence of a pan-European personal pension product (PEPP), which makes it possible to significantly broaden the range of existing pension products while imposing, inter alia, distribution requirements and disclosure obligations to participants and tax support to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as another type of pension product.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2</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No, because for those who are already using old-age savings products, this change does not provide any incentive to further </w:t>
            </w:r>
            <w:r w:rsidRPr="00C67FEB" w:rsidR="00B07F16">
              <w:rPr>
                <w:rFonts w:ascii="Times New Roman" w:eastAsia="Times New Roman" w:hAnsi="Times New Roman" w:cs="Times New Roman"/>
                <w:i/>
                <w:iCs/>
                <w:sz w:val="24"/>
                <w:szCs w:val="24"/>
                <w:lang w:val="en-GB" w:eastAsia="cs-CZ"/>
              </w:rPr>
              <w:t xml:space="preserve">increase </w:t>
            </w:r>
            <w:r w:rsidRPr="00C67FEB">
              <w:rPr>
                <w:rFonts w:ascii="Times New Roman" w:eastAsia="Times New Roman" w:hAnsi="Times New Roman" w:cs="Times New Roman"/>
                <w:i/>
                <w:iCs/>
                <w:sz w:val="24"/>
                <w:szCs w:val="24"/>
                <w:lang w:val="en-GB" w:eastAsia="cs-CZ"/>
              </w:rPr>
              <w:t xml:space="preserve">old-age savings (even for those who do not use existing old-age savings products, this change does not constitute any new incentive). Instead, we propose that the taxpayer limit be raised in connection with the introduction of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s. This would encourage those already using existing retirement savings products to start using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s.</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4</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introduction of another state aid product, moreover for the same purpose as it is already supported, does not make much sense in terms of motivation and will only increase the confusion of the market and the unpredictability of the state's access to voluntary pension savings for citizens. We have been criticizing the plan for a long time, especially because we do not </w:t>
            </w:r>
            <w:r w:rsidRPr="00C67FEB" w:rsidR="00B07F16">
              <w:rPr>
                <w:rFonts w:ascii="Times New Roman" w:eastAsia="Times New Roman" w:hAnsi="Times New Roman" w:cs="Times New Roman"/>
                <w:i/>
                <w:iCs/>
                <w:sz w:val="24"/>
                <w:szCs w:val="24"/>
                <w:lang w:val="en-GB" w:eastAsia="cs-CZ"/>
              </w:rPr>
              <w:t>notice</w:t>
            </w:r>
            <w:r w:rsidRPr="00C67FEB">
              <w:rPr>
                <w:rFonts w:ascii="Times New Roman" w:eastAsia="Times New Roman" w:hAnsi="Times New Roman" w:cs="Times New Roman"/>
                <w:i/>
                <w:iCs/>
                <w:sz w:val="24"/>
                <w:szCs w:val="24"/>
                <w:lang w:val="en-GB" w:eastAsia="cs-CZ"/>
              </w:rPr>
              <w:t xml:space="preserve"> public demand. In our experience, pension savings should be concentrated in a simple, understandable and safe product in order to allow the calculation of pensions, not to be broken down into different, difficult to compare products, especially if they are to receive the same </w:t>
            </w:r>
            <w:r w:rsidRPr="00C67FEB" w:rsidR="00B07F16">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tate aid (tax relief) or similar terms (such as employer's contributions). </w:t>
            </w:r>
            <w:r w:rsidRPr="00C67FEB" w:rsidR="00B07F16">
              <w:rPr>
                <w:rFonts w:ascii="Times New Roman" w:eastAsia="Times New Roman" w:hAnsi="Times New Roman" w:cs="Times New Roman"/>
                <w:i/>
                <w:iCs/>
                <w:sz w:val="24"/>
                <w:szCs w:val="24"/>
                <w:lang w:val="en-GB" w:eastAsia="cs-CZ"/>
              </w:rPr>
              <w:t>So-called</w:t>
            </w:r>
            <w:r w:rsidRPr="00C67FEB">
              <w:rPr>
                <w:rFonts w:ascii="Times New Roman" w:eastAsia="Times New Roman" w:hAnsi="Times New Roman" w:cs="Times New Roman"/>
                <w:i/>
                <w:iCs/>
                <w:sz w:val="24"/>
                <w:szCs w:val="24"/>
                <w:lang w:val="en-GB" w:eastAsia="cs-CZ"/>
              </w:rPr>
              <w:t xml:space="preserve"> pension savings for which state aid is granted should logically be registered with one administrator. We do not consider the requirement for the 60 + 60 rule to be sufficient, as existing pension products and their providers are also substantially regulated in other respects (e</w:t>
            </w:r>
            <w:r w:rsidRPr="00C67FEB" w:rsidR="00B07F1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B07F1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investment, fee and commission limits). The possible extension of the possibility of drawing state aid to other financial products should ensure comparable conditions in the regulation of such products and thus also the competitiveness on the market. It should be preceded by an analysis of the impact on the pension system whether broad state support for savings in bank accounts or mutual funds will actually contribute to increasing the volume of savings earmarked for retirement security, will lead to disbursement of such savings in the form of pensions and the actual impact such an extension of state aid </w:t>
            </w:r>
            <w:r w:rsidRPr="00C67FEB" w:rsidR="00A73498">
              <w:rPr>
                <w:rFonts w:ascii="Times New Roman" w:eastAsia="Times New Roman" w:hAnsi="Times New Roman" w:cs="Times New Roman"/>
                <w:i/>
                <w:iCs/>
                <w:sz w:val="24"/>
                <w:szCs w:val="24"/>
                <w:lang w:val="en-GB" w:eastAsia="cs-CZ"/>
              </w:rPr>
              <w:t>will mean</w:t>
            </w:r>
            <w:r w:rsidRPr="00C67FEB">
              <w:rPr>
                <w:rFonts w:ascii="Times New Roman" w:eastAsia="Times New Roman" w:hAnsi="Times New Roman" w:cs="Times New Roman"/>
                <w:i/>
                <w:iCs/>
                <w:sz w:val="24"/>
                <w:szCs w:val="24"/>
                <w:lang w:val="en-GB" w:eastAsia="cs-CZ"/>
              </w:rPr>
              <w:t xml:space="preserve"> for the state budget.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 can be agreeable</w:t>
            </w:r>
            <w:r w:rsidRPr="00C67FEB">
              <w:rPr>
                <w:rFonts w:ascii="Times New Roman" w:eastAsia="Times New Roman" w:hAnsi="Times New Roman" w:cs="Times New Roman"/>
                <w:i/>
                <w:iCs/>
                <w:sz w:val="24"/>
                <w:szCs w:val="24"/>
                <w:lang w:val="en-GB" w:eastAsia="cs-CZ"/>
              </w:rPr>
              <w:t xml:space="preserve"> to join the limits, but we suggest raising these limits and </w:t>
            </w:r>
            <w:r w:rsidRPr="00C67FEB">
              <w:rPr>
                <w:rFonts w:ascii="Times New Roman" w:eastAsia="Times New Roman" w:hAnsi="Times New Roman" w:cs="Times New Roman"/>
                <w:i/>
                <w:iCs/>
                <w:sz w:val="24"/>
                <w:szCs w:val="24"/>
                <w:lang w:val="en-GB" w:eastAsia="cs-CZ"/>
              </w:rPr>
              <w:t>also suggest</w:t>
            </w:r>
            <w:r w:rsidRPr="00C67FEB">
              <w:rPr>
                <w:rFonts w:ascii="Times New Roman" w:eastAsia="Times New Roman" w:hAnsi="Times New Roman" w:cs="Times New Roman"/>
                <w:i/>
                <w:iCs/>
                <w:sz w:val="24"/>
                <w:szCs w:val="24"/>
                <w:lang w:val="en-GB" w:eastAsia="cs-CZ"/>
              </w:rPr>
              <w:t xml:space="preserve"> that you allow contributions to account beyond these limits.</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2:</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Ministry of Finance is </w:t>
            </w:r>
            <w:r w:rsidRPr="00C67FEB" w:rsidR="001870CA">
              <w:rPr>
                <w:rFonts w:ascii="Times New Roman" w:eastAsia="Times New Roman" w:hAnsi="Times New Roman" w:cs="Times New Roman"/>
                <w:i/>
                <w:iCs/>
                <w:sz w:val="24"/>
                <w:szCs w:val="24"/>
                <w:lang w:val="en-GB" w:eastAsia="cs-CZ"/>
              </w:rPr>
              <w:t>in charge</w:t>
            </w:r>
            <w:r w:rsidRPr="00C67FEB">
              <w:rPr>
                <w:rFonts w:ascii="Times New Roman" w:eastAsia="Times New Roman" w:hAnsi="Times New Roman" w:cs="Times New Roman"/>
                <w:i/>
                <w:iCs/>
                <w:sz w:val="24"/>
                <w:szCs w:val="24"/>
                <w:lang w:val="en-GB" w:eastAsia="cs-CZ"/>
              </w:rPr>
              <w:t xml:space="preserve"> for extending the application of the existing tax breaks for employees in relation to the employer's contributions to pension products as well as to the employer's contributions to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w:t>
            </w:r>
            <w:r w:rsidRPr="00C67FEB" w:rsidR="001870CA">
              <w:rPr>
                <w:rFonts w:ascii="Times New Roman" w:eastAsia="Times New Roman" w:hAnsi="Times New Roman" w:cs="Times New Roman"/>
                <w:i/>
                <w:iCs/>
                <w:sz w:val="24"/>
                <w:szCs w:val="24"/>
                <w:lang w:val="en-GB" w:eastAsia="cs-CZ"/>
              </w:rPr>
              <w:t>, concerning this matter, the CNB has neutral position</w:t>
            </w:r>
            <w:r w:rsidRPr="00C67FEB">
              <w:rPr>
                <w:rFonts w:ascii="Times New Roman" w:eastAsia="Times New Roman" w:hAnsi="Times New Roman" w:cs="Times New Roman"/>
                <w:i/>
                <w:iCs/>
                <w:sz w:val="24"/>
                <w:szCs w:val="24"/>
                <w:lang w:val="en-GB" w:eastAsia="cs-CZ"/>
              </w:rPr>
              <w:t xml:space="preserve">. In this context, we would like to point out that the “individual savings account” in the United </w:t>
            </w:r>
            <w:r w:rsidRPr="00C67FEB">
              <w:rPr>
                <w:rFonts w:ascii="Times New Roman" w:eastAsia="Times New Roman" w:hAnsi="Times New Roman" w:cs="Times New Roman"/>
                <w:i/>
                <w:iCs/>
                <w:sz w:val="24"/>
                <w:szCs w:val="24"/>
                <w:lang w:val="en-GB" w:eastAsia="cs-CZ"/>
              </w:rPr>
              <w:t>Kingdom, the “individual retirement account” in the USA and the “</w:t>
            </w:r>
            <w:r w:rsidRPr="00C67FEB" w:rsidR="001870CA">
              <w:rPr>
                <w:rFonts w:ascii="Times New Roman" w:eastAsia="Times New Roman" w:hAnsi="Times New Roman" w:cs="Times New Roman"/>
                <w:i/>
                <w:iCs/>
                <w:sz w:val="24"/>
                <w:szCs w:val="24"/>
                <w:lang w:val="en-GB" w:eastAsia="cs-CZ"/>
              </w:rPr>
              <w:t>dlhodobé</w:t>
            </w:r>
            <w:r w:rsidRPr="00C67FEB" w:rsidR="001870CA">
              <w:rPr>
                <w:rFonts w:ascii="Times New Roman" w:eastAsia="Times New Roman" w:hAnsi="Times New Roman" w:cs="Times New Roman"/>
                <w:i/>
                <w:iCs/>
                <w:sz w:val="24"/>
                <w:szCs w:val="24"/>
                <w:lang w:val="en-GB" w:eastAsia="cs-CZ"/>
              </w:rPr>
              <w:t xml:space="preserve"> </w:t>
            </w:r>
            <w:r w:rsidRPr="00C67FEB" w:rsidR="001870CA">
              <w:rPr>
                <w:rFonts w:ascii="Times New Roman" w:eastAsia="Times New Roman" w:hAnsi="Times New Roman" w:cs="Times New Roman"/>
                <w:i/>
                <w:iCs/>
                <w:sz w:val="24"/>
                <w:szCs w:val="24"/>
                <w:lang w:val="en-GB" w:eastAsia="cs-CZ"/>
              </w:rPr>
              <w:t>investičné</w:t>
            </w:r>
            <w:r w:rsidRPr="00C67FEB" w:rsidR="001870CA">
              <w:rPr>
                <w:rFonts w:ascii="Times New Roman" w:eastAsia="Times New Roman" w:hAnsi="Times New Roman" w:cs="Times New Roman"/>
                <w:i/>
                <w:iCs/>
                <w:sz w:val="24"/>
                <w:szCs w:val="24"/>
                <w:lang w:val="en-GB" w:eastAsia="cs-CZ"/>
              </w:rPr>
              <w:t xml:space="preserve"> </w:t>
            </w:r>
            <w:r w:rsidRPr="00C67FEB" w:rsidR="001870CA">
              <w:rPr>
                <w:rFonts w:ascii="Times New Roman" w:eastAsia="Times New Roman" w:hAnsi="Times New Roman" w:cs="Times New Roman"/>
                <w:i/>
                <w:iCs/>
                <w:sz w:val="24"/>
                <w:szCs w:val="24"/>
                <w:lang w:val="en-GB" w:eastAsia="cs-CZ"/>
              </w:rPr>
              <w:t>sporenie</w:t>
            </w:r>
            <w:r w:rsidRPr="00C67FEB">
              <w:rPr>
                <w:rFonts w:ascii="Times New Roman" w:eastAsia="Times New Roman" w:hAnsi="Times New Roman" w:cs="Times New Roman"/>
                <w:i/>
                <w:iCs/>
                <w:sz w:val="24"/>
                <w:szCs w:val="24"/>
                <w:lang w:val="en-GB" w:eastAsia="cs-CZ"/>
              </w:rPr>
              <w:t xml:space="preserve">” in Slovakia cannot be considered as inspirational models for this purpose, where the above type of support does not exist. The issue of tax relief for employees on employers' contributions to the </w:t>
            </w:r>
            <w:r w:rsidRPr="00C67FEB" w:rsidR="001870CA">
              <w:rPr>
                <w:rFonts w:ascii="Times New Roman" w:eastAsia="Times New Roman" w:hAnsi="Times New Roman" w:cs="Times New Roman"/>
                <w:i/>
                <w:iCs/>
                <w:sz w:val="24"/>
                <w:szCs w:val="24"/>
                <w:lang w:val="en-GB" w:eastAsia="cs-CZ"/>
              </w:rPr>
              <w:t>“</w:t>
            </w:r>
            <w:r w:rsidRPr="00C67FEB" w:rsidR="008F46DE">
              <w:rPr>
                <w:rFonts w:ascii="Times New Roman" w:eastAsia="Times New Roman" w:hAnsi="Times New Roman" w:cs="Times New Roman"/>
                <w:i/>
                <w:iCs/>
                <w:sz w:val="24"/>
                <w:szCs w:val="24"/>
                <w:lang w:val="en-GB" w:eastAsia="cs-CZ"/>
              </w:rPr>
              <w:t>Long-Term Investment Account</w:t>
            </w:r>
            <w:r w:rsidRPr="00C67FEB" w:rsidR="001870CA">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should also be generally discussed in the context of effectiveness assessment </w:t>
            </w:r>
            <w:r w:rsidRPr="00C67FEB" w:rsidR="001870CA">
              <w:rPr>
                <w:rFonts w:ascii="Times New Roman" w:eastAsia="Times New Roman" w:hAnsi="Times New Roman" w:cs="Times New Roman"/>
                <w:i/>
                <w:iCs/>
                <w:sz w:val="24"/>
                <w:szCs w:val="24"/>
                <w:lang w:val="en-GB" w:eastAsia="cs-CZ"/>
              </w:rPr>
              <w:t>3rd</w:t>
            </w:r>
            <w:r w:rsidRPr="00C67FEB">
              <w:rPr>
                <w:rFonts w:ascii="Times New Roman" w:eastAsia="Times New Roman" w:hAnsi="Times New Roman" w:cs="Times New Roman"/>
                <w:i/>
                <w:iCs/>
                <w:sz w:val="24"/>
                <w:szCs w:val="24"/>
                <w:lang w:val="en-GB" w:eastAsia="cs-CZ"/>
              </w:rPr>
              <w:t xml:space="preserve"> pillar.</w:t>
            </w:r>
            <w:r w:rsidR="0087579E">
              <w:rPr>
                <w:rFonts w:ascii="Times New Roman" w:eastAsia="Times New Roman" w:hAnsi="Times New Roman" w:cs="Times New Roman"/>
                <w:i/>
                <w:iCs/>
                <w:sz w:val="24"/>
                <w:szCs w:val="24"/>
                <w:lang w:val="en-GB" w:eastAsia="cs-CZ"/>
              </w:rPr>
              <w:t xml:space="preserve">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It is not clear from the description how this should work. If it </w:t>
            </w:r>
            <w:r w:rsidRPr="00C67FEB" w:rsidR="001870CA">
              <w:rPr>
                <w:rFonts w:ascii="Times New Roman" w:eastAsia="Times New Roman" w:hAnsi="Times New Roman" w:cs="Times New Roman"/>
                <w:i/>
                <w:iCs/>
                <w:sz w:val="24"/>
                <w:szCs w:val="24"/>
                <w:lang w:val="en-GB" w:eastAsia="cs-CZ"/>
              </w:rPr>
              <w:t>was about abolishing of</w:t>
            </w:r>
            <w:r w:rsidRPr="00C67FEB">
              <w:rPr>
                <w:rFonts w:ascii="Times New Roman" w:eastAsia="Times New Roman" w:hAnsi="Times New Roman" w:cs="Times New Roman"/>
                <w:i/>
                <w:iCs/>
                <w:sz w:val="24"/>
                <w:szCs w:val="24"/>
                <w:lang w:val="en-GB" w:eastAsia="cs-CZ"/>
              </w:rPr>
              <w:t xml:space="preserve"> the tax deduction for the employer and replac</w:t>
            </w:r>
            <w:r w:rsidRPr="00C67FEB" w:rsidR="001870CA">
              <w:rPr>
                <w:rFonts w:ascii="Times New Roman" w:eastAsia="Times New Roman" w:hAnsi="Times New Roman" w:cs="Times New Roman"/>
                <w:i/>
                <w:iCs/>
                <w:sz w:val="24"/>
                <w:szCs w:val="24"/>
                <w:lang w:val="en-GB" w:eastAsia="cs-CZ"/>
              </w:rPr>
              <w:t>ing</w:t>
            </w:r>
            <w:r w:rsidRPr="00C67FEB">
              <w:rPr>
                <w:rFonts w:ascii="Times New Roman" w:eastAsia="Times New Roman" w:hAnsi="Times New Roman" w:cs="Times New Roman"/>
                <w:i/>
                <w:iCs/>
                <w:sz w:val="24"/>
                <w:szCs w:val="24"/>
                <w:lang w:val="en-GB" w:eastAsia="cs-CZ"/>
              </w:rPr>
              <w:t xml:space="preserve"> it by increasing the limit for the taxpayer, then </w:t>
            </w:r>
            <w:r w:rsidRPr="00C67FEB" w:rsidR="001870CA">
              <w:rPr>
                <w:rFonts w:ascii="Times New Roman" w:eastAsia="Times New Roman" w:hAnsi="Times New Roman" w:cs="Times New Roman"/>
                <w:i/>
                <w:iCs/>
                <w:sz w:val="24"/>
                <w:szCs w:val="24"/>
                <w:lang w:val="en-GB" w:eastAsia="cs-CZ"/>
              </w:rPr>
              <w:t>I disagree</w:t>
            </w:r>
            <w:r w:rsidRPr="00C67FEB">
              <w:rPr>
                <w:rFonts w:ascii="Times New Roman" w:eastAsia="Times New Roman" w:hAnsi="Times New Roman" w:cs="Times New Roman"/>
                <w:i/>
                <w:iCs/>
                <w:sz w:val="24"/>
                <w:szCs w:val="24"/>
                <w:lang w:val="en-GB" w:eastAsia="cs-CZ"/>
              </w:rPr>
              <w:t>. Employer should continue to be motivated to contribute to saving their employees.</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Educational institution</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We support the introduction of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as a form of old-age security </w:t>
            </w:r>
            <w:r w:rsidRPr="00C67FEB" w:rsidR="001870CA">
              <w:rPr>
                <w:rFonts w:ascii="Times New Roman" w:eastAsia="Times New Roman" w:hAnsi="Times New Roman" w:cs="Times New Roman"/>
                <w:i/>
                <w:iCs/>
                <w:sz w:val="24"/>
                <w:szCs w:val="24"/>
                <w:lang w:val="en-GB" w:eastAsia="cs-CZ"/>
              </w:rPr>
              <w:t xml:space="preserve">frequent </w:t>
            </w:r>
            <w:r w:rsidRPr="00C67FEB">
              <w:rPr>
                <w:rFonts w:ascii="Times New Roman" w:eastAsia="Times New Roman" w:hAnsi="Times New Roman" w:cs="Times New Roman"/>
                <w:i/>
                <w:iCs/>
                <w:sz w:val="24"/>
                <w:szCs w:val="24"/>
                <w:lang w:val="en-GB" w:eastAsia="cs-CZ"/>
              </w:rPr>
              <w:t>in developed countries in Western Europe.</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Employer contributions should not be directed to more equally targeted products, especially if other financial products are not treated from the perspective of the possibility of influencing the employee's choice of </w:t>
            </w:r>
            <w:r w:rsidRPr="00C67FEB" w:rsidR="001870CA">
              <w:rPr>
                <w:rFonts w:ascii="Times New Roman" w:eastAsia="Times New Roman" w:hAnsi="Times New Roman" w:cs="Times New Roman"/>
                <w:i/>
                <w:iCs/>
                <w:sz w:val="24"/>
                <w:szCs w:val="24"/>
                <w:lang w:val="en-GB" w:eastAsia="cs-CZ"/>
              </w:rPr>
              <w:t>providing company</w:t>
            </w:r>
            <w:r w:rsidRPr="00C67FEB">
              <w:rPr>
                <w:rFonts w:ascii="Times New Roman" w:eastAsia="Times New Roman" w:hAnsi="Times New Roman" w:cs="Times New Roman"/>
                <w:i/>
                <w:iCs/>
                <w:sz w:val="24"/>
                <w:szCs w:val="24"/>
                <w:lang w:val="en-GB" w:eastAsia="cs-CZ"/>
              </w:rPr>
              <w:t xml:space="preserve"> by the </w:t>
            </w:r>
            <w:r w:rsidRPr="00C67FEB" w:rsidR="001870CA">
              <w:rPr>
                <w:rFonts w:ascii="Times New Roman" w:eastAsia="Times New Roman" w:hAnsi="Times New Roman" w:cs="Times New Roman"/>
                <w:i/>
                <w:iCs/>
                <w:sz w:val="24"/>
                <w:szCs w:val="24"/>
                <w:lang w:val="en-GB" w:eastAsia="cs-CZ"/>
              </w:rPr>
              <w:t>employer</w:t>
            </w:r>
            <w:r w:rsidRPr="00C67FEB" w:rsidR="007E5497">
              <w:rPr>
                <w:rFonts w:ascii="Times New Roman" w:eastAsia="Times New Roman" w:hAnsi="Times New Roman" w:cs="Times New Roman"/>
                <w:i/>
                <w:iCs/>
                <w:sz w:val="24"/>
                <w:szCs w:val="24"/>
                <w:lang w:val="en-GB" w:eastAsia="cs-CZ"/>
              </w:rPr>
              <w:t>’</w:t>
            </w:r>
            <w:r w:rsidRPr="00C67FEB" w:rsidR="001870CA">
              <w:rPr>
                <w:rFonts w:ascii="Times New Roman" w:eastAsia="Times New Roman" w:hAnsi="Times New Roman" w:cs="Times New Roman"/>
                <w:i/>
                <w:iCs/>
                <w:sz w:val="24"/>
                <w:szCs w:val="24"/>
                <w:lang w:val="en-GB" w:eastAsia="cs-CZ"/>
              </w:rPr>
              <w:t>s perspective</w:t>
            </w:r>
            <w:r w:rsidRPr="00C67FEB">
              <w:rPr>
                <w:rFonts w:ascii="Times New Roman" w:eastAsia="Times New Roman" w:hAnsi="Times New Roman" w:cs="Times New Roman"/>
                <w:i/>
                <w:iCs/>
                <w:sz w:val="24"/>
                <w:szCs w:val="24"/>
                <w:lang w:val="en-GB" w:eastAsia="cs-CZ"/>
              </w:rPr>
              <w:t xml:space="preserve"> </w:t>
            </w:r>
            <w:r w:rsidRPr="00C67FEB" w:rsidR="007E5497">
              <w:rPr>
                <w:rFonts w:ascii="Times New Roman" w:eastAsia="Times New Roman" w:hAnsi="Times New Roman" w:cs="Times New Roman"/>
                <w:i/>
                <w:iCs/>
                <w:sz w:val="24"/>
                <w:szCs w:val="24"/>
                <w:lang w:val="en-GB" w:eastAsia="cs-CZ"/>
              </w:rPr>
              <w:t>in similar matter</w:t>
            </w:r>
            <w:r w:rsidRPr="00C67FEB">
              <w:rPr>
                <w:rFonts w:ascii="Times New Roman" w:eastAsia="Times New Roman" w:hAnsi="Times New Roman" w:cs="Times New Roman"/>
                <w:i/>
                <w:iCs/>
                <w:sz w:val="24"/>
                <w:szCs w:val="24"/>
                <w:lang w:val="en-GB" w:eastAsia="cs-CZ"/>
              </w:rPr>
              <w:t xml:space="preserve"> as supplementary pension savings</w:t>
            </w:r>
            <w:r w:rsidRPr="00C67FEB" w:rsidR="007E5497">
              <w:rPr>
                <w:rFonts w:ascii="Times New Roman" w:eastAsia="Times New Roman" w:hAnsi="Times New Roman" w:cs="Times New Roman"/>
                <w:i/>
                <w:iCs/>
                <w:sz w:val="24"/>
                <w:szCs w:val="24"/>
                <w:lang w:val="en-GB" w:eastAsia="cs-CZ"/>
              </w:rPr>
              <w:t xml:space="preserve"> work</w:t>
            </w:r>
            <w:r w:rsidRPr="00C67FEB">
              <w:rPr>
                <w:rFonts w:ascii="Times New Roman" w:eastAsia="Times New Roman" w:hAnsi="Times New Roman" w:cs="Times New Roman"/>
                <w:i/>
                <w:iCs/>
                <w:sz w:val="24"/>
                <w:szCs w:val="24"/>
                <w:lang w:val="en-GB" w:eastAsia="cs-CZ"/>
              </w:rPr>
              <w: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question is, however, whether it would be more appropriate to concentrate only on the exemption of income on the account, i</w:t>
            </w:r>
            <w:r w:rsidRPr="00C67FEB" w:rsidR="007E549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e</w:t>
            </w:r>
            <w:r w:rsidRPr="00C67FEB" w:rsidR="007E549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to allow the savings saved </w:t>
            </w:r>
            <w:r w:rsidRPr="00C67FEB" w:rsidR="007E5497">
              <w:rPr>
                <w:rFonts w:ascii="Times New Roman" w:eastAsia="Times New Roman" w:hAnsi="Times New Roman" w:cs="Times New Roman"/>
                <w:i/>
                <w:iCs/>
                <w:sz w:val="24"/>
                <w:szCs w:val="24"/>
                <w:lang w:val="en-GB" w:eastAsia="cs-CZ"/>
              </w:rPr>
              <w:t>not to be taxed</w:t>
            </w:r>
            <w:r w:rsidRPr="00C67FEB">
              <w:rPr>
                <w:rFonts w:ascii="Times New Roman" w:eastAsia="Times New Roman" w:hAnsi="Times New Roman" w:cs="Times New Roman"/>
                <w:i/>
                <w:iCs/>
                <w:sz w:val="24"/>
                <w:szCs w:val="24"/>
                <w:lang w:val="en-GB" w:eastAsia="cs-CZ"/>
              </w:rPr>
              <w:t xml:space="preserve"> and, conversely, to allow the limit to be increased.</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3:</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see above. The investment account should not have a time limit.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relation to the possibility of extending assets (stocks, bonds, etc.), a revision of rule 60 + 60 would be appropriate, at least in relation to this "other" asset - e</w:t>
            </w:r>
            <w:r w:rsidRPr="00C67FEB" w:rsidR="007E549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g</w:t>
            </w:r>
            <w:r w:rsidRPr="00C67FEB" w:rsidR="007E549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in the form of creating another rule applicable to this type of asset investment as Slovakia uses</w:t>
            </w:r>
            <w:r w:rsidRPr="00C67FEB" w:rsidR="007E5497">
              <w:rPr>
                <w:rFonts w:ascii="Times New Roman" w:eastAsia="Times New Roman" w:hAnsi="Times New Roman" w:cs="Times New Roman"/>
                <w:i/>
                <w:iCs/>
                <w:sz w:val="24"/>
                <w:szCs w:val="24"/>
                <w:lang w:val="en-GB" w:eastAsia="cs-CZ"/>
              </w:rPr>
              <w:t>, e.g. long termism of investment.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consider this single rule to be inadequate. Furthermore, in our opinion, it would be at least necessary that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not only allow</w:t>
            </w:r>
            <w:r w:rsidRPr="00C67FEB" w:rsidR="007E5497">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 for a one-off withdrawal, but also a regular payment in the form of a fixed-term pension or life annuity, otherwise it will not </w:t>
            </w:r>
            <w:r w:rsidRPr="00C67FEB" w:rsidR="007E5497">
              <w:rPr>
                <w:rFonts w:ascii="Times New Roman" w:eastAsia="Times New Roman" w:hAnsi="Times New Roman" w:cs="Times New Roman"/>
                <w:i/>
                <w:iCs/>
                <w:sz w:val="24"/>
                <w:szCs w:val="24"/>
                <w:lang w:val="en-GB" w:eastAsia="cs-CZ"/>
              </w:rPr>
              <w:t>fulfil</w:t>
            </w:r>
            <w:r w:rsidRPr="00C67FEB">
              <w:rPr>
                <w:rFonts w:ascii="Times New Roman" w:eastAsia="Times New Roman" w:hAnsi="Times New Roman" w:cs="Times New Roman"/>
                <w:i/>
                <w:iCs/>
                <w:sz w:val="24"/>
                <w:szCs w:val="24"/>
                <w:lang w:val="en-GB" w:eastAsia="cs-CZ"/>
              </w:rPr>
              <w:t xml:space="preserve"> the full role of old-age security. One of the possible forms of payment should be the transfer of funds from such an account to supplementary pension savings, </w:t>
            </w:r>
            <w:r w:rsidRPr="00C67FEB" w:rsidR="007E5497">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due to the payment of pre-retirement</w:t>
            </w:r>
            <w:r w:rsidRPr="00C67FEB" w:rsidR="007E5497">
              <w:rPr>
                <w:rFonts w:ascii="Times New Roman" w:eastAsia="Times New Roman" w:hAnsi="Times New Roman" w:cs="Times New Roman"/>
                <w:i/>
                <w:iCs/>
                <w:sz w:val="24"/>
                <w:szCs w:val="24"/>
                <w:lang w:val="en-GB" w:eastAsia="cs-CZ"/>
              </w:rPr>
              <w:t xml:space="preserve"> fund</w:t>
            </w:r>
            <w:r w:rsidRPr="00C67FEB">
              <w:rPr>
                <w:rFonts w:ascii="Times New Roman" w:eastAsia="Times New Roman" w:hAnsi="Times New Roman" w:cs="Times New Roman"/>
                <w:i/>
                <w:iCs/>
                <w:sz w:val="24"/>
                <w:szCs w:val="24"/>
                <w:lang w:val="en-GB" w:eastAsia="cs-CZ"/>
              </w:rPr>
              <w:t>.</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4:</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Market operator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 does not seem necessary for a retirement account. Not suitable for an investment account.</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 regard to the pension purpose, it would be necessary to extend the investment phase to at least 120 months and consider the age shift to 65 years in accordance with the statutory retirement age in the Czech Republic.</w:t>
            </w:r>
            <w:r w:rsidR="0087579E">
              <w:rPr>
                <w:rFonts w:ascii="Times New Roman" w:eastAsia="Times New Roman" w:hAnsi="Times New Roman" w:cs="Times New Roman"/>
                <w:i/>
                <w:iCs/>
                <w:sz w:val="24"/>
                <w:szCs w:val="24"/>
                <w:lang w:val="en-GB" w:eastAsia="cs-CZ"/>
              </w:rPr>
              <w:t xml:space="preserve"> </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5:</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Market operator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 would be more appropriate to set up two new accounts - a personal investment account (let's call it ISA) and a personal pension account (let's call it SIPP), so that it is clear what comes under and does not fall under pension legislation.</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NO, we propose the name </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pension investment account</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w:t>
            </w:r>
          </w:p>
          <w:p w:rsidR="00403DFA" w:rsidRPr="00DE785C" w:rsidP="0087579E">
            <w:pPr>
              <w:keepNext/>
              <w:spacing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 No 3</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No. I believe that the name should reflect the fact that the account is used to secure the pension. </w:t>
            </w:r>
            <w:r w:rsidRPr="00C67FEB" w:rsidR="00413F41">
              <w:rPr>
                <w:rFonts w:ascii="Times New Roman" w:eastAsia="Times New Roman" w:hAnsi="Times New Roman" w:cs="Times New Roman"/>
                <w:i/>
                <w:iCs/>
                <w:sz w:val="24"/>
                <w:szCs w:val="24"/>
                <w:lang w:val="en-GB" w:eastAsia="cs-CZ"/>
              </w:rPr>
              <w:t>Also,</w:t>
            </w:r>
            <w:r w:rsidRPr="00C67FEB">
              <w:rPr>
                <w:rFonts w:ascii="Times New Roman" w:eastAsia="Times New Roman" w:hAnsi="Times New Roman" w:cs="Times New Roman"/>
                <w:i/>
                <w:iCs/>
                <w:sz w:val="24"/>
                <w:szCs w:val="24"/>
                <w:lang w:val="en-GB" w:eastAsia="cs-CZ"/>
              </w:rPr>
              <w:t xml:space="preserve"> the acronym "ÚDI" seems to me somewhat unfortunate. For example, I would suggest a long-term investment pension account</w:t>
            </w:r>
            <w:r w:rsidRPr="00C67FEB" w:rsidR="00413F41">
              <w:rPr>
                <w:rFonts w:ascii="Times New Roman" w:eastAsia="Times New Roman" w:hAnsi="Times New Roman" w:cs="Times New Roman"/>
                <w:i/>
                <w:iCs/>
                <w:sz w:val="24"/>
                <w:szCs w:val="24"/>
                <w:lang w:val="en-GB" w:eastAsia="cs-CZ"/>
              </w:rPr>
              <w:t xml:space="preserve"> (“PÚDI”)</w:t>
            </w:r>
            <w:r w:rsidRPr="00C67FEB">
              <w:rPr>
                <w:rFonts w:ascii="Times New Roman" w:eastAsia="Times New Roman" w:hAnsi="Times New Roman" w:cs="Times New Roman"/>
                <w:i/>
                <w:iCs/>
                <w:sz w:val="24"/>
                <w:szCs w:val="24"/>
                <w:lang w:val="en-GB" w:eastAsia="cs-CZ"/>
              </w:rPr>
              <w:t>. </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Given the application of the 60 + 60 rule, we consider the </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personal pension account</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to be more </w:t>
            </w:r>
            <w:r w:rsidRPr="00C67FEB" w:rsidR="00413F41">
              <w:rPr>
                <w:rFonts w:ascii="Times New Roman" w:eastAsia="Times New Roman" w:hAnsi="Times New Roman" w:cs="Times New Roman"/>
                <w:i/>
                <w:iCs/>
                <w:sz w:val="24"/>
                <w:szCs w:val="24"/>
                <w:lang w:val="en-GB" w:eastAsia="cs-CZ"/>
              </w:rPr>
              <w:t>appropriate.</w:t>
            </w:r>
          </w:p>
          <w:p w:rsidR="00403DFA" w:rsidRPr="00DE785C" w:rsidP="0087579E">
            <w:pPr>
              <w:keepNext/>
              <w:spacing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 No 4</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Rather, a </w:t>
            </w:r>
            <w:r w:rsidRPr="00C67FEB" w:rsidR="00413F41">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ersonal </w:t>
            </w:r>
            <w:r w:rsidRPr="00C67FEB" w:rsidR="008F46DE">
              <w:rPr>
                <w:rFonts w:ascii="Times New Roman" w:eastAsia="Times New Roman" w:hAnsi="Times New Roman" w:cs="Times New Roman"/>
                <w:i/>
                <w:iCs/>
                <w:sz w:val="24"/>
                <w:szCs w:val="24"/>
                <w:lang w:val="en-GB" w:eastAsia="cs-CZ"/>
              </w:rPr>
              <w:t>Long-Term Investment Account</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or a </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personal savings account</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6:</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it is not permissible to offer and maintain an account without the need for their expertise.</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Here, we consider it essential that these be exclusively licensed, regulated and supervised entities.</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propose to expand the circle of people by credit unions.</w:t>
            </w:r>
          </w:p>
          <w:p w:rsidR="00403DFA" w:rsidRPr="00DE785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 is not clear to us what services the account manager will provide. If it was just an administrative account, we see no reason why the circle of people should be limited. If investment services such as portfolio management are also provided, restrictions are in place.</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7:</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assume that the definition of assets will be the subject of a specific proposal, but we expect that these will only be instruments that are regulated.</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Private person </w:t>
            </w:r>
            <w:r w:rsidRPr="00DE785C" w:rsidR="00413F41">
              <w:rPr>
                <w:rFonts w:ascii="Times New Roman" w:eastAsia="Times New Roman" w:hAnsi="Times New Roman" w:cs="Times New Roman"/>
                <w:b/>
                <w:bCs/>
                <w:sz w:val="24"/>
                <w:szCs w:val="24"/>
                <w:lang w:val="en-GB" w:eastAsia="cs-CZ"/>
              </w:rPr>
              <w:t xml:space="preserve">No </w:t>
            </w:r>
            <w:r w:rsidRPr="00DE785C">
              <w:rPr>
                <w:rFonts w:ascii="Times New Roman" w:eastAsia="Times New Roman" w:hAnsi="Times New Roman" w:cs="Times New Roman"/>
                <w:b/>
                <w:bCs/>
                <w:sz w:val="24"/>
                <w:szCs w:val="24"/>
                <w:lang w:val="en-GB" w:eastAsia="cs-CZ"/>
              </w:rPr>
              <w:t>2</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It would be worth considering restrictions on publicly traded assets (stocks, bonds, etc.). Otherwise, you could buy shares in </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doubtful</w:t>
            </w:r>
            <w:r w:rsidRPr="00C67FEB" w:rsidR="00413F41">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companies (</w:t>
            </w:r>
            <w:r w:rsidRPr="00C67FEB" w:rsidR="00413F41">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empty SPVs).</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413F41">
              <w:rPr>
                <w:rFonts w:ascii="Times New Roman" w:eastAsia="Times New Roman" w:hAnsi="Times New Roman" w:cs="Times New Roman"/>
                <w:b/>
                <w:bCs/>
                <w:sz w:val="24"/>
                <w:szCs w:val="24"/>
                <w:lang w:val="en-GB" w:eastAsia="cs-CZ"/>
              </w:rPr>
              <w:t>association</w:t>
            </w:r>
            <w:r w:rsidRPr="00DE785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Assets that can be placed on the </w:t>
            </w:r>
            <w:r w:rsidRPr="00C67FEB" w:rsidR="00413F41">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are very unclear in the Consultation </w:t>
            </w:r>
            <w:r w:rsidRPr="00C67FEB" w:rsidR="00413F41">
              <w:rPr>
                <w:rFonts w:ascii="Times New Roman" w:eastAsia="Times New Roman" w:hAnsi="Times New Roman" w:cs="Times New Roman"/>
                <w:i/>
                <w:iCs/>
                <w:sz w:val="24"/>
                <w:szCs w:val="24"/>
                <w:lang w:val="en-GB" w:eastAsia="cs-CZ"/>
              </w:rPr>
              <w:t>Paper</w:t>
            </w:r>
            <w:r w:rsidRPr="00C67FEB">
              <w:rPr>
                <w:rFonts w:ascii="Times New Roman" w:eastAsia="Times New Roman" w:hAnsi="Times New Roman" w:cs="Times New Roman"/>
                <w:i/>
                <w:iCs/>
                <w:sz w:val="24"/>
                <w:szCs w:val="24"/>
                <w:lang w:val="en-GB" w:eastAsia="cs-CZ"/>
              </w:rPr>
              <w:t>. However, we would recommend minimizing restrictions as much as possible. We see no reason to limit investment instruments in an account other than as part of the investment service provided.</w:t>
            </w:r>
          </w:p>
          <w:p w:rsidR="00403DFA" w:rsidRPr="00DE785C" w:rsidP="0087579E">
            <w:pPr>
              <w:keepNext/>
              <w:spacing w:before="120" w:after="0" w:line="240" w:lineRule="auto"/>
              <w:jc w:val="both"/>
              <w:rPr>
                <w:rFonts w:ascii="Times New Roman" w:eastAsia="Times New Roman" w:hAnsi="Times New Roman" w:cs="Times New Roman"/>
                <w:b/>
                <w:bCs/>
                <w:sz w:val="24"/>
                <w:szCs w:val="24"/>
                <w:u w:val="single"/>
                <w:lang w:val="en-GB" w:eastAsia="cs-CZ"/>
              </w:rPr>
            </w:pPr>
            <w:r w:rsidRPr="00DE785C">
              <w:rPr>
                <w:rFonts w:ascii="Times New Roman" w:eastAsia="Times New Roman" w:hAnsi="Times New Roman" w:cs="Times New Roman"/>
                <w:b/>
                <w:bCs/>
                <w:sz w:val="24"/>
                <w:szCs w:val="24"/>
                <w:u w:val="single"/>
                <w:lang w:val="en-GB" w:eastAsia="cs-CZ"/>
              </w:rPr>
              <w:t xml:space="preserve">Ad 8: </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before="120"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material does not contain any, only foreign </w:t>
            </w:r>
            <w:r w:rsidRPr="00C67FEB" w:rsidR="00413F41">
              <w:rPr>
                <w:rFonts w:ascii="Times New Roman" w:eastAsia="Times New Roman" w:hAnsi="Times New Roman" w:cs="Times New Roman"/>
                <w:i/>
                <w:iCs/>
                <w:sz w:val="24"/>
                <w:szCs w:val="24"/>
                <w:lang w:val="en-GB" w:eastAsia="cs-CZ"/>
              </w:rPr>
              <w:t>models</w:t>
            </w:r>
            <w:r w:rsidRPr="00C67FEB">
              <w:rPr>
                <w:rFonts w:ascii="Times New Roman" w:eastAsia="Times New Roman" w:hAnsi="Times New Roman" w:cs="Times New Roman"/>
                <w:i/>
                <w:iCs/>
                <w:sz w:val="24"/>
                <w:szCs w:val="24"/>
                <w:lang w:val="en-GB" w:eastAsia="cs-CZ"/>
              </w:rPr>
              <w:t>.</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article does not specify the treatment of revenues. Question 2.9. </w:t>
            </w:r>
            <w:r w:rsidRPr="00C67FEB">
              <w:rPr>
                <w:rFonts w:ascii="Times New Roman" w:eastAsia="Times New Roman" w:hAnsi="Times New Roman" w:cs="Times New Roman"/>
                <w:i/>
                <w:iCs/>
                <w:sz w:val="24"/>
                <w:szCs w:val="24"/>
                <w:lang w:val="en-GB" w:eastAsia="cs-CZ"/>
              </w:rPr>
              <w:t>is</w:t>
            </w:r>
            <w:r w:rsidRPr="00C67FEB">
              <w:rPr>
                <w:rFonts w:ascii="Times New Roman" w:eastAsia="Times New Roman" w:hAnsi="Times New Roman" w:cs="Times New Roman"/>
                <w:i/>
                <w:iCs/>
                <w:sz w:val="24"/>
                <w:szCs w:val="24"/>
                <w:lang w:val="en-GB" w:eastAsia="cs-CZ"/>
              </w:rPr>
              <w:t xml:space="preserve"> deleted, has the wrong question been deleted by mistake? In general, I would like to see that the proceeds from the funds of ÚDI (dividends, interest) can be reinvested and (without penalty) continuously </w:t>
            </w:r>
            <w:r w:rsidRPr="00C67FEB" w:rsidR="00413F41">
              <w:rPr>
                <w:rFonts w:ascii="Times New Roman" w:eastAsia="Times New Roman" w:hAnsi="Times New Roman" w:cs="Times New Roman"/>
                <w:i/>
                <w:iCs/>
                <w:sz w:val="24"/>
                <w:szCs w:val="24"/>
                <w:lang w:val="en-GB" w:eastAsia="cs-CZ"/>
              </w:rPr>
              <w:t>withdrawn</w:t>
            </w:r>
            <w:r w:rsidRPr="00C67FEB">
              <w:rPr>
                <w:rFonts w:ascii="Times New Roman" w:eastAsia="Times New Roman" w:hAnsi="Times New Roman" w:cs="Times New Roman"/>
                <w:i/>
                <w:iCs/>
                <w:sz w:val="24"/>
                <w:szCs w:val="24"/>
                <w:lang w:val="en-GB" w:eastAsia="cs-CZ"/>
              </w:rPr>
              <w:t>. A situation where the client would have the opportunity to regularly “touch” the revenues already during the savings phase would have an incentive for further savings.</w:t>
            </w:r>
            <w:r w:rsidR="0087579E">
              <w:rPr>
                <w:rFonts w:ascii="Times New Roman" w:eastAsia="Times New Roman" w:hAnsi="Times New Roman" w:cs="Times New Roman"/>
                <w:i/>
                <w:iCs/>
                <w:sz w:val="24"/>
                <w:szCs w:val="24"/>
                <w:lang w:val="en-GB" w:eastAsia="cs-CZ"/>
              </w:rPr>
              <w:t xml:space="preserve"> </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Private person </w:t>
            </w:r>
            <w:r w:rsidRPr="00DE785C" w:rsidR="00413F41">
              <w:rPr>
                <w:rFonts w:ascii="Times New Roman" w:eastAsia="Times New Roman" w:hAnsi="Times New Roman" w:cs="Times New Roman"/>
                <w:b/>
                <w:bCs/>
                <w:sz w:val="24"/>
                <w:szCs w:val="24"/>
                <w:lang w:val="en-GB" w:eastAsia="cs-CZ"/>
              </w:rPr>
              <w:t xml:space="preserve">No </w:t>
            </w:r>
            <w:r w:rsidRPr="00DE785C">
              <w:rPr>
                <w:rFonts w:ascii="Times New Roman" w:eastAsia="Times New Roman" w:hAnsi="Times New Roman" w:cs="Times New Roman"/>
                <w:b/>
                <w:bCs/>
                <w:sz w:val="24"/>
                <w:szCs w:val="24"/>
                <w:lang w:val="en-GB" w:eastAsia="cs-CZ"/>
              </w:rPr>
              <w:t>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income from the sale of assets from this account, the funds of which would subsequently be used for a re-investment meeting the </w:t>
            </w:r>
            <w:r w:rsidRPr="00C67FEB" w:rsidR="007B1F06">
              <w:rPr>
                <w:rFonts w:ascii="Times New Roman" w:eastAsia="Times New Roman" w:hAnsi="Times New Roman" w:cs="Times New Roman"/>
                <w:i/>
                <w:iCs/>
                <w:sz w:val="24"/>
                <w:szCs w:val="24"/>
                <w:lang w:val="en-GB" w:eastAsia="cs-CZ"/>
              </w:rPr>
              <w:t>account criteria</w:t>
            </w:r>
            <w:r w:rsidRPr="00C67FEB">
              <w:rPr>
                <w:rFonts w:ascii="Times New Roman" w:eastAsia="Times New Roman" w:hAnsi="Times New Roman" w:cs="Times New Roman"/>
                <w:i/>
                <w:iCs/>
                <w:sz w:val="24"/>
                <w:szCs w:val="24"/>
                <w:lang w:val="en-GB" w:eastAsia="cs-CZ"/>
              </w:rPr>
              <w:t>, should not be subject to taxation. If bank deposits (current accounts) were excluded from the appropriate assets of the accounts, it would be appropriate to define the length of the period when the funds must be re-converted from "cash" into the correct assets in the form of shares, bonds, etc.</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7B1F06">
              <w:rPr>
                <w:rFonts w:ascii="Times New Roman" w:eastAsia="Times New Roman" w:hAnsi="Times New Roman" w:cs="Times New Roman"/>
                <w:b/>
                <w:bCs/>
                <w:sz w:val="24"/>
                <w:szCs w:val="24"/>
                <w:lang w:val="en-GB" w:eastAsia="cs-CZ"/>
              </w:rPr>
              <w:t>a</w:t>
            </w:r>
            <w:r w:rsidRPr="00DE785C" w:rsidR="00413F41">
              <w:rPr>
                <w:rFonts w:ascii="Times New Roman" w:eastAsia="Times New Roman" w:hAnsi="Times New Roman" w:cs="Times New Roman"/>
                <w:b/>
                <w:bCs/>
                <w:sz w:val="24"/>
                <w:szCs w:val="24"/>
                <w:lang w:val="en-GB" w:eastAsia="cs-CZ"/>
              </w:rPr>
              <w:t>ssociation</w:t>
            </w:r>
            <w:r w:rsidRPr="00DE785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agree with these points, but</w:t>
            </w:r>
            <w:r w:rsidRPr="00C67FEB" w:rsidR="007B1F06">
              <w:rPr>
                <w:rFonts w:ascii="Times New Roman" w:eastAsia="Times New Roman" w:hAnsi="Times New Roman" w:cs="Times New Roman"/>
                <w:i/>
                <w:iCs/>
                <w:sz w:val="24"/>
                <w:szCs w:val="24"/>
                <w:lang w:val="en-GB" w:eastAsia="cs-CZ"/>
              </w:rPr>
              <w:t xml:space="preserve"> while</w:t>
            </w:r>
            <w:r w:rsidRPr="00C67FEB">
              <w:rPr>
                <w:rFonts w:ascii="Times New Roman" w:eastAsia="Times New Roman" w:hAnsi="Times New Roman" w:cs="Times New Roman"/>
                <w:i/>
                <w:iCs/>
                <w:sz w:val="24"/>
                <w:szCs w:val="24"/>
                <w:lang w:val="en-GB" w:eastAsia="cs-CZ"/>
              </w:rPr>
              <w:t xml:space="preserve"> taking into account the comments on point 2.3.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Furthermore, it should be possible to transform assets that are already subject to the 60 + 60 regime into assets on a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without tax.</w:t>
            </w:r>
          </w:p>
          <w:p w:rsidR="00403DFA" w:rsidRPr="00DE785C"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u w:val="single"/>
                <w:lang w:val="en-GB" w:eastAsia="cs-CZ"/>
              </w:rPr>
              <w:t>Ad 10:</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it is not permissible to offer and maintain an account without the need for their expertise.</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 xml:space="preserve">Market </w:t>
            </w:r>
            <w:r w:rsidRPr="00DE785C" w:rsidR="007B1F06">
              <w:rPr>
                <w:rFonts w:ascii="Times New Roman" w:eastAsia="Times New Roman" w:hAnsi="Times New Roman" w:cs="Times New Roman"/>
                <w:b/>
                <w:bCs/>
                <w:sz w:val="24"/>
                <w:szCs w:val="24"/>
                <w:lang w:val="en-GB" w:eastAsia="cs-CZ"/>
              </w:rPr>
              <w:t>a</w:t>
            </w:r>
            <w:r w:rsidRPr="00DE785C" w:rsidR="00413F41">
              <w:rPr>
                <w:rFonts w:ascii="Times New Roman" w:eastAsia="Times New Roman" w:hAnsi="Times New Roman" w:cs="Times New Roman"/>
                <w:b/>
                <w:bCs/>
                <w:sz w:val="24"/>
                <w:szCs w:val="24"/>
                <w:lang w:val="en-GB" w:eastAsia="cs-CZ"/>
              </w:rPr>
              <w:t>ssociation</w:t>
            </w:r>
            <w:r w:rsidRPr="00DE785C">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We believe that only regulated entities should be able to offer this account.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Any product should be distributed only to those authorized by the investment intermediaries.</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w:t>
            </w:r>
            <w:r w:rsidRPr="00DE785C" w:rsidR="007B1F06">
              <w:rPr>
                <w:rFonts w:ascii="Times New Roman" w:eastAsia="Times New Roman" w:hAnsi="Times New Roman" w:cs="Times New Roman"/>
                <w:b/>
                <w:bCs/>
                <w:sz w:val="24"/>
                <w:szCs w:val="24"/>
                <w:lang w:val="en-GB" w:eastAsia="cs-CZ"/>
              </w:rPr>
              <w:t xml:space="preserve"> No</w:t>
            </w:r>
            <w:r w:rsidRPr="00DE785C">
              <w:rPr>
                <w:rFonts w:ascii="Times New Roman" w:eastAsia="Times New Roman" w:hAnsi="Times New Roman" w:cs="Times New Roman"/>
                <w:b/>
                <w:bCs/>
                <w:sz w:val="24"/>
                <w:szCs w:val="24"/>
                <w:lang w:val="en-GB" w:eastAsia="cs-CZ"/>
              </w:rPr>
              <w:t xml:space="preserve"> 1</w:t>
            </w:r>
          </w:p>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Any product should be distributed only to those authorized by the investment intermediaries.</w:t>
            </w:r>
          </w:p>
          <w:p w:rsidR="00403DFA" w:rsidRPr="00DE785C"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DE785C">
              <w:rPr>
                <w:rFonts w:ascii="Times New Roman" w:eastAsia="Times New Roman" w:hAnsi="Times New Roman" w:cs="Times New Roman"/>
                <w:b/>
                <w:bCs/>
                <w:sz w:val="24"/>
                <w:szCs w:val="24"/>
                <w:lang w:val="en-GB" w:eastAsia="cs-CZ"/>
              </w:rPr>
              <w:t>Private person</w:t>
            </w:r>
            <w:r w:rsidRPr="00DE785C" w:rsidR="007B1F06">
              <w:rPr>
                <w:rFonts w:ascii="Times New Roman" w:eastAsia="Times New Roman" w:hAnsi="Times New Roman" w:cs="Times New Roman"/>
                <w:b/>
                <w:bCs/>
                <w:sz w:val="24"/>
                <w:szCs w:val="24"/>
                <w:lang w:val="en-GB" w:eastAsia="cs-CZ"/>
              </w:rPr>
              <w:t xml:space="preserve"> No</w:t>
            </w:r>
            <w:r w:rsidRPr="00DE785C">
              <w:rPr>
                <w:rFonts w:ascii="Times New Roman" w:eastAsia="Times New Roman" w:hAnsi="Times New Roman" w:cs="Times New Roman"/>
                <w:b/>
                <w:bCs/>
                <w:sz w:val="24"/>
                <w:szCs w:val="24"/>
                <w:lang w:val="en-GB" w:eastAsia="cs-CZ"/>
              </w:rPr>
              <w:t xml:space="preserve">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I understand that the investment would be purchased from non-taxed income and any withdrawal of funds from the account before</w:t>
            </w:r>
            <w:r w:rsidRPr="00C67FEB" w:rsidR="007B1F06">
              <w:rPr>
                <w:rFonts w:ascii="Times New Roman" w:eastAsia="Times New Roman" w:hAnsi="Times New Roman" w:cs="Times New Roman"/>
                <w:i/>
                <w:iCs/>
                <w:sz w:val="24"/>
                <w:szCs w:val="24"/>
                <w:lang w:val="en-GB" w:eastAsia="cs-CZ"/>
              </w:rPr>
              <w:t xml:space="preserve"> meeting</w:t>
            </w:r>
            <w:r w:rsidRPr="00C67FEB">
              <w:rPr>
                <w:rFonts w:ascii="Times New Roman" w:eastAsia="Times New Roman" w:hAnsi="Times New Roman" w:cs="Times New Roman"/>
                <w:i/>
                <w:iCs/>
                <w:sz w:val="24"/>
                <w:szCs w:val="24"/>
                <w:lang w:val="en-GB" w:eastAsia="cs-CZ"/>
              </w:rPr>
              <w:t xml:space="preserve"> the conditions (60 + 60 or, for example, the long-term investment) would be subject to taxation. It is necessary to define in this context: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in what regime would the taxation at exit be carried out - taxation as other income according to </w:t>
            </w:r>
            <w:r w:rsidRPr="00C67FEB" w:rsidR="007B1F06">
              <w:rPr>
                <w:rFonts w:ascii="Times New Roman" w:eastAsia="Times New Roman" w:hAnsi="Times New Roman" w:cs="Times New Roman"/>
                <w:i/>
                <w:iCs/>
                <w:sz w:val="24"/>
                <w:szCs w:val="24"/>
                <w:lang w:val="en-GB" w:eastAsia="cs-CZ"/>
              </w:rPr>
              <w:t>Section</w:t>
            </w:r>
            <w:r w:rsidRPr="00C67FEB">
              <w:rPr>
                <w:rFonts w:ascii="Times New Roman" w:eastAsia="Times New Roman" w:hAnsi="Times New Roman" w:cs="Times New Roman"/>
                <w:i/>
                <w:iCs/>
                <w:sz w:val="24"/>
                <w:szCs w:val="24"/>
                <w:lang w:val="en-GB" w:eastAsia="cs-CZ"/>
              </w:rPr>
              <w:t xml:space="preserve"> 10 would seem appropriate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further</w:t>
            </w:r>
            <w:r w:rsidRPr="00C67FEB">
              <w:rPr>
                <w:rFonts w:ascii="Times New Roman" w:eastAsia="Times New Roman" w:hAnsi="Times New Roman" w:cs="Times New Roman"/>
                <w:i/>
                <w:iCs/>
                <w:sz w:val="24"/>
                <w:szCs w:val="24"/>
                <w:lang w:val="en-GB" w:eastAsia="cs-CZ"/>
              </w:rPr>
              <w:t xml:space="preserve"> consider the possibility of maximum taxation of past contributions - </w:t>
            </w:r>
            <w:r w:rsidRPr="00C67FEB" w:rsidR="007B1F06">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10 years, as is currently the case for life and pension insurance </w:t>
            </w:r>
            <w:r w:rsidRPr="00C67FEB" w:rsidR="007B1F06">
              <w:rPr>
                <w:rFonts w:ascii="Times New Roman" w:eastAsia="Times New Roman" w:hAnsi="Times New Roman" w:cs="Times New Roman"/>
                <w:i/>
                <w:iCs/>
                <w:sz w:val="24"/>
                <w:szCs w:val="24"/>
                <w:lang w:val="en-GB" w:eastAsia="cs-CZ"/>
              </w:rPr>
              <w:t>breaches.</w:t>
            </w:r>
            <w:r w:rsidRPr="00C67FEB">
              <w:rPr>
                <w:rFonts w:ascii="Times New Roman" w:eastAsia="Times New Roman" w:hAnsi="Times New Roman" w:cs="Times New Roman"/>
                <w:i/>
                <w:iCs/>
                <w:sz w:val="24"/>
                <w:szCs w:val="24"/>
                <w:lang w:val="en-GB" w:eastAsia="cs-CZ"/>
              </w:rPr>
              <w:t>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to</w:t>
            </w:r>
            <w:r w:rsidRPr="00C67FEB">
              <w:rPr>
                <w:rFonts w:ascii="Times New Roman" w:eastAsia="Times New Roman" w:hAnsi="Times New Roman" w:cs="Times New Roman"/>
                <w:i/>
                <w:iCs/>
                <w:sz w:val="24"/>
                <w:szCs w:val="24"/>
                <w:lang w:val="en-GB" w:eastAsia="cs-CZ"/>
              </w:rPr>
              <w:t xml:space="preserve"> consider the tax regime for extra funds - that is, beyond the exempted legal limits, </w:t>
            </w:r>
            <w:r w:rsidRPr="00C67FEB" w:rsidR="007B1F06">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the </w:t>
            </w:r>
            <w:r w:rsidRPr="00C67FEB" w:rsidR="007B1F06">
              <w:rPr>
                <w:rFonts w:ascii="Times New Roman" w:eastAsia="Times New Roman" w:hAnsi="Times New Roman" w:cs="Times New Roman"/>
                <w:i/>
                <w:iCs/>
                <w:sz w:val="24"/>
                <w:szCs w:val="24"/>
                <w:lang w:val="en-GB" w:eastAsia="cs-CZ"/>
              </w:rPr>
              <w:t>funds</w:t>
            </w:r>
            <w:r w:rsidRPr="00C67FEB">
              <w:rPr>
                <w:rFonts w:ascii="Times New Roman" w:eastAsia="Times New Roman" w:hAnsi="Times New Roman" w:cs="Times New Roman"/>
                <w:i/>
                <w:iCs/>
                <w:sz w:val="24"/>
                <w:szCs w:val="24"/>
                <w:lang w:val="en-GB" w:eastAsia="cs-CZ"/>
              </w:rPr>
              <w:t xml:space="preserve"> will be invested already once taxed) - the tax regime for such proceeds at exit should only capture realized profit. However, if there is already the possibility of exemption in the Income Tax</w:t>
            </w:r>
            <w:r w:rsidRPr="00C67FEB" w:rsidR="0098754D">
              <w:rPr>
                <w:rFonts w:ascii="Times New Roman" w:eastAsia="Times New Roman" w:hAnsi="Times New Roman" w:cs="Times New Roman"/>
                <w:i/>
                <w:iCs/>
                <w:sz w:val="24"/>
                <w:szCs w:val="24"/>
                <w:lang w:val="en-GB" w:eastAsia="cs-CZ"/>
              </w:rPr>
              <w:t>es</w:t>
            </w:r>
            <w:r w:rsidRPr="00C67FEB">
              <w:rPr>
                <w:rFonts w:ascii="Times New Roman" w:eastAsia="Times New Roman" w:hAnsi="Times New Roman" w:cs="Times New Roman"/>
                <w:i/>
                <w:iCs/>
                <w:sz w:val="24"/>
                <w:szCs w:val="24"/>
                <w:lang w:val="en-GB" w:eastAsia="cs-CZ"/>
              </w:rPr>
              <w:t xml:space="preserve"> Act (</w:t>
            </w:r>
            <w:r w:rsidRPr="00C67FEB" w:rsidR="007B1F06">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holding securities after a certain period of time (3 years) or exempting trading income of up to 100,000), then this exemption should also apply to withdrawing funds from the account</w:t>
            </w:r>
            <w:r w:rsidRPr="00C67FEB" w:rsidR="007B1F0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similarly</w:t>
            </w:r>
            <w:r w:rsidRPr="00C67FEB">
              <w:rPr>
                <w:rFonts w:ascii="Times New Roman" w:eastAsia="Times New Roman" w:hAnsi="Times New Roman" w:cs="Times New Roman"/>
                <w:i/>
                <w:iCs/>
                <w:sz w:val="24"/>
                <w:szCs w:val="24"/>
                <w:lang w:val="en-GB" w:eastAsia="cs-CZ"/>
              </w:rPr>
              <w:t xml:space="preserve">, if the shares or </w:t>
            </w:r>
            <w:r w:rsidRPr="00C67FEB" w:rsidR="0098754D">
              <w:rPr>
                <w:rFonts w:ascii="Times New Roman" w:eastAsia="Times New Roman" w:hAnsi="Times New Roman" w:cs="Times New Roman"/>
                <w:i/>
                <w:iCs/>
                <w:sz w:val="24"/>
                <w:szCs w:val="24"/>
                <w:lang w:val="en-GB" w:eastAsia="cs-CZ"/>
              </w:rPr>
              <w:t>bank</w:t>
            </w:r>
            <w:r w:rsidRPr="00C67FEB">
              <w:rPr>
                <w:rFonts w:ascii="Times New Roman" w:eastAsia="Times New Roman" w:hAnsi="Times New Roman" w:cs="Times New Roman"/>
                <w:i/>
                <w:iCs/>
                <w:sz w:val="24"/>
                <w:szCs w:val="24"/>
                <w:lang w:val="en-GB" w:eastAsia="cs-CZ"/>
              </w:rPr>
              <w:t xml:space="preserve"> deposits to this account will flow more benefits in the form of </w:t>
            </w:r>
            <w:r w:rsidRPr="00C67FEB" w:rsidR="0098754D">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w:t>
            </w:r>
            <w:r w:rsidRPr="00C67FEB" w:rsidR="0098754D">
              <w:rPr>
                <w:rFonts w:ascii="Times New Roman" w:eastAsia="Times New Roman" w:hAnsi="Times New Roman" w:cs="Times New Roman"/>
                <w:i/>
                <w:iCs/>
                <w:sz w:val="24"/>
                <w:szCs w:val="24"/>
                <w:lang w:val="en-GB" w:eastAsia="cs-CZ"/>
              </w:rPr>
              <w:t>d</w:t>
            </w:r>
            <w:r w:rsidRPr="00C67FEB">
              <w:rPr>
                <w:rFonts w:ascii="Times New Roman" w:eastAsia="Times New Roman" w:hAnsi="Times New Roman" w:cs="Times New Roman"/>
                <w:i/>
                <w:iCs/>
                <w:sz w:val="24"/>
                <w:szCs w:val="24"/>
                <w:lang w:val="en-GB" w:eastAsia="cs-CZ"/>
              </w:rPr>
              <w:t xml:space="preserve">ividend or interest will be treated with the appropriate tax treatment of those benefits. By default, these incomes are subject to a 15% withholding tax on their payment to individuals. It would be useful to consider this opportunity to introduce non-taxation of such </w:t>
            </w:r>
            <w:r w:rsidRPr="00C67FEB" w:rsidR="0098754D">
              <w:rPr>
                <w:rFonts w:ascii="Times New Roman" w:eastAsia="Times New Roman" w:hAnsi="Times New Roman" w:cs="Times New Roman"/>
                <w:i/>
                <w:iCs/>
                <w:sz w:val="24"/>
                <w:szCs w:val="24"/>
                <w:lang w:val="en-GB" w:eastAsia="cs-CZ"/>
              </w:rPr>
              <w:t>income,</w:t>
            </w:r>
            <w:r w:rsidRPr="00C67FEB">
              <w:rPr>
                <w:rFonts w:ascii="Times New Roman" w:eastAsia="Times New Roman" w:hAnsi="Times New Roman" w:cs="Times New Roman"/>
                <w:i/>
                <w:iCs/>
                <w:sz w:val="24"/>
                <w:szCs w:val="24"/>
                <w:lang w:val="en-GB" w:eastAsia="cs-CZ"/>
              </w:rPr>
              <w:t xml:space="preserve"> </w:t>
            </w:r>
            <w:r w:rsidRPr="00C67FEB" w:rsidR="0098754D">
              <w:rPr>
                <w:rFonts w:ascii="Times New Roman" w:eastAsia="Times New Roman" w:hAnsi="Times New Roman" w:cs="Times New Roman"/>
                <w:i/>
                <w:iCs/>
                <w:sz w:val="24"/>
                <w:szCs w:val="24"/>
                <w:lang w:val="en-GB" w:eastAsia="cs-CZ"/>
              </w:rPr>
              <w:t>if</w:t>
            </w:r>
            <w:r w:rsidRPr="00C67FEB">
              <w:rPr>
                <w:rFonts w:ascii="Times New Roman" w:eastAsia="Times New Roman" w:hAnsi="Times New Roman" w:cs="Times New Roman"/>
                <w:i/>
                <w:iCs/>
                <w:sz w:val="24"/>
                <w:szCs w:val="24"/>
                <w:lang w:val="en-GB" w:eastAsia="cs-CZ"/>
              </w:rPr>
              <w:t xml:space="preserve"> they </w:t>
            </w:r>
            <w:r w:rsidRPr="00C67FEB" w:rsidR="0098754D">
              <w:rPr>
                <w:rFonts w:ascii="Times New Roman" w:eastAsia="Times New Roman" w:hAnsi="Times New Roman" w:cs="Times New Roman"/>
                <w:i/>
                <w:iCs/>
                <w:sz w:val="24"/>
                <w:szCs w:val="24"/>
                <w:lang w:val="en-GB" w:eastAsia="cs-CZ"/>
              </w:rPr>
              <w:t>flow</w:t>
            </w:r>
            <w:r w:rsidRPr="00C67FEB">
              <w:rPr>
                <w:rFonts w:ascii="Times New Roman" w:eastAsia="Times New Roman" w:hAnsi="Times New Roman" w:cs="Times New Roman"/>
                <w:i/>
                <w:iCs/>
                <w:sz w:val="24"/>
                <w:szCs w:val="24"/>
                <w:lang w:val="en-GB" w:eastAsia="cs-CZ"/>
              </w:rPr>
              <w:t xml:space="preserve"> to</w:t>
            </w:r>
            <w:r w:rsidRPr="00C67FEB" w:rsidR="0098754D">
              <w:rPr>
                <w:rFonts w:ascii="Times New Roman" w:eastAsia="Times New Roman" w:hAnsi="Times New Roman" w:cs="Times New Roman"/>
                <w:i/>
                <w:iCs/>
                <w:sz w:val="24"/>
                <w:szCs w:val="24"/>
                <w:lang w:val="en-GB" w:eastAsia="cs-CZ"/>
              </w:rPr>
              <w:t xml:space="preserve"> the</w:t>
            </w:r>
            <w:r w:rsidRPr="00C67FEB">
              <w:rPr>
                <w:rFonts w:ascii="Times New Roman" w:eastAsia="Times New Roman" w:hAnsi="Times New Roman" w:cs="Times New Roman"/>
                <w:i/>
                <w:iCs/>
                <w:sz w:val="24"/>
                <w:szCs w:val="24"/>
                <w:lang w:val="en-GB" w:eastAsia="cs-CZ"/>
              </w:rPr>
              <w:t xml:space="preserve"> account.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in case of breach of conditions and early withdrawal (sale of assets), it would be advisable to set up a tax regime so that only withdrawal of funds is taxed - </w:t>
            </w:r>
            <w:r w:rsidRPr="00C67FEB" w:rsidR="0098754D">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deposited untaxed funds 100 and only 80 </w:t>
            </w:r>
            <w:r w:rsidRPr="00C67FEB" w:rsidR="0098754D">
              <w:rPr>
                <w:rFonts w:ascii="Times New Roman" w:eastAsia="Times New Roman" w:hAnsi="Times New Roman" w:cs="Times New Roman"/>
                <w:i/>
                <w:iCs/>
                <w:sz w:val="24"/>
                <w:szCs w:val="24"/>
                <w:lang w:val="en-GB" w:eastAsia="cs-CZ"/>
              </w:rPr>
              <w:t xml:space="preserve">profit </w:t>
            </w:r>
            <w:r w:rsidRPr="00C67FEB">
              <w:rPr>
                <w:rFonts w:ascii="Times New Roman" w:eastAsia="Times New Roman" w:hAnsi="Times New Roman" w:cs="Times New Roman"/>
                <w:i/>
                <w:iCs/>
                <w:sz w:val="24"/>
                <w:szCs w:val="24"/>
                <w:lang w:val="en-GB" w:eastAsia="cs-CZ"/>
              </w:rPr>
              <w:t xml:space="preserve">due to loss of share value and not additional taxation 100. </w:t>
            </w:r>
            <w:r w:rsidRPr="00C67FEB">
              <w:rPr>
                <w:rFonts w:ascii="Times New Roman" w:eastAsia="Times New Roman" w:hAnsi="Times New Roman" w:cs="Times New Roman"/>
                <w:i/>
                <w:iCs/>
                <w:sz w:val="24"/>
                <w:szCs w:val="24"/>
                <w:lang w:val="en-GB" w:eastAsia="cs-CZ"/>
              </w:rPr>
              <w:t>it</w:t>
            </w:r>
            <w:r w:rsidRPr="00C67FEB">
              <w:rPr>
                <w:rFonts w:ascii="Times New Roman" w:eastAsia="Times New Roman" w:hAnsi="Times New Roman" w:cs="Times New Roman"/>
                <w:i/>
                <w:iCs/>
                <w:sz w:val="24"/>
                <w:szCs w:val="24"/>
                <w:lang w:val="en-GB" w:eastAsia="cs-CZ"/>
              </w:rPr>
              <w:t xml:space="preserve"> would be appropriate to be able to apply the current tax exemptions in the form of a time test or income level (see above) in case of breach of the </w:t>
            </w:r>
            <w:r w:rsidRPr="00C67FEB" w:rsidR="0098754D">
              <w:rPr>
                <w:rFonts w:ascii="Times New Roman" w:eastAsia="Times New Roman" w:hAnsi="Times New Roman" w:cs="Times New Roman"/>
                <w:i/>
                <w:iCs/>
                <w:sz w:val="24"/>
                <w:szCs w:val="24"/>
                <w:lang w:val="en-GB" w:eastAsia="cs-CZ"/>
              </w:rPr>
              <w:t>conditions.</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98754D">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distribution of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to serve as a pension product should be subject to regulation similar to that of supplementary pension savings.</w:t>
            </w:r>
          </w:p>
          <w:p w:rsidR="00403DFA" w:rsidRPr="003B03B1"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11:</w:t>
            </w:r>
          </w:p>
          <w:p w:rsidR="00403DFA" w:rsidRPr="00C67FEB" w:rsidP="0087579E">
            <w:pPr>
              <w:keepNext/>
              <w:spacing w:before="120" w:after="0" w:line="240" w:lineRule="auto"/>
              <w:jc w:val="center"/>
              <w:rPr>
                <w:rFonts w:ascii="Times New Roman" w:eastAsia="Times New Roman" w:hAnsi="Times New Roman" w:cs="Times New Roman"/>
                <w:sz w:val="24"/>
                <w:szCs w:val="24"/>
                <w:lang w:val="en-GB" w:eastAsia="cs-CZ"/>
              </w:rPr>
            </w:pPr>
            <w:r w:rsidRPr="003B03B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Do not mix investment account and pension account into one product. See above.</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 In particular, dividends on equities held by </w:t>
            </w:r>
            <w:r w:rsidRPr="00C67FEB" w:rsidR="00BE6A31">
              <w:rPr>
                <w:rFonts w:ascii="Times New Roman" w:eastAsia="Times New Roman" w:hAnsi="Times New Roman" w:cs="Times New Roman"/>
                <w:i/>
                <w:iCs/>
                <w:sz w:val="24"/>
                <w:szCs w:val="24"/>
                <w:lang w:val="en-GB" w:eastAsia="cs-CZ"/>
              </w:rPr>
              <w:t>ÚDI</w:t>
            </w:r>
            <w:r w:rsidRPr="00C67FEB">
              <w:rPr>
                <w:rFonts w:ascii="Times New Roman" w:eastAsia="Times New Roman" w:hAnsi="Times New Roman" w:cs="Times New Roman"/>
                <w:i/>
                <w:iCs/>
                <w:sz w:val="24"/>
                <w:szCs w:val="24"/>
                <w:lang w:val="en-GB" w:eastAsia="cs-CZ"/>
              </w:rPr>
              <w:t xml:space="preserve">, as well as interest on bonds, should be exempt from tax (if 60 + 60 is </w:t>
            </w:r>
            <w:r w:rsidRPr="00C67FEB" w:rsidR="0098754D">
              <w:rPr>
                <w:rFonts w:ascii="Times New Roman" w:eastAsia="Times New Roman" w:hAnsi="Times New Roman" w:cs="Times New Roman"/>
                <w:i/>
                <w:iCs/>
                <w:sz w:val="24"/>
                <w:szCs w:val="24"/>
                <w:lang w:val="en-GB" w:eastAsia="cs-CZ"/>
              </w:rPr>
              <w:t>abided</w:t>
            </w:r>
            <w:r w:rsidRPr="00C67FEB">
              <w:rPr>
                <w:rFonts w:ascii="Times New Roman" w:eastAsia="Times New Roman" w:hAnsi="Times New Roman" w:cs="Times New Roman"/>
                <w:i/>
                <w:iCs/>
                <w:sz w:val="24"/>
                <w:szCs w:val="24"/>
                <w:lang w:val="en-GB" w:eastAsia="cs-CZ"/>
              </w:rPr>
              <w:t>).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 Direct active asset management in </w:t>
            </w:r>
            <w:r w:rsidRPr="00C67FEB" w:rsidR="00BE6A31">
              <w:rPr>
                <w:rFonts w:ascii="Times New Roman" w:eastAsia="Times New Roman" w:hAnsi="Times New Roman" w:cs="Times New Roman"/>
                <w:i/>
                <w:iCs/>
                <w:sz w:val="24"/>
                <w:szCs w:val="24"/>
                <w:lang w:val="en-GB" w:eastAsia="cs-CZ"/>
              </w:rPr>
              <w:t>Ú</w:t>
            </w:r>
            <w:r w:rsidRPr="00C67FEB">
              <w:rPr>
                <w:rFonts w:ascii="Times New Roman" w:eastAsia="Times New Roman" w:hAnsi="Times New Roman" w:cs="Times New Roman"/>
                <w:i/>
                <w:iCs/>
                <w:sz w:val="24"/>
                <w:szCs w:val="24"/>
                <w:lang w:val="en-GB" w:eastAsia="cs-CZ"/>
              </w:rPr>
              <w:t xml:space="preserve">DI by its owner should be allowed (similar to </w:t>
            </w:r>
            <w:r w:rsidRPr="00C67FEB">
              <w:rPr>
                <w:rFonts w:ascii="Times New Roman" w:eastAsia="Times New Roman" w:hAnsi="Times New Roman" w:cs="Times New Roman"/>
                <w:i/>
                <w:iCs/>
                <w:sz w:val="24"/>
                <w:szCs w:val="24"/>
                <w:lang w:val="en-GB" w:eastAsia="cs-CZ"/>
              </w:rPr>
              <w:t>Self Managed</w:t>
            </w:r>
            <w:r w:rsidRPr="00C67FEB">
              <w:rPr>
                <w:rFonts w:ascii="Times New Roman" w:eastAsia="Times New Roman" w:hAnsi="Times New Roman" w:cs="Times New Roman"/>
                <w:i/>
                <w:iCs/>
                <w:sz w:val="24"/>
                <w:szCs w:val="24"/>
                <w:lang w:val="en-GB" w:eastAsia="cs-CZ"/>
              </w:rPr>
              <w:t xml:space="preserve"> Superannuation Funds in Australia) </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Private person </w:t>
            </w:r>
            <w:r w:rsidRPr="003B03B1" w:rsidR="003B03B1">
              <w:rPr>
                <w:rFonts w:ascii="Times New Roman" w:eastAsia="Times New Roman" w:hAnsi="Times New Roman" w:cs="Times New Roman"/>
                <w:b/>
                <w:bCs/>
                <w:sz w:val="24"/>
                <w:szCs w:val="24"/>
                <w:lang w:val="en-GB" w:eastAsia="cs-CZ"/>
              </w:rPr>
              <w:t xml:space="preserve">No </w:t>
            </w:r>
            <w:r w:rsidRPr="003B03B1">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Consider cross-border aspects, </w:t>
            </w:r>
            <w:r w:rsidRPr="00C67FEB" w:rsidR="00BE6A31">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whether or not foreign bank or </w:t>
            </w:r>
            <w:r w:rsidRPr="00C67FEB" w:rsidR="00BE6A31">
              <w:rPr>
                <w:rFonts w:ascii="Times New Roman" w:eastAsia="Times New Roman" w:hAnsi="Times New Roman" w:cs="Times New Roman"/>
                <w:i/>
                <w:iCs/>
                <w:sz w:val="24"/>
                <w:szCs w:val="24"/>
                <w:lang w:val="en-GB" w:eastAsia="cs-CZ"/>
              </w:rPr>
              <w:t>investment firm</w:t>
            </w:r>
            <w:r w:rsidRPr="00C67FEB">
              <w:rPr>
                <w:rFonts w:ascii="Times New Roman" w:eastAsia="Times New Roman" w:hAnsi="Times New Roman" w:cs="Times New Roman"/>
                <w:i/>
                <w:iCs/>
                <w:sz w:val="24"/>
                <w:szCs w:val="24"/>
                <w:lang w:val="en-GB" w:eastAsia="cs-CZ"/>
              </w:rPr>
              <w:t xml:space="preserve"> branches or even foreign banks and </w:t>
            </w:r>
            <w:r w:rsidRPr="00C67FEB" w:rsidR="00BE6A31">
              <w:rPr>
                <w:rFonts w:ascii="Times New Roman" w:eastAsia="Times New Roman" w:hAnsi="Times New Roman" w:cs="Times New Roman"/>
                <w:i/>
                <w:iCs/>
                <w:sz w:val="24"/>
                <w:szCs w:val="24"/>
                <w:lang w:val="en-GB" w:eastAsia="cs-CZ"/>
              </w:rPr>
              <w:t>investment firms</w:t>
            </w:r>
            <w:r w:rsidRPr="00C67FEB">
              <w:rPr>
                <w:rFonts w:ascii="Times New Roman" w:eastAsia="Times New Roman" w:hAnsi="Times New Roman" w:cs="Times New Roman"/>
                <w:i/>
                <w:iCs/>
                <w:sz w:val="24"/>
                <w:szCs w:val="24"/>
                <w:lang w:val="en-GB" w:eastAsia="cs-CZ"/>
              </w:rPr>
              <w:t xml:space="preserve"> could run an account without a branch.</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F64E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above-mentioned need for unification of regulation conditions.</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the questions consulted, I first of all miss the question of whether it makes sense to create another product with state support - the so-called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In the introduction </w:t>
            </w:r>
            <w:r w:rsidRPr="00C67FEB" w:rsidR="008F64EE">
              <w:rPr>
                <w:rFonts w:ascii="Times New Roman" w:eastAsia="Times New Roman" w:hAnsi="Times New Roman" w:cs="Times New Roman"/>
                <w:i/>
                <w:iCs/>
                <w:sz w:val="24"/>
                <w:szCs w:val="24"/>
                <w:lang w:val="en-GB" w:eastAsia="cs-CZ"/>
              </w:rPr>
              <w:t>it is written</w:t>
            </w:r>
            <w:r w:rsidRPr="00C67FEB">
              <w:rPr>
                <w:rFonts w:ascii="Times New Roman" w:eastAsia="Times New Roman" w:hAnsi="Times New Roman" w:cs="Times New Roman"/>
                <w:i/>
                <w:iCs/>
                <w:sz w:val="24"/>
                <w:szCs w:val="24"/>
                <w:lang w:val="en-GB" w:eastAsia="cs-CZ"/>
              </w:rPr>
              <w:t xml:space="preserve"> that even existing products, the state supports in the form of a contribution or tax support</w:t>
            </w:r>
            <w:r w:rsidRPr="00C67FEB" w:rsidR="008F64EE">
              <w:rPr>
                <w:rFonts w:ascii="Times New Roman" w:eastAsia="Times New Roman" w:hAnsi="Times New Roman" w:cs="Times New Roman"/>
                <w:i/>
                <w:iCs/>
                <w:sz w:val="24"/>
                <w:szCs w:val="24"/>
                <w:lang w:val="en-GB" w:eastAsia="cs-CZ"/>
              </w:rPr>
              <w:t xml:space="preserve"> that these</w:t>
            </w:r>
            <w:r w:rsidRPr="00C67FEB">
              <w:rPr>
                <w:rFonts w:ascii="Times New Roman" w:eastAsia="Times New Roman" w:hAnsi="Times New Roman" w:cs="Times New Roman"/>
                <w:i/>
                <w:iCs/>
                <w:sz w:val="24"/>
                <w:szCs w:val="24"/>
                <w:lang w:val="en-GB" w:eastAsia="cs-CZ"/>
              </w:rPr>
              <w:t xml:space="preserve"> products are not fully </w:t>
            </w:r>
            <w:r w:rsidRPr="00C67FEB" w:rsidR="008F64EE">
              <w:rPr>
                <w:rFonts w:ascii="Times New Roman" w:eastAsia="Times New Roman" w:hAnsi="Times New Roman" w:cs="Times New Roman"/>
                <w:i/>
                <w:iCs/>
                <w:sz w:val="24"/>
                <w:szCs w:val="24"/>
                <w:lang w:val="en-GB" w:eastAsia="cs-CZ"/>
              </w:rPr>
              <w:t>used by citizens</w:t>
            </w:r>
            <w:r w:rsidRPr="00C67FEB">
              <w:rPr>
                <w:rFonts w:ascii="Times New Roman" w:eastAsia="Times New Roman" w:hAnsi="Times New Roman" w:cs="Times New Roman"/>
                <w:i/>
                <w:iCs/>
                <w:sz w:val="24"/>
                <w:szCs w:val="24"/>
                <w:lang w:val="en-GB" w:eastAsia="cs-CZ"/>
              </w:rPr>
              <w:t xml:space="preserve">. E.g. low monthly contributions to pension funds. </w:t>
            </w:r>
            <w:r w:rsidRPr="00C67FEB" w:rsidR="008F64EE">
              <w:rPr>
                <w:rFonts w:ascii="Times New Roman" w:eastAsia="Times New Roman" w:hAnsi="Times New Roman" w:cs="Times New Roman"/>
                <w:i/>
                <w:iCs/>
                <w:sz w:val="24"/>
                <w:szCs w:val="24"/>
                <w:lang w:val="en-GB" w:eastAsia="cs-CZ"/>
              </w:rPr>
              <w:t>There is</w:t>
            </w:r>
            <w:r w:rsidRPr="00C67FEB">
              <w:rPr>
                <w:rFonts w:ascii="Times New Roman" w:eastAsia="Times New Roman" w:hAnsi="Times New Roman" w:cs="Times New Roman"/>
                <w:i/>
                <w:iCs/>
                <w:sz w:val="24"/>
                <w:szCs w:val="24"/>
                <w:lang w:val="en-GB" w:eastAsia="cs-CZ"/>
              </w:rPr>
              <w:t xml:space="preserve"> </w:t>
            </w:r>
            <w:r w:rsidRPr="00C67FEB" w:rsidR="008F64EE">
              <w:rPr>
                <w:rFonts w:ascii="Times New Roman" w:eastAsia="Times New Roman" w:hAnsi="Times New Roman" w:cs="Times New Roman"/>
                <w:i/>
                <w:iCs/>
                <w:sz w:val="24"/>
                <w:szCs w:val="24"/>
                <w:lang w:val="en-GB" w:eastAsia="cs-CZ"/>
              </w:rPr>
              <w:t xml:space="preserve">a </w:t>
            </w:r>
            <w:r w:rsidRPr="00C67FEB">
              <w:rPr>
                <w:rFonts w:ascii="Times New Roman" w:eastAsia="Times New Roman" w:hAnsi="Times New Roman" w:cs="Times New Roman"/>
                <w:i/>
                <w:iCs/>
                <w:sz w:val="24"/>
                <w:szCs w:val="24"/>
                <w:lang w:val="en-GB" w:eastAsia="cs-CZ"/>
              </w:rPr>
              <w:t>question, then, whether the introduction of another similar product is a solution that will truly increase the interest in long-term savings / investment of citizens? Which of the citizens will really orientate themselves in the flood of various "state-supported" products and will ultimately make the right choice? What will be the cost of the state budget, not only due to state aid / tax relief, but also the control of these contributions, etc.?</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F64E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proposal appears to be a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as an individually managed account, but also to be available to the general public. This concept goes against current practice, where savings are linked to a specific product: pension savings, investment life insurance, building savings, investment funds. Therefore, great resistance can be expected from the institutions that currently manage these products. We also see the fee structure as a big problem, as it will surely be quite difficult to manage such an account and will require additional fees.</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F64E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material suggests that the 60 + 60 rule should be maintained when transforming assets in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so that tax deductions previously applied are not necessary</w:t>
            </w:r>
            <w:r w:rsidRPr="00C67FEB" w:rsidR="008F64EE">
              <w:rPr>
                <w:rFonts w:ascii="Times New Roman" w:eastAsia="Times New Roman" w:hAnsi="Times New Roman" w:cs="Times New Roman"/>
                <w:i/>
                <w:iCs/>
                <w:sz w:val="24"/>
                <w:szCs w:val="24"/>
                <w:lang w:val="en-GB" w:eastAsia="cs-CZ"/>
              </w:rPr>
              <w:t xml:space="preserve"> taxed</w:t>
            </w:r>
            <w:r w:rsidRPr="00C67FEB">
              <w:rPr>
                <w:rFonts w:ascii="Times New Roman" w:eastAsia="Times New Roman" w:hAnsi="Times New Roman" w:cs="Times New Roman"/>
                <w:i/>
                <w:iCs/>
                <w:sz w:val="24"/>
                <w:szCs w:val="24"/>
                <w:lang w:val="en-GB" w:eastAsia="cs-CZ"/>
              </w:rPr>
              <w:t>. We would also like to make sure that investment transformation will not result in income tax if the previous investment instruments have not been held for at least 3 years (tax test).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consider it appropriate to harmonize output taxation, for example, where the employer's contribution currently has a different regime for </w:t>
            </w:r>
            <w:r w:rsidRPr="00C67FEB" w:rsidR="008F64EE">
              <w:rPr>
                <w:rFonts w:ascii="Times New Roman" w:eastAsia="Times New Roman" w:hAnsi="Times New Roman" w:cs="Times New Roman"/>
                <w:i/>
                <w:iCs/>
                <w:sz w:val="24"/>
                <w:szCs w:val="24"/>
                <w:lang w:val="en-GB" w:eastAsia="cs-CZ"/>
              </w:rPr>
              <w:t>investment</w:t>
            </w:r>
            <w:r w:rsidRPr="00C67FEB">
              <w:rPr>
                <w:rFonts w:ascii="Times New Roman" w:eastAsia="Times New Roman" w:hAnsi="Times New Roman" w:cs="Times New Roman"/>
                <w:i/>
                <w:iCs/>
                <w:sz w:val="24"/>
                <w:szCs w:val="24"/>
                <w:lang w:val="en-GB" w:eastAsia="cs-CZ"/>
              </w:rPr>
              <w:t xml:space="preserve"> life insurance, supplementary pension savings paid once and supplementary pension savings paid regularly.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order to bring the conditions of the product included in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 as close as possible, consideration should be given to identifying the beneficiary who would receive the benefit regardless of the outcome of the succession procedure.</w:t>
            </w:r>
          </w:p>
          <w:p w:rsidR="00403DFA" w:rsidRPr="003B03B1" w:rsidP="0087579E">
            <w:pPr>
              <w:keepNext/>
              <w:spacing w:before="120" w:after="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12:</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Combination of different investment accounts that offer different features to give investors more options to invest and withdraw (for example, there are life assurance bonds in the UK that offer a withdrawal of 5% pa from the </w:t>
            </w:r>
            <w:r w:rsidRPr="00C67FEB" w:rsidR="008F64EE">
              <w:rPr>
                <w:rFonts w:ascii="Times New Roman" w:eastAsia="Times New Roman" w:hAnsi="Times New Roman" w:cs="Times New Roman"/>
                <w:i/>
                <w:iCs/>
                <w:sz w:val="24"/>
                <w:szCs w:val="24"/>
                <w:lang w:val="en-GB" w:eastAsia="cs-CZ"/>
              </w:rPr>
              <w:t>contributed capital with deferred tax liability</w:t>
            </w:r>
            <w:r w:rsidRPr="00C67FEB">
              <w:rPr>
                <w:rFonts w:ascii="Times New Roman" w:eastAsia="Times New Roman" w:hAnsi="Times New Roman" w:cs="Times New Roman"/>
                <w:i/>
                <w:iCs/>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Tax advantage for more risky investments = SMEs (</w:t>
            </w:r>
            <w:r w:rsidRPr="00C67FEB">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shares on START market or directly start-up companies). The parameters should be precisely defined. In the UK, for example, there is a 30% tax relief on initial investment in Enterprise Investment Schemes (EISs) and Venture Capital Trusts (VCTs). Shares on the AIM market (similar to the START market in the Czech Republic) may be part of the EIS.</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F64E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See the answer to question 2.1. - In our opinion, it would make more sense to increase the existing limits on the taxpayer in order to increase the incentive to further save for old age. This would also motivate those already using existing old-age savings products to start using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 xml:space="preserve">s. However, we prefer to have a separate limit for pension funds as well as a separate limit for the </w:t>
            </w:r>
            <w:r w:rsidRPr="00C67FEB" w:rsidR="008F64EE">
              <w:rPr>
                <w:rFonts w:ascii="Times New Roman" w:eastAsia="Times New Roman" w:hAnsi="Times New Roman" w:cs="Times New Roman"/>
                <w:i/>
                <w:iCs/>
                <w:sz w:val="24"/>
                <w:szCs w:val="24"/>
                <w:lang w:val="en-GB" w:eastAsia="cs-CZ"/>
              </w:rPr>
              <w:t>investment life insurance</w:t>
            </w:r>
            <w:r w:rsidRPr="00C67FEB">
              <w:rPr>
                <w:rFonts w:ascii="Times New Roman" w:eastAsia="Times New Roman" w:hAnsi="Times New Roman" w:cs="Times New Roman"/>
                <w:i/>
                <w:iCs/>
                <w:sz w:val="24"/>
                <w:szCs w:val="24"/>
                <w:lang w:val="en-GB" w:eastAsia="cs-CZ"/>
              </w:rPr>
              <w:t xml:space="preserve"> and the </w:t>
            </w:r>
            <w:r w:rsidRPr="00C67FEB" w:rsidR="008F46DE">
              <w:rPr>
                <w:rFonts w:ascii="Times New Roman" w:eastAsia="Times New Roman" w:hAnsi="Times New Roman" w:cs="Times New Roman"/>
                <w:i/>
                <w:iCs/>
                <w:sz w:val="24"/>
                <w:szCs w:val="24"/>
                <w:lang w:val="en-GB" w:eastAsia="cs-CZ"/>
              </w:rPr>
              <w:t>Long-Term Investment Account</w:t>
            </w:r>
            <w:r w:rsidRPr="00C67FEB">
              <w:rPr>
                <w:rFonts w:ascii="Times New Roman" w:eastAsia="Times New Roman" w:hAnsi="Times New Roman" w:cs="Times New Roman"/>
                <w:i/>
                <w:iCs/>
                <w:sz w:val="24"/>
                <w:szCs w:val="24"/>
                <w:lang w:val="en-GB" w:eastAsia="cs-CZ"/>
              </w:rPr>
              <w:t>.</w:t>
            </w:r>
            <w:r w:rsidR="0087579E">
              <w:rPr>
                <w:rFonts w:ascii="Times New Roman" w:eastAsia="Times New Roman" w:hAnsi="Times New Roman" w:cs="Times New Roman"/>
                <w:i/>
                <w:iCs/>
                <w:sz w:val="24"/>
                <w:szCs w:val="24"/>
                <w:lang w:val="en-GB" w:eastAsia="cs-CZ"/>
              </w:rPr>
              <w:t xml:space="preserve"> </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Private person </w:t>
            </w:r>
            <w:r w:rsidRPr="003B03B1" w:rsidR="008F64EE">
              <w:rPr>
                <w:rFonts w:ascii="Times New Roman" w:eastAsia="Times New Roman" w:hAnsi="Times New Roman" w:cs="Times New Roman"/>
                <w:b/>
                <w:bCs/>
                <w:sz w:val="24"/>
                <w:szCs w:val="24"/>
                <w:lang w:val="en-GB" w:eastAsia="cs-CZ"/>
              </w:rPr>
              <w:t xml:space="preserve">No </w:t>
            </w:r>
            <w:r w:rsidRPr="003B03B1">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Increase the yields of current pension funds (see below).</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Private person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 do not see the possibility-benefits in case of opening an account to minors, but also to parents (grandmother, grandfather) - tax benefits for parents in </w:t>
            </w:r>
            <w:r w:rsidRPr="00C67FEB" w:rsidR="00436D73">
              <w:rPr>
                <w:rFonts w:ascii="Times New Roman" w:eastAsia="Times New Roman" w:hAnsi="Times New Roman" w:cs="Times New Roman"/>
                <w:i/>
                <w:iCs/>
                <w:sz w:val="24"/>
                <w:szCs w:val="24"/>
                <w:lang w:val="en-GB" w:eastAsia="cs-CZ"/>
              </w:rPr>
              <w:t>pension insurance</w:t>
            </w:r>
            <w:r w:rsidRPr="00C67FEB">
              <w:rPr>
                <w:rFonts w:ascii="Times New Roman" w:eastAsia="Times New Roman" w:hAnsi="Times New Roman" w:cs="Times New Roman"/>
                <w:i/>
                <w:iCs/>
                <w:sz w:val="24"/>
                <w:szCs w:val="24"/>
                <w:lang w:val="en-GB" w:eastAsia="cs-CZ"/>
              </w:rPr>
              <w:t xml:space="preserve"> until the child starts work (26 years). And </w:t>
            </w:r>
            <w:r w:rsidRPr="00C67FEB" w:rsidR="00436D73">
              <w:rPr>
                <w:rFonts w:ascii="Times New Roman" w:eastAsia="Times New Roman" w:hAnsi="Times New Roman" w:cs="Times New Roman"/>
                <w:i/>
                <w:iCs/>
                <w:sz w:val="24"/>
                <w:szCs w:val="24"/>
                <w:lang w:val="en-GB" w:eastAsia="cs-CZ"/>
              </w:rPr>
              <w:t>also,</w:t>
            </w:r>
            <w:r w:rsidRPr="00C67FEB">
              <w:rPr>
                <w:rFonts w:ascii="Times New Roman" w:eastAsia="Times New Roman" w:hAnsi="Times New Roman" w:cs="Times New Roman"/>
                <w:i/>
                <w:iCs/>
                <w:sz w:val="24"/>
                <w:szCs w:val="24"/>
                <w:lang w:val="en-GB" w:eastAsia="cs-CZ"/>
              </w:rPr>
              <w:t xml:space="preserve"> the possibility of sending money to parents' account, which will increase their pension and yet again the possibility of applying the tax deduction of the taxpayer as in the case of minors, perhaps increase the 48 000 even to 60 </w:t>
            </w:r>
            <w:r w:rsidRPr="00C67FEB" w:rsidR="00436D73">
              <w:rPr>
                <w:rFonts w:ascii="Times New Roman" w:eastAsia="Times New Roman" w:hAnsi="Times New Roman" w:cs="Times New Roman"/>
                <w:i/>
                <w:iCs/>
                <w:sz w:val="24"/>
                <w:szCs w:val="24"/>
                <w:lang w:val="en-GB" w:eastAsia="cs-CZ"/>
              </w:rPr>
              <w:t>000!?</w:t>
            </w:r>
            <w:r w:rsidRPr="00C67FEB">
              <w:rPr>
                <w:rFonts w:ascii="Times New Roman" w:eastAsia="Times New Roman" w:hAnsi="Times New Roman" w:cs="Times New Roman"/>
                <w:i/>
                <w:iCs/>
                <w:sz w:val="24"/>
                <w:szCs w:val="24"/>
                <w:lang w:val="en-GB" w:eastAsia="cs-CZ"/>
              </w:rPr>
              <w:t xml:space="preserve"> And, above all, to keep the possibility to withdraw money at any time - albeit with some financial loss, but it is necessary to maintain this possibility due to the long-term commitment of the funds. But there should be no shortening of early withdrawals due to death or disability.</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F64E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main changes in individual retirement savings could be a mandatory contribution from employers and automatic entry into the youth system with the possibility of exit (see </w:t>
            </w:r>
            <w:r w:rsidRPr="00C67FEB" w:rsidR="00436D73">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OECD recommendation</w:t>
            </w:r>
            <w:r w:rsidRPr="00C67FEB" w:rsidR="00436D73">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reform proposal in Poland, etc.).</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No. I think that the state budget will have different concerns / priorities. In addition, is it at all a question </w:t>
            </w:r>
            <w:r w:rsidRPr="00C67FEB" w:rsidR="00436D73">
              <w:rPr>
                <w:rFonts w:ascii="Times New Roman" w:eastAsia="Times New Roman" w:hAnsi="Times New Roman" w:cs="Times New Roman"/>
                <w:i/>
                <w:iCs/>
                <w:sz w:val="24"/>
                <w:szCs w:val="24"/>
                <w:lang w:val="en-GB" w:eastAsia="cs-CZ"/>
              </w:rPr>
              <w:t>whether to</w:t>
            </w:r>
            <w:r w:rsidRPr="00C67FEB">
              <w:rPr>
                <w:rFonts w:ascii="Times New Roman" w:eastAsia="Times New Roman" w:hAnsi="Times New Roman" w:cs="Times New Roman"/>
                <w:i/>
                <w:iCs/>
                <w:sz w:val="24"/>
                <w:szCs w:val="24"/>
                <w:lang w:val="en-GB" w:eastAsia="cs-CZ"/>
              </w:rPr>
              <w:t xml:space="preserve"> promote saving </w:t>
            </w:r>
            <w:r w:rsidRPr="00C67FEB" w:rsidR="00436D73">
              <w:rPr>
                <w:rFonts w:ascii="Times New Roman" w:eastAsia="Times New Roman" w:hAnsi="Times New Roman" w:cs="Times New Roman"/>
                <w:i/>
                <w:iCs/>
                <w:sz w:val="24"/>
                <w:szCs w:val="24"/>
                <w:lang w:val="en-GB" w:eastAsia="cs-CZ"/>
              </w:rPr>
              <w:t>of citizens</w:t>
            </w:r>
            <w:r w:rsidRPr="00C67FEB">
              <w:rPr>
                <w:rFonts w:ascii="Times New Roman" w:eastAsia="Times New Roman" w:hAnsi="Times New Roman" w:cs="Times New Roman"/>
                <w:i/>
                <w:iCs/>
                <w:sz w:val="24"/>
                <w:szCs w:val="24"/>
                <w:lang w:val="en-GB" w:eastAsia="cs-CZ"/>
              </w:rPr>
              <w:t xml:space="preserve"> for old age financially? Isn't it a better way to increase financial literacy? </w:t>
            </w:r>
            <w:r w:rsidRPr="00C67FEB" w:rsidR="00436D73">
              <w:rPr>
                <w:rFonts w:ascii="Times New Roman" w:eastAsia="Times New Roman" w:hAnsi="Times New Roman" w:cs="Times New Roman"/>
                <w:i/>
                <w:iCs/>
                <w:sz w:val="24"/>
                <w:szCs w:val="24"/>
                <w:lang w:val="en-GB" w:eastAsia="cs-CZ"/>
              </w:rPr>
              <w:t>Perhaps this</w:t>
            </w:r>
            <w:r w:rsidRPr="00C67FEB">
              <w:rPr>
                <w:rFonts w:ascii="Times New Roman" w:eastAsia="Times New Roman" w:hAnsi="Times New Roman" w:cs="Times New Roman"/>
                <w:i/>
                <w:iCs/>
                <w:sz w:val="24"/>
                <w:szCs w:val="24"/>
                <w:lang w:val="en-GB" w:eastAsia="cs-CZ"/>
              </w:rPr>
              <w:t xml:space="preserve"> dismal state, among other things, </w:t>
            </w:r>
            <w:r w:rsidRPr="00C67FEB" w:rsidR="00436D73">
              <w:rPr>
                <w:rFonts w:ascii="Times New Roman" w:eastAsia="Times New Roman" w:hAnsi="Times New Roman" w:cs="Times New Roman"/>
                <w:i/>
                <w:iCs/>
                <w:sz w:val="24"/>
                <w:szCs w:val="24"/>
                <w:lang w:val="en-GB" w:eastAsia="cs-CZ"/>
              </w:rPr>
              <w:t>is</w:t>
            </w:r>
            <w:r w:rsidRPr="00C67FEB">
              <w:rPr>
                <w:rFonts w:ascii="Times New Roman" w:eastAsia="Times New Roman" w:hAnsi="Times New Roman" w:cs="Times New Roman"/>
                <w:i/>
                <w:iCs/>
                <w:sz w:val="24"/>
                <w:szCs w:val="24"/>
                <w:lang w:val="en-GB" w:eastAsia="cs-CZ"/>
              </w:rPr>
              <w:t xml:space="preserve"> a result of resignation from the compulsory </w:t>
            </w:r>
            <w:r w:rsidRPr="00C67FEB" w:rsidR="00436D73">
              <w:rPr>
                <w:rFonts w:ascii="Times New Roman" w:eastAsia="Times New Roman" w:hAnsi="Times New Roman" w:cs="Times New Roman"/>
                <w:i/>
                <w:iCs/>
                <w:sz w:val="24"/>
                <w:szCs w:val="24"/>
                <w:lang w:val="en-GB" w:eastAsia="cs-CZ"/>
              </w:rPr>
              <w:t>“leaving examination”</w:t>
            </w:r>
            <w:r w:rsidRPr="00C67FEB">
              <w:rPr>
                <w:rFonts w:ascii="Times New Roman" w:eastAsia="Times New Roman" w:hAnsi="Times New Roman" w:cs="Times New Roman"/>
                <w:i/>
                <w:iCs/>
                <w:sz w:val="24"/>
                <w:szCs w:val="24"/>
                <w:lang w:val="en-GB" w:eastAsia="cs-CZ"/>
              </w:rPr>
              <w:t xml:space="preserve"> in mathematics. </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3B03B1" w:rsidP="0087579E">
            <w:pPr>
              <w:pStyle w:val="Heading1"/>
              <w:keepLines w:val="0"/>
              <w:jc w:val="center"/>
              <w:rPr>
                <w:rFonts w:ascii="Times New Roman" w:hAnsi="Times New Roman" w:cs="Times New Roman"/>
                <w:b/>
                <w:bCs/>
                <w:color w:val="000000" w:themeColor="text1"/>
                <w:sz w:val="24"/>
                <w:szCs w:val="24"/>
                <w:bdr w:val="single" w:sz="4" w:space="0" w:color="auto"/>
                <w:lang w:val="en-GB" w:eastAsia="cs-CZ"/>
              </w:rPr>
            </w:pPr>
            <w:bookmarkStart w:id="47" w:name="_Toc526421167"/>
            <w:bookmarkStart w:id="48" w:name="_Toc38555308"/>
            <w:bookmarkStart w:id="49" w:name="_Toc36479374"/>
            <w:bookmarkEnd w:id="47"/>
            <w:r w:rsidRPr="003B03B1">
              <w:rPr>
                <w:rFonts w:ascii="Times New Roman" w:hAnsi="Times New Roman" w:cs="Times New Roman"/>
                <w:b/>
                <w:bCs/>
                <w:color w:val="000000" w:themeColor="text1"/>
                <w:sz w:val="24"/>
                <w:szCs w:val="24"/>
                <w:bdr w:val="single" w:sz="4" w:space="0" w:color="auto"/>
                <w:lang w:val="en-GB" w:eastAsia="cs-CZ"/>
              </w:rPr>
              <w:t>2.2 Simple joint</w:t>
            </w:r>
            <w:r w:rsidRPr="003B03B1" w:rsidR="006075D5">
              <w:rPr>
                <w:rFonts w:ascii="Times New Roman" w:hAnsi="Times New Roman" w:cs="Times New Roman"/>
                <w:b/>
                <w:bCs/>
                <w:color w:val="000000" w:themeColor="text1"/>
                <w:sz w:val="24"/>
                <w:szCs w:val="24"/>
                <w:bdr w:val="single" w:sz="4" w:space="0" w:color="auto"/>
                <w:lang w:val="en-GB" w:eastAsia="cs-CZ"/>
              </w:rPr>
              <w:t xml:space="preserve"> </w:t>
            </w:r>
            <w:r w:rsidRPr="003B03B1">
              <w:rPr>
                <w:rFonts w:ascii="Times New Roman" w:hAnsi="Times New Roman" w:cs="Times New Roman"/>
                <w:b/>
                <w:bCs/>
                <w:color w:val="000000" w:themeColor="text1"/>
                <w:sz w:val="24"/>
                <w:szCs w:val="24"/>
                <w:bdr w:val="single" w:sz="4" w:space="0" w:color="auto"/>
                <w:lang w:val="en-GB" w:eastAsia="cs-CZ"/>
              </w:rPr>
              <w:t>stock company</w:t>
            </w:r>
            <w:bookmarkEnd w:id="48"/>
            <w:r w:rsidRPr="003B03B1">
              <w:rPr>
                <w:rFonts w:ascii="Times New Roman" w:hAnsi="Times New Roman" w:cs="Times New Roman"/>
                <w:b/>
                <w:bCs/>
                <w:color w:val="000000" w:themeColor="text1"/>
                <w:sz w:val="24"/>
                <w:szCs w:val="24"/>
                <w:bdr w:val="single" w:sz="4" w:space="0" w:color="auto"/>
                <w:lang w:val="en-GB" w:eastAsia="cs-CZ"/>
              </w:rPr>
              <w:t xml:space="preserve"> </w:t>
            </w:r>
            <w:bookmarkEnd w:id="49"/>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the event that companies or start-up companies want to offer securities publicly, they must establish a joint stock company </w:t>
            </w:r>
            <w:r w:rsidRPr="00C67FEB" w:rsidR="006075D5">
              <w:rPr>
                <w:rFonts w:ascii="Times New Roman" w:eastAsia="Times New Roman" w:hAnsi="Times New Roman" w:cs="Times New Roman"/>
                <w:sz w:val="24"/>
                <w:szCs w:val="24"/>
                <w:lang w:val="en-GB" w:eastAsia="cs-CZ"/>
              </w:rPr>
              <w:t xml:space="preserve">when choosing </w:t>
            </w:r>
            <w:r w:rsidRPr="00C67FEB">
              <w:rPr>
                <w:rFonts w:ascii="Times New Roman" w:eastAsia="Times New Roman" w:hAnsi="Times New Roman" w:cs="Times New Roman"/>
                <w:sz w:val="24"/>
                <w:szCs w:val="24"/>
                <w:lang w:val="en-GB" w:eastAsia="cs-CZ"/>
              </w:rPr>
              <w:t xml:space="preserve">from capital companies, as the </w:t>
            </w:r>
            <w:r w:rsidRPr="00C67FEB" w:rsidR="006075D5">
              <w:rPr>
                <w:rFonts w:ascii="Times New Roman" w:eastAsia="Times New Roman" w:hAnsi="Times New Roman" w:cs="Times New Roman"/>
                <w:sz w:val="24"/>
                <w:szCs w:val="24"/>
                <w:lang w:val="en-GB" w:eastAsia="cs-CZ"/>
              </w:rPr>
              <w:t>Corporations Act</w:t>
            </w:r>
            <w:r w:rsidRPr="00C67FEB">
              <w:rPr>
                <w:rFonts w:ascii="Times New Roman" w:eastAsia="Times New Roman" w:hAnsi="Times New Roman" w:cs="Times New Roman"/>
                <w:sz w:val="24"/>
                <w:szCs w:val="24"/>
                <w:lang w:val="en-GB" w:eastAsia="cs-CZ"/>
              </w:rPr>
              <w:t xml:space="preserve"> prohibits public offering of </w:t>
            </w:r>
            <w:r w:rsidRPr="00C67FEB" w:rsidR="00A0249E">
              <w:rPr>
                <w:rFonts w:ascii="Times New Roman" w:eastAsia="Times New Roman" w:hAnsi="Times New Roman" w:cs="Times New Roman"/>
                <w:sz w:val="24"/>
                <w:szCs w:val="24"/>
                <w:lang w:val="en-GB" w:eastAsia="cs-CZ"/>
              </w:rPr>
              <w:t>common</w:t>
            </w:r>
            <w:r w:rsidRPr="00C67FEB">
              <w:rPr>
                <w:rFonts w:ascii="Times New Roman" w:eastAsia="Times New Roman" w:hAnsi="Times New Roman" w:cs="Times New Roman"/>
                <w:sz w:val="24"/>
                <w:szCs w:val="24"/>
                <w:lang w:val="en-GB" w:eastAsia="cs-CZ"/>
              </w:rPr>
              <w:t xml:space="preserve"> certificates or their trading on a European regulated or other public market in a limited liability company (</w:t>
            </w:r>
            <w:r w:rsidRPr="00C67FEB" w:rsidR="006075D5">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137 </w:t>
            </w:r>
            <w:r w:rsidRPr="00C67FEB" w:rsidR="006075D5">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4</w:t>
            </w:r>
            <w:r w:rsidRPr="00C67FEB" w:rsidR="006075D5">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t>
            </w:r>
            <w:r w:rsidRPr="00C67FEB" w:rsidR="006075D5">
              <w:rPr>
                <w:rFonts w:ascii="Times New Roman" w:eastAsia="Times New Roman" w:hAnsi="Times New Roman" w:cs="Times New Roman"/>
                <w:sz w:val="24"/>
                <w:szCs w:val="24"/>
                <w:lang w:val="en-GB" w:eastAsia="cs-CZ"/>
              </w:rPr>
              <w:t>Corporations Act</w:t>
            </w:r>
            <w:r w:rsidRPr="00C67FEB">
              <w:rPr>
                <w:rFonts w:ascii="Times New Roman" w:eastAsia="Times New Roman" w:hAnsi="Times New Roman" w:cs="Times New Roman"/>
                <w:sz w:val="24"/>
                <w:szCs w:val="24"/>
                <w:lang w:val="en-GB" w:eastAsia="cs-CZ"/>
              </w:rPr>
              <w:t xml:space="preserve">). A public offer pursuant to Section 34 (1) of the </w:t>
            </w:r>
            <w:r w:rsidRPr="00C67FEB" w:rsidR="006075D5">
              <w:rPr>
                <w:rFonts w:ascii="Times New Roman" w:eastAsia="Times New Roman" w:hAnsi="Times New Roman" w:cs="Times New Roman"/>
                <w:sz w:val="24"/>
                <w:szCs w:val="24"/>
                <w:lang w:val="en-GB" w:eastAsia="cs-CZ"/>
              </w:rPr>
              <w:t>Capital Market Business Act</w:t>
            </w:r>
            <w:r w:rsidRPr="00C67FEB">
              <w:rPr>
                <w:rFonts w:ascii="Times New Roman" w:eastAsia="Times New Roman" w:hAnsi="Times New Roman" w:cs="Times New Roman"/>
                <w:sz w:val="24"/>
                <w:szCs w:val="24"/>
                <w:lang w:val="en-GB" w:eastAsia="cs-CZ"/>
              </w:rPr>
              <w:t xml:space="preserve"> is any communication to a wider range of persons containing information on the investment securities offered and the conditions for their acquisition that are sufficient to enable the investor to make a decision to buy or subscribe for such investment securities. They may be publicly offered investment instruments, inter alia, shares or similar securities representing a share in a legal entity (Section 3 of the </w:t>
            </w:r>
            <w:r w:rsidRPr="00C67FEB" w:rsidR="006075D5">
              <w:rPr>
                <w:rFonts w:ascii="Times New Roman" w:eastAsia="Times New Roman" w:hAnsi="Times New Roman" w:cs="Times New Roman"/>
                <w:sz w:val="24"/>
                <w:szCs w:val="24"/>
                <w:lang w:val="en-GB" w:eastAsia="cs-CZ"/>
              </w:rPr>
              <w:t>Capital Market Business Act</w:t>
            </w:r>
            <w:r w:rsidRPr="00C67FEB">
              <w:rPr>
                <w:rFonts w:ascii="Times New Roman" w:eastAsia="Times New Roman" w:hAnsi="Times New Roman" w:cs="Times New Roman"/>
                <w:sz w:val="24"/>
                <w:szCs w:val="24"/>
                <w:lang w:val="en-GB" w:eastAsia="cs-CZ"/>
              </w:rPr>
              <w:t xml:space="preserve">). Pursuant to Section 34 (1) of the </w:t>
            </w:r>
            <w:r w:rsidRPr="00C67FEB" w:rsidR="006075D5">
              <w:rPr>
                <w:rFonts w:ascii="Times New Roman" w:eastAsia="Times New Roman" w:hAnsi="Times New Roman" w:cs="Times New Roman"/>
                <w:sz w:val="24"/>
                <w:szCs w:val="24"/>
                <w:lang w:val="en-GB" w:eastAsia="cs-CZ"/>
              </w:rPr>
              <w:t>Capital Market Business Act</w:t>
            </w:r>
            <w:r w:rsidRPr="00C67FEB">
              <w:rPr>
                <w:rFonts w:ascii="Times New Roman" w:eastAsia="Times New Roman" w:hAnsi="Times New Roman" w:cs="Times New Roman"/>
                <w:sz w:val="24"/>
                <w:szCs w:val="24"/>
                <w:lang w:val="en-GB" w:eastAsia="cs-CZ"/>
              </w:rPr>
              <w:t xml:space="preserve">, public offering of trading on a regulated market is not considered to be a public offering, but the </w:t>
            </w:r>
            <w:r w:rsidRPr="00C67FEB" w:rsidR="006075D5">
              <w:rPr>
                <w:rFonts w:ascii="Times New Roman" w:eastAsia="Times New Roman" w:hAnsi="Times New Roman" w:cs="Times New Roman"/>
                <w:sz w:val="24"/>
                <w:szCs w:val="24"/>
                <w:lang w:val="en-GB" w:eastAsia="cs-CZ"/>
              </w:rPr>
              <w:t xml:space="preserve">Corporations Act </w:t>
            </w:r>
            <w:r w:rsidRPr="00C67FEB">
              <w:rPr>
                <w:rFonts w:ascii="Times New Roman" w:eastAsia="Times New Roman" w:hAnsi="Times New Roman" w:cs="Times New Roman"/>
                <w:sz w:val="24"/>
                <w:szCs w:val="24"/>
                <w:lang w:val="en-GB" w:eastAsia="cs-CZ"/>
              </w:rPr>
              <w:t xml:space="preserve">also explicitly prohibits public offering. For this reason, </w:t>
            </w:r>
            <w:r w:rsidRPr="00C67FEB" w:rsidR="00A0249E">
              <w:rPr>
                <w:rFonts w:ascii="Times New Roman" w:eastAsia="Times New Roman" w:hAnsi="Times New Roman" w:cs="Times New Roman"/>
                <w:sz w:val="24"/>
                <w:szCs w:val="24"/>
                <w:lang w:val="en-GB" w:eastAsia="cs-CZ"/>
              </w:rPr>
              <w:t>from the capital companies</w:t>
            </w:r>
            <w:r w:rsidRPr="00C67FEB">
              <w:rPr>
                <w:rFonts w:ascii="Times New Roman" w:eastAsia="Times New Roman" w:hAnsi="Times New Roman" w:cs="Times New Roman"/>
                <w:sz w:val="24"/>
                <w:szCs w:val="24"/>
                <w:lang w:val="en-GB" w:eastAsia="cs-CZ"/>
              </w:rPr>
              <w:t xml:space="preserve"> institute </w:t>
            </w:r>
            <w:r w:rsidRPr="00C67FEB" w:rsidR="00A0249E">
              <w:rPr>
                <w:rFonts w:ascii="Times New Roman" w:eastAsia="Times New Roman" w:hAnsi="Times New Roman" w:cs="Times New Roman"/>
                <w:sz w:val="24"/>
                <w:szCs w:val="24"/>
                <w:lang w:val="en-GB" w:eastAsia="cs-CZ"/>
              </w:rPr>
              <w:t xml:space="preserve">of </w:t>
            </w:r>
            <w:r w:rsidRPr="00C67FEB">
              <w:rPr>
                <w:rFonts w:ascii="Times New Roman" w:eastAsia="Times New Roman" w:hAnsi="Times New Roman" w:cs="Times New Roman"/>
                <w:sz w:val="24"/>
                <w:szCs w:val="24"/>
                <w:lang w:val="en-GB" w:eastAsia="cs-CZ"/>
              </w:rPr>
              <w:t xml:space="preserve">a public offer in this regard can only </w:t>
            </w:r>
            <w:r w:rsidRPr="00C67FEB" w:rsidR="00A0249E">
              <w:rPr>
                <w:rFonts w:ascii="Times New Roman" w:eastAsia="Times New Roman" w:hAnsi="Times New Roman" w:cs="Times New Roman"/>
                <w:sz w:val="24"/>
                <w:szCs w:val="24"/>
                <w:lang w:val="en-GB" w:eastAsia="cs-CZ"/>
              </w:rPr>
              <w:t>be used by</w:t>
            </w:r>
            <w:r w:rsidRPr="00C67FEB">
              <w:rPr>
                <w:rFonts w:ascii="Times New Roman" w:eastAsia="Times New Roman" w:hAnsi="Times New Roman" w:cs="Times New Roman"/>
                <w:sz w:val="24"/>
                <w:szCs w:val="24"/>
                <w:lang w:val="en-GB" w:eastAsia="cs-CZ"/>
              </w:rPr>
              <w:t xml:space="preserve"> a joint stock company, and not a limited liability company. The impossibility of public offering deprives companies and start-ups of investment offers from investors. The current legal regulation of a common joint stock company is regulated in </w:t>
            </w:r>
            <w:r w:rsidRPr="00C67FEB" w:rsidR="006075D5">
              <w:rPr>
                <w:rFonts w:ascii="Times New Roman" w:eastAsia="Times New Roman" w:hAnsi="Times New Roman" w:cs="Times New Roman"/>
                <w:sz w:val="24"/>
                <w:szCs w:val="24"/>
                <w:lang w:val="en-GB" w:eastAsia="cs-CZ"/>
              </w:rPr>
              <w:t>Sections</w:t>
            </w:r>
            <w:r w:rsidRPr="00C67FEB">
              <w:rPr>
                <w:rFonts w:ascii="Times New Roman" w:eastAsia="Times New Roman" w:hAnsi="Times New Roman" w:cs="Times New Roman"/>
                <w:sz w:val="24"/>
                <w:szCs w:val="24"/>
                <w:lang w:val="en-GB" w:eastAsia="cs-CZ"/>
              </w:rPr>
              <w:t xml:space="preserve"> 243 - 551 of the </w:t>
            </w:r>
            <w:r w:rsidRPr="00C67FEB" w:rsidR="006075D5">
              <w:rPr>
                <w:rFonts w:ascii="Times New Roman" w:eastAsia="Times New Roman" w:hAnsi="Times New Roman" w:cs="Times New Roman"/>
                <w:sz w:val="24"/>
                <w:szCs w:val="24"/>
                <w:lang w:val="en-GB" w:eastAsia="cs-CZ"/>
              </w:rPr>
              <w:t>Corporations Act</w:t>
            </w:r>
            <w:r w:rsidRPr="00C67FEB">
              <w:rPr>
                <w:rFonts w:ascii="Times New Roman" w:eastAsia="Times New Roman" w:hAnsi="Times New Roman" w:cs="Times New Roman"/>
                <w:sz w:val="24"/>
                <w:szCs w:val="24"/>
                <w:lang w:val="en-GB" w:eastAsia="cs-CZ"/>
              </w:rPr>
              <w:t xml:space="preserve">. A limited liability company cannot also issue convertible bonds under current legislation. However, a registered capital of CZK 2,000,000 or EUR 80,000 is required for the formation of a joint stock company (Section 246 (2) of the </w:t>
            </w:r>
            <w:r w:rsidRPr="00C67FEB" w:rsidR="006075D5">
              <w:rPr>
                <w:rFonts w:ascii="Times New Roman" w:eastAsia="Times New Roman" w:hAnsi="Times New Roman" w:cs="Times New Roman"/>
                <w:sz w:val="24"/>
                <w:szCs w:val="24"/>
                <w:lang w:val="en-GB" w:eastAsia="cs-CZ"/>
              </w:rPr>
              <w:t>Corporations Act</w:t>
            </w:r>
            <w:r w:rsidRPr="00C67FEB">
              <w:rPr>
                <w:rFonts w:ascii="Times New Roman" w:eastAsia="Times New Roman" w:hAnsi="Times New Roman" w:cs="Times New Roman"/>
                <w:sz w:val="24"/>
                <w:szCs w:val="24"/>
                <w:lang w:val="en-GB" w:eastAsia="cs-CZ"/>
              </w:rPr>
              <w:t xml:space="preserve">). </w:t>
            </w:r>
            <w:r w:rsidRPr="00C67FEB" w:rsidR="00A0249E">
              <w:rPr>
                <w:rFonts w:ascii="Times New Roman" w:eastAsia="Times New Roman" w:hAnsi="Times New Roman" w:cs="Times New Roman"/>
                <w:sz w:val="24"/>
                <w:szCs w:val="24"/>
                <w:lang w:val="en-GB" w:eastAsia="cs-CZ"/>
              </w:rPr>
              <w:t>Articles of association</w:t>
            </w:r>
            <w:r w:rsidRPr="00C67FEB">
              <w:rPr>
                <w:rFonts w:ascii="Times New Roman" w:eastAsia="Times New Roman" w:hAnsi="Times New Roman" w:cs="Times New Roman"/>
                <w:sz w:val="24"/>
                <w:szCs w:val="24"/>
                <w:lang w:val="en-GB" w:eastAsia="cs-CZ"/>
              </w:rPr>
              <w:t>, respectively</w:t>
            </w:r>
            <w:r w:rsidRPr="00C67FEB" w:rsidR="00A0249E">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the memorandum of </w:t>
            </w:r>
            <w:r w:rsidRPr="00C67FEB" w:rsidR="00413F41">
              <w:rPr>
                <w:rFonts w:ascii="Times New Roman" w:eastAsia="Times New Roman" w:hAnsi="Times New Roman" w:cs="Times New Roman"/>
                <w:sz w:val="24"/>
                <w:szCs w:val="24"/>
                <w:lang w:val="en-GB" w:eastAsia="cs-CZ"/>
              </w:rPr>
              <w:t>association</w:t>
            </w:r>
            <w:r w:rsidRPr="00C67FEB" w:rsidR="00A0249E">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t>
            </w:r>
            <w:r w:rsidRPr="00C67FEB" w:rsidR="00A0249E">
              <w:rPr>
                <w:rFonts w:ascii="Times New Roman" w:eastAsia="Times New Roman" w:hAnsi="Times New Roman" w:cs="Times New Roman"/>
                <w:sz w:val="24"/>
                <w:szCs w:val="24"/>
                <w:lang w:val="en-GB" w:eastAsia="cs-CZ"/>
              </w:rPr>
              <w:t xml:space="preserve">when </w:t>
            </w:r>
            <w:r w:rsidRPr="00C67FEB">
              <w:rPr>
                <w:rFonts w:ascii="Times New Roman" w:eastAsia="Times New Roman" w:hAnsi="Times New Roman" w:cs="Times New Roman"/>
                <w:sz w:val="24"/>
                <w:szCs w:val="24"/>
                <w:lang w:val="en-GB" w:eastAsia="cs-CZ"/>
              </w:rPr>
              <w:t>establishing a public limited company</w:t>
            </w:r>
            <w:r w:rsidRPr="00C67FEB" w:rsidR="00A0249E">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also requires the form of a public document (</w:t>
            </w:r>
            <w:r w:rsidRPr="00C67FEB" w:rsidR="006075D5">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8 </w:t>
            </w:r>
            <w:r w:rsidRPr="00C67FEB" w:rsidR="006075D5">
              <w:rPr>
                <w:rFonts w:ascii="Times New Roman" w:eastAsia="Times New Roman" w:hAnsi="Times New Roman" w:cs="Times New Roman"/>
                <w:sz w:val="24"/>
                <w:szCs w:val="24"/>
                <w:lang w:val="en-GB" w:eastAsia="cs-CZ"/>
              </w:rPr>
              <w:t>of the Corporations Act</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Three variants are considered:</w:t>
            </w:r>
          </w:p>
          <w:p w:rsidR="00403DFA" w:rsidRPr="00C67FEB" w:rsidP="0087579E">
            <w:pPr>
              <w:keepNext/>
              <w:numPr>
                <w:ilvl w:val="0"/>
                <w:numId w:val="12"/>
              </w:numPr>
              <w:spacing w:after="200" w:line="240" w:lineRule="auto"/>
              <w:ind w:left="527" w:firstLine="0"/>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ption 0 - maintaining the current status</w:t>
            </w:r>
          </w:p>
          <w:p w:rsidR="00403DFA" w:rsidRPr="00C67FEB" w:rsidP="0087579E">
            <w:pPr>
              <w:keepNext/>
              <w:numPr>
                <w:ilvl w:val="0"/>
                <w:numId w:val="12"/>
              </w:numPr>
              <w:spacing w:before="120" w:after="120" w:line="240" w:lineRule="auto"/>
              <w:ind w:left="524" w:firstLine="0"/>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 xml:space="preserve">ption 1 - </w:t>
            </w:r>
            <w:r w:rsidRPr="00C67FEB">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 xml:space="preserve">bolition of ban on public offering of </w:t>
            </w:r>
            <w:r w:rsidRPr="00C67FEB">
              <w:rPr>
                <w:rFonts w:ascii="Times New Roman" w:eastAsia="Times New Roman" w:hAnsi="Times New Roman" w:cs="Times New Roman"/>
                <w:sz w:val="24"/>
                <w:szCs w:val="24"/>
                <w:lang w:val="en-GB" w:eastAsia="cs-CZ"/>
              </w:rPr>
              <w:t>common certificates</w:t>
            </w:r>
          </w:p>
          <w:p w:rsidR="00403DFA" w:rsidRPr="00C67FEB" w:rsidP="0087579E">
            <w:pPr>
              <w:keepNext/>
              <w:numPr>
                <w:ilvl w:val="0"/>
                <w:numId w:val="12"/>
              </w:numPr>
              <w:spacing w:before="120" w:after="120" w:line="240" w:lineRule="auto"/>
              <w:ind w:left="524" w:firstLine="0"/>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2 - creation of a simple joint stock company</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current state does not allow a public offering of securities other than through the joint stock company, </w:t>
            </w:r>
            <w:r w:rsidRPr="00C67FEB" w:rsidR="00CD049A">
              <w:rPr>
                <w:rFonts w:ascii="Times New Roman" w:eastAsia="Times New Roman" w:hAnsi="Times New Roman" w:cs="Times New Roman"/>
                <w:sz w:val="24"/>
                <w:szCs w:val="24"/>
                <w:lang w:val="en-GB" w:eastAsia="cs-CZ"/>
              </w:rPr>
              <w:t>for its</w:t>
            </w:r>
            <w:r w:rsidRPr="00C67FEB">
              <w:rPr>
                <w:rFonts w:ascii="Times New Roman" w:eastAsia="Times New Roman" w:hAnsi="Times New Roman" w:cs="Times New Roman"/>
                <w:sz w:val="24"/>
                <w:szCs w:val="24"/>
                <w:lang w:val="en-GB" w:eastAsia="cs-CZ"/>
              </w:rPr>
              <w:t xml:space="preserve"> foundation </w:t>
            </w:r>
            <w:r w:rsidRPr="00C67FEB" w:rsidR="00CD049A">
              <w:rPr>
                <w:rFonts w:ascii="Times New Roman" w:eastAsia="Times New Roman" w:hAnsi="Times New Roman" w:cs="Times New Roman"/>
                <w:sz w:val="24"/>
                <w:szCs w:val="24"/>
                <w:lang w:val="en-GB" w:eastAsia="cs-CZ"/>
              </w:rPr>
              <w:t xml:space="preserve">it </w:t>
            </w:r>
            <w:r w:rsidRPr="00C67FEB">
              <w:rPr>
                <w:rFonts w:ascii="Times New Roman" w:eastAsia="Times New Roman" w:hAnsi="Times New Roman" w:cs="Times New Roman"/>
                <w:sz w:val="24"/>
                <w:szCs w:val="24"/>
                <w:lang w:val="en-GB" w:eastAsia="cs-CZ"/>
              </w:rPr>
              <w:t>is necessary to have a registered capital of 2 000 000 CZK as a limited liability</w:t>
            </w:r>
            <w:r w:rsidRPr="00C67FEB" w:rsidR="00CD049A">
              <w:rPr>
                <w:rFonts w:ascii="Times New Roman" w:eastAsia="Times New Roman" w:hAnsi="Times New Roman" w:cs="Times New Roman"/>
                <w:sz w:val="24"/>
                <w:szCs w:val="24"/>
                <w:lang w:val="en-GB" w:eastAsia="cs-CZ"/>
              </w:rPr>
              <w:t xml:space="preserve"> company</w:t>
            </w:r>
            <w:r w:rsidRPr="00C67FEB">
              <w:rPr>
                <w:rFonts w:ascii="Times New Roman" w:eastAsia="Times New Roman" w:hAnsi="Times New Roman" w:cs="Times New Roman"/>
                <w:sz w:val="24"/>
                <w:szCs w:val="24"/>
                <w:lang w:val="en-GB" w:eastAsia="cs-CZ"/>
              </w:rPr>
              <w:t xml:space="preserve"> prohibits public trading of </w:t>
            </w:r>
            <w:r w:rsidRPr="00C67FEB" w:rsidR="00CD049A">
              <w:rPr>
                <w:rFonts w:ascii="Times New Roman" w:eastAsia="Times New Roman" w:hAnsi="Times New Roman" w:cs="Times New Roman"/>
                <w:sz w:val="24"/>
                <w:szCs w:val="24"/>
                <w:lang w:val="en-GB" w:eastAsia="cs-CZ"/>
              </w:rPr>
              <w:t>common certificates</w:t>
            </w:r>
            <w:r w:rsidRPr="00C67FEB">
              <w:rPr>
                <w:rFonts w:ascii="Times New Roman" w:eastAsia="Times New Roman" w:hAnsi="Times New Roman" w:cs="Times New Roman"/>
                <w:sz w:val="24"/>
                <w:szCs w:val="24"/>
                <w:lang w:val="en-GB" w:eastAsia="cs-CZ"/>
              </w:rPr>
              <w:t>. Maintaining the status quo is not a change in costs or benefits.</w:t>
            </w:r>
            <w:r w:rsidR="0087579E">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Option 1 - </w:t>
            </w:r>
            <w:r w:rsidRPr="003B03B1" w:rsidR="00CD049A">
              <w:rPr>
                <w:rFonts w:ascii="Times New Roman" w:eastAsia="Times New Roman" w:hAnsi="Times New Roman" w:cs="Times New Roman"/>
                <w:b/>
                <w:bCs/>
                <w:sz w:val="24"/>
                <w:szCs w:val="24"/>
                <w:lang w:val="en-GB" w:eastAsia="cs-CZ"/>
              </w:rPr>
              <w:t>abolition of ban on public offering of common certificates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Abolishing the ban on public offering and trading in </w:t>
            </w:r>
            <w:r w:rsidRPr="00C67FEB" w:rsidR="00CD049A">
              <w:rPr>
                <w:rFonts w:ascii="Times New Roman" w:eastAsia="Times New Roman" w:hAnsi="Times New Roman" w:cs="Times New Roman"/>
                <w:sz w:val="24"/>
                <w:szCs w:val="24"/>
                <w:lang w:val="en-GB" w:eastAsia="cs-CZ"/>
              </w:rPr>
              <w:t>common certificates</w:t>
            </w:r>
            <w:r w:rsidRPr="00C67FEB">
              <w:rPr>
                <w:rFonts w:ascii="Times New Roman" w:eastAsia="Times New Roman" w:hAnsi="Times New Roman" w:cs="Times New Roman"/>
                <w:sz w:val="24"/>
                <w:szCs w:val="24"/>
                <w:lang w:val="en-GB" w:eastAsia="cs-CZ"/>
              </w:rPr>
              <w:t xml:space="preserve"> would constitute liberalization in relation to a limited liability company. This solution would be an option for persons wishing to set up a </w:t>
            </w:r>
            <w:r w:rsidRPr="00C67FEB" w:rsidR="00CD049A">
              <w:rPr>
                <w:rFonts w:ascii="Times New Roman" w:eastAsia="Times New Roman" w:hAnsi="Times New Roman" w:cs="Times New Roman"/>
                <w:sz w:val="24"/>
                <w:szCs w:val="24"/>
                <w:lang w:val="en-GB" w:eastAsia="cs-CZ"/>
              </w:rPr>
              <w:t>capital</w:t>
            </w:r>
            <w:r w:rsidRPr="00C67FEB">
              <w:rPr>
                <w:rFonts w:ascii="Times New Roman" w:eastAsia="Times New Roman" w:hAnsi="Times New Roman" w:cs="Times New Roman"/>
                <w:sz w:val="24"/>
                <w:szCs w:val="24"/>
                <w:lang w:val="en-GB" w:eastAsia="cs-CZ"/>
              </w:rPr>
              <w:t xml:space="preserve"> company that allows public offering and public trading of participati</w:t>
            </w:r>
            <w:r w:rsidRPr="00C67FEB" w:rsidR="00CD049A">
              <w:rPr>
                <w:rFonts w:ascii="Times New Roman" w:eastAsia="Times New Roman" w:hAnsi="Times New Roman" w:cs="Times New Roman"/>
                <w:sz w:val="24"/>
                <w:szCs w:val="24"/>
                <w:lang w:val="en-GB" w:eastAsia="cs-CZ"/>
              </w:rPr>
              <w:t xml:space="preserve">on </w:t>
            </w:r>
            <w:r w:rsidRPr="00C67FEB">
              <w:rPr>
                <w:rFonts w:ascii="Times New Roman" w:eastAsia="Times New Roman" w:hAnsi="Times New Roman" w:cs="Times New Roman"/>
                <w:sz w:val="24"/>
                <w:szCs w:val="24"/>
                <w:lang w:val="en-GB" w:eastAsia="cs-CZ"/>
              </w:rPr>
              <w:t xml:space="preserve">securities without the need to set up a </w:t>
            </w:r>
            <w:r w:rsidRPr="00C67FEB" w:rsidR="00CD049A">
              <w:rPr>
                <w:rFonts w:ascii="Times New Roman" w:eastAsia="Times New Roman" w:hAnsi="Times New Roman" w:cs="Times New Roman"/>
                <w:sz w:val="24"/>
                <w:szCs w:val="24"/>
                <w:lang w:val="en-GB" w:eastAsia="cs-CZ"/>
              </w:rPr>
              <w:t>joint stock</w:t>
            </w:r>
            <w:r w:rsidRPr="00C67FEB">
              <w:rPr>
                <w:rFonts w:ascii="Times New Roman" w:eastAsia="Times New Roman" w:hAnsi="Times New Roman" w:cs="Times New Roman"/>
                <w:sz w:val="24"/>
                <w:szCs w:val="24"/>
                <w:lang w:val="en-GB" w:eastAsia="cs-CZ"/>
              </w:rPr>
              <w:t xml:space="preserve"> company</w:t>
            </w:r>
            <w:r w:rsidRPr="00C67FEB" w:rsidR="00CD049A">
              <w:rPr>
                <w:rFonts w:ascii="Times New Roman" w:eastAsia="Times New Roman" w:hAnsi="Times New Roman" w:cs="Times New Roman"/>
                <w:sz w:val="24"/>
                <w:szCs w:val="24"/>
                <w:lang w:val="en-GB" w:eastAsia="cs-CZ"/>
              </w:rPr>
              <w:t xml:space="preserve"> with high costs</w:t>
            </w:r>
            <w:r w:rsidRPr="00C67FEB">
              <w:rPr>
                <w:rFonts w:ascii="Times New Roman" w:eastAsia="Times New Roman" w:hAnsi="Times New Roman" w:cs="Times New Roman"/>
                <w:sz w:val="24"/>
                <w:szCs w:val="24"/>
                <w:lang w:val="en-GB" w:eastAsia="cs-CZ"/>
              </w:rPr>
              <w:t xml:space="preserve">. Choosing this option </w:t>
            </w:r>
            <w:r w:rsidRPr="00C67FEB" w:rsidR="00CD049A">
              <w:rPr>
                <w:rFonts w:ascii="Times New Roman" w:eastAsia="Times New Roman" w:hAnsi="Times New Roman" w:cs="Times New Roman"/>
                <w:sz w:val="24"/>
                <w:szCs w:val="24"/>
                <w:lang w:val="en-GB" w:eastAsia="cs-CZ"/>
              </w:rPr>
              <w:t xml:space="preserve">does </w:t>
            </w:r>
            <w:r w:rsidRPr="00C67FEB" w:rsidR="00CD049A">
              <w:rPr>
                <w:rFonts w:ascii="Times New Roman" w:eastAsia="Times New Roman" w:hAnsi="Times New Roman" w:cs="Times New Roman"/>
                <w:sz w:val="24"/>
                <w:szCs w:val="24"/>
                <w:lang w:val="en-GB" w:eastAsia="cs-CZ"/>
              </w:rPr>
              <w:t>not mean</w:t>
            </w:r>
            <w:r w:rsidRPr="00C67FEB">
              <w:rPr>
                <w:rFonts w:ascii="Times New Roman" w:eastAsia="Times New Roman" w:hAnsi="Times New Roman" w:cs="Times New Roman"/>
                <w:sz w:val="24"/>
                <w:szCs w:val="24"/>
                <w:lang w:val="en-GB" w:eastAsia="cs-CZ"/>
              </w:rPr>
              <w:t xml:space="preserve"> a mandatory cost. The change will not require public costs. Choosing this option requires a change in legislation. With regard to that of a </w:t>
            </w:r>
            <w:r w:rsidRPr="00C67FEB" w:rsidR="00CD049A">
              <w:rPr>
                <w:rFonts w:ascii="Times New Roman" w:eastAsia="Times New Roman" w:hAnsi="Times New Roman" w:cs="Times New Roman"/>
                <w:sz w:val="24"/>
                <w:szCs w:val="24"/>
                <w:lang w:val="en-GB" w:eastAsia="cs-CZ"/>
              </w:rPr>
              <w:t>partners in a limited liability company are</w:t>
            </w:r>
            <w:r w:rsidRPr="00C67FEB">
              <w:rPr>
                <w:rFonts w:ascii="Times New Roman" w:eastAsia="Times New Roman" w:hAnsi="Times New Roman" w:cs="Times New Roman"/>
                <w:sz w:val="24"/>
                <w:szCs w:val="24"/>
                <w:lang w:val="en-GB" w:eastAsia="cs-CZ"/>
              </w:rPr>
              <w:t xml:space="preserve"> partners</w:t>
            </w:r>
            <w:r w:rsidRPr="00C67FEB" w:rsidR="00CD049A">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 </w:t>
            </w:r>
            <w:r w:rsidRPr="00C67FEB" w:rsidR="00CD049A">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 xml:space="preserve">nvestors in a closed-ended private company where they can regulate the transfer of their shares themselves in a memorandum of </w:t>
            </w:r>
            <w:r w:rsidRPr="00C67FEB" w:rsidR="00413F41">
              <w:rPr>
                <w:rFonts w:ascii="Times New Roman" w:eastAsia="Times New Roman" w:hAnsi="Times New Roman" w:cs="Times New Roman"/>
                <w:sz w:val="24"/>
                <w:szCs w:val="24"/>
                <w:lang w:val="en-GB" w:eastAsia="cs-CZ"/>
              </w:rPr>
              <w:t>association</w:t>
            </w:r>
            <w:r w:rsidRPr="00C67FEB" w:rsidR="00CD049A">
              <w:rPr>
                <w:rFonts w:ascii="Times New Roman" w:eastAsia="Times New Roman" w:hAnsi="Times New Roman" w:cs="Times New Roman"/>
                <w:sz w:val="24"/>
                <w:szCs w:val="24"/>
                <w:lang w:val="en-GB" w:eastAsia="cs-CZ"/>
              </w:rPr>
              <w:t>, we could say that</w:t>
            </w:r>
            <w:r w:rsidRPr="00C67FEB">
              <w:rPr>
                <w:rFonts w:ascii="Times New Roman" w:eastAsia="Times New Roman" w:hAnsi="Times New Roman" w:cs="Times New Roman"/>
                <w:sz w:val="24"/>
                <w:szCs w:val="24"/>
                <w:lang w:val="en-GB" w:eastAsia="cs-CZ"/>
              </w:rPr>
              <w:t xml:space="preserve"> </w:t>
            </w:r>
            <w:r w:rsidRPr="00C67FEB" w:rsidR="00CD049A">
              <w:rPr>
                <w:rFonts w:ascii="Times New Roman" w:eastAsia="Times New Roman" w:hAnsi="Times New Roman" w:cs="Times New Roman"/>
                <w:sz w:val="24"/>
                <w:szCs w:val="24"/>
                <w:lang w:val="en-GB" w:eastAsia="cs-CZ"/>
              </w:rPr>
              <w:t>by publicly trading in the stock certificates, they will not have control over who will acquire these participating securities and may have repercussions with regard to their protection, which may be reduced.</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Option 2 - creation of a simple joint stock company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Creating a simple joint stock company would mean expanding the types of capital companies. A simple </w:t>
            </w:r>
            <w:r w:rsidRPr="00C67FEB" w:rsidR="00CD049A">
              <w:rPr>
                <w:rFonts w:ascii="Times New Roman" w:eastAsia="Times New Roman" w:hAnsi="Times New Roman" w:cs="Times New Roman"/>
                <w:sz w:val="24"/>
                <w:szCs w:val="24"/>
                <w:lang w:val="en-GB" w:eastAsia="cs-CZ"/>
              </w:rPr>
              <w:t>joint stock</w:t>
            </w:r>
            <w:r w:rsidRPr="00C67FEB">
              <w:rPr>
                <w:rFonts w:ascii="Times New Roman" w:eastAsia="Times New Roman" w:hAnsi="Times New Roman" w:cs="Times New Roman"/>
                <w:sz w:val="24"/>
                <w:szCs w:val="24"/>
                <w:lang w:val="en-GB" w:eastAsia="cs-CZ"/>
              </w:rPr>
              <w:t xml:space="preserve"> company should not be a sub-type of </w:t>
            </w:r>
            <w:r w:rsidRPr="00C67FEB" w:rsidR="00CD049A">
              <w:rPr>
                <w:rFonts w:ascii="Times New Roman" w:eastAsia="Times New Roman" w:hAnsi="Times New Roman" w:cs="Times New Roman"/>
                <w:sz w:val="24"/>
                <w:szCs w:val="24"/>
                <w:lang w:val="en-GB" w:eastAsia="cs-CZ"/>
              </w:rPr>
              <w:t>joint stock</w:t>
            </w:r>
            <w:r w:rsidRPr="00C67FEB">
              <w:rPr>
                <w:rFonts w:ascii="Times New Roman" w:eastAsia="Times New Roman" w:hAnsi="Times New Roman" w:cs="Times New Roman"/>
                <w:sz w:val="24"/>
                <w:szCs w:val="24"/>
                <w:lang w:val="en-GB" w:eastAsia="cs-CZ"/>
              </w:rPr>
              <w:t xml:space="preserve"> company and should not be subject to the requirements of European law. In order not to circumvent this institute, it should not be a fully-fledged joint stock company, but should be designed as a temporary company which compulsorily constitutes a reserve fund with a certain limit, after which it will be compulsorily transformed into </w:t>
            </w:r>
            <w:r w:rsidRPr="00C67FEB" w:rsidR="003F0E8A">
              <w:rPr>
                <w:rFonts w:ascii="Times New Roman" w:eastAsia="Times New Roman" w:hAnsi="Times New Roman" w:cs="Times New Roman"/>
                <w:sz w:val="24"/>
                <w:szCs w:val="24"/>
                <w:lang w:val="en-GB" w:eastAsia="cs-CZ"/>
              </w:rPr>
              <w:t>common</w:t>
            </w:r>
            <w:r w:rsidRPr="00C67FEB">
              <w:rPr>
                <w:rFonts w:ascii="Times New Roman" w:eastAsia="Times New Roman" w:hAnsi="Times New Roman" w:cs="Times New Roman"/>
                <w:sz w:val="24"/>
                <w:szCs w:val="24"/>
                <w:lang w:val="en-GB" w:eastAsia="cs-CZ"/>
              </w:rPr>
              <w:t xml:space="preserve"> joint stock company. There would also be a number of aspects expressing the simplicity of this institute, </w:t>
            </w:r>
            <w:r w:rsidRPr="00C67FEB" w:rsidR="003F0E8A">
              <w:rPr>
                <w:rFonts w:ascii="Times New Roman" w:eastAsia="Times New Roman" w:hAnsi="Times New Roman" w:cs="Times New Roman"/>
                <w:sz w:val="24"/>
                <w:szCs w:val="24"/>
                <w:lang w:val="en-GB" w:eastAsia="cs-CZ"/>
              </w:rPr>
              <w:t>e.g.</w:t>
            </w:r>
            <w:r w:rsidRPr="00C67FEB">
              <w:rPr>
                <w:rFonts w:ascii="Times New Roman" w:eastAsia="Times New Roman" w:hAnsi="Times New Roman" w:cs="Times New Roman"/>
                <w:sz w:val="24"/>
                <w:szCs w:val="24"/>
                <w:lang w:val="en-GB" w:eastAsia="cs-CZ"/>
              </w:rPr>
              <w:t xml:space="preserve"> establishing without the need for a notarial deed. This liberalization in relation to the establishment without the need for a notarial deed would lead to a reduction in costs and administration for entities setting up this type of </w:t>
            </w:r>
            <w:r w:rsidRPr="00C67FEB" w:rsidR="003F0E8A">
              <w:rPr>
                <w:rFonts w:ascii="Times New Roman" w:eastAsia="Times New Roman" w:hAnsi="Times New Roman" w:cs="Times New Roman"/>
                <w:sz w:val="24"/>
                <w:szCs w:val="24"/>
                <w:lang w:val="en-GB" w:eastAsia="cs-CZ"/>
              </w:rPr>
              <w:t>company.</w:t>
            </w:r>
            <w:r w:rsidRPr="00C67FEB">
              <w:rPr>
                <w:rFonts w:ascii="Times New Roman" w:eastAsia="Times New Roman" w:hAnsi="Times New Roman" w:cs="Times New Roman"/>
                <w:sz w:val="24"/>
                <w:szCs w:val="24"/>
                <w:lang w:val="en-GB" w:eastAsia="cs-CZ"/>
              </w:rPr>
              <w:t xml:space="preserve"> The introduction of this institute will not be a mandatory cost. Investor protection is maintained, the impact on the business environment is positive and the Czech Republic's competitiveness is increased. Choosing this option requires a change in the legislative framework.</w:t>
            </w:r>
            <w:r w:rsidR="0087579E">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Under the current situation the best option </w:t>
            </w:r>
            <w:r w:rsidRPr="00C67FEB" w:rsidR="003F0E8A">
              <w:rPr>
                <w:rFonts w:ascii="Times New Roman" w:eastAsia="Times New Roman" w:hAnsi="Times New Roman" w:cs="Times New Roman"/>
                <w:sz w:val="24"/>
                <w:szCs w:val="24"/>
                <w:lang w:val="en-GB" w:eastAsia="cs-CZ"/>
              </w:rPr>
              <w:t xml:space="preserve">seems to be </w:t>
            </w:r>
            <w:r w:rsidRPr="00C67FEB">
              <w:rPr>
                <w:rFonts w:ascii="Times New Roman" w:eastAsia="Times New Roman" w:hAnsi="Times New Roman" w:cs="Times New Roman"/>
                <w:sz w:val="24"/>
                <w:szCs w:val="24"/>
                <w:lang w:val="en-GB" w:eastAsia="cs-CZ"/>
              </w:rPr>
              <w:t>to maintain the existing situation and</w:t>
            </w:r>
            <w:r w:rsidRPr="00C67FEB" w:rsidR="003F0E8A">
              <w:rPr>
                <w:rFonts w:ascii="Times New Roman" w:eastAsia="Times New Roman" w:hAnsi="Times New Roman" w:cs="Times New Roman"/>
                <w:sz w:val="24"/>
                <w:szCs w:val="24"/>
                <w:lang w:val="en-GB" w:eastAsia="cs-CZ"/>
              </w:rPr>
              <w:t xml:space="preserve"> have</w:t>
            </w:r>
            <w:r w:rsidRPr="00C67FEB">
              <w:rPr>
                <w:rFonts w:ascii="Times New Roman" w:eastAsia="Times New Roman" w:hAnsi="Times New Roman" w:cs="Times New Roman"/>
                <w:sz w:val="24"/>
                <w:szCs w:val="24"/>
                <w:lang w:val="en-GB" w:eastAsia="cs-CZ"/>
              </w:rPr>
              <w:t xml:space="preserve"> the possibility of any legislative changes in the future </w:t>
            </w:r>
            <w:r w:rsidRPr="00C67FEB" w:rsidR="003F0E8A">
              <w:rPr>
                <w:rFonts w:ascii="Times New Roman" w:eastAsia="Times New Roman" w:hAnsi="Times New Roman" w:cs="Times New Roman"/>
                <w:sz w:val="24"/>
                <w:szCs w:val="24"/>
                <w:lang w:val="en-GB" w:eastAsia="cs-CZ"/>
              </w:rPr>
              <w:t>to be more analysed in detail e.g.</w:t>
            </w:r>
            <w:r w:rsidRPr="00C67FEB">
              <w:rPr>
                <w:rFonts w:ascii="Times New Roman" w:eastAsia="Times New Roman" w:hAnsi="Times New Roman" w:cs="Times New Roman"/>
                <w:sz w:val="24"/>
                <w:szCs w:val="24"/>
                <w:lang w:val="en-GB" w:eastAsia="cs-CZ"/>
              </w:rPr>
              <w:t xml:space="preserve"> </w:t>
            </w:r>
            <w:r w:rsidRPr="00C67FEB" w:rsidR="003F0E8A">
              <w:rPr>
                <w:rFonts w:ascii="Times New Roman" w:eastAsia="Times New Roman" w:hAnsi="Times New Roman" w:cs="Times New Roman"/>
                <w:sz w:val="24"/>
                <w:szCs w:val="24"/>
                <w:lang w:val="en-GB" w:eastAsia="cs-CZ"/>
              </w:rPr>
              <w:t>t</w:t>
            </w:r>
            <w:r w:rsidRPr="00C67FEB">
              <w:rPr>
                <w:rFonts w:ascii="Times New Roman" w:eastAsia="Times New Roman" w:hAnsi="Times New Roman" w:cs="Times New Roman"/>
                <w:sz w:val="24"/>
                <w:szCs w:val="24"/>
                <w:lang w:val="en-GB" w:eastAsia="cs-CZ"/>
              </w:rPr>
              <w:t xml:space="preserve">hrough </w:t>
            </w:r>
            <w:r w:rsidRPr="00C67FEB">
              <w:rPr>
                <w:rFonts w:ascii="Times New Roman" w:eastAsia="Times New Roman" w:hAnsi="Times New Roman" w:cs="Times New Roman"/>
                <w:i/>
                <w:iCs/>
                <w:sz w:val="24"/>
                <w:szCs w:val="24"/>
                <w:lang w:val="en-GB" w:eastAsia="cs-CZ"/>
              </w:rPr>
              <w:t xml:space="preserve">ad hoc </w:t>
            </w:r>
            <w:r w:rsidRPr="00C67FEB">
              <w:rPr>
                <w:rFonts w:ascii="Times New Roman" w:eastAsia="Times New Roman" w:hAnsi="Times New Roman" w:cs="Times New Roman"/>
                <w:sz w:val="24"/>
                <w:szCs w:val="24"/>
                <w:lang w:val="en-GB" w:eastAsia="cs-CZ"/>
              </w:rPr>
              <w:t xml:space="preserve">working </w:t>
            </w:r>
            <w:r w:rsidRPr="00C67FEB" w:rsidR="003F0E8A">
              <w:rPr>
                <w:rFonts w:ascii="Times New Roman" w:eastAsia="Times New Roman" w:hAnsi="Times New Roman" w:cs="Times New Roman"/>
                <w:sz w:val="24"/>
                <w:szCs w:val="24"/>
                <w:lang w:val="en-GB" w:eastAsia="cs-CZ"/>
              </w:rPr>
              <w:t>group.</w:t>
            </w:r>
            <w:r w:rsidRPr="00C67FEB">
              <w:rPr>
                <w:rFonts w:ascii="Times New Roman" w:eastAsia="Times New Roman" w:hAnsi="Times New Roman" w:cs="Times New Roman"/>
                <w:sz w:val="24"/>
                <w:szCs w:val="24"/>
                <w:lang w:val="en-GB" w:eastAsia="cs-CZ"/>
              </w:rPr>
              <w:t xml:space="preserve"> Maintaining the status quo and choosing option 0 do</w:t>
            </w:r>
            <w:r w:rsidRPr="00C67FEB" w:rsidR="003F0E8A">
              <w:rPr>
                <w:rFonts w:ascii="Times New Roman" w:eastAsia="Times New Roman" w:hAnsi="Times New Roman" w:cs="Times New Roman"/>
                <w:sz w:val="24"/>
                <w:szCs w:val="24"/>
                <w:lang w:val="en-GB" w:eastAsia="cs-CZ"/>
              </w:rPr>
              <w:t>es</w:t>
            </w:r>
            <w:r w:rsidRPr="00C67FEB">
              <w:rPr>
                <w:rFonts w:ascii="Times New Roman" w:eastAsia="Times New Roman" w:hAnsi="Times New Roman" w:cs="Times New Roman"/>
                <w:sz w:val="24"/>
                <w:szCs w:val="24"/>
                <w:lang w:val="en-GB" w:eastAsia="cs-CZ"/>
              </w:rPr>
              <w:t xml:space="preserve"> not impose a burden on public budgets or administrative costs with a view to a change in the legal </w:t>
            </w:r>
            <w:r w:rsidRPr="00C67FEB" w:rsidR="003F0E8A">
              <w:rPr>
                <w:rFonts w:ascii="Times New Roman" w:eastAsia="Times New Roman" w:hAnsi="Times New Roman" w:cs="Times New Roman"/>
                <w:sz w:val="24"/>
                <w:szCs w:val="24"/>
                <w:lang w:val="en-GB" w:eastAsia="cs-CZ"/>
              </w:rPr>
              <w:t>framework but</w:t>
            </w:r>
            <w:r w:rsidRPr="00C67FEB">
              <w:rPr>
                <w:rFonts w:ascii="Times New Roman" w:eastAsia="Times New Roman" w:hAnsi="Times New Roman" w:cs="Times New Roman"/>
                <w:sz w:val="24"/>
                <w:szCs w:val="24"/>
                <w:lang w:val="en-GB" w:eastAsia="cs-CZ"/>
              </w:rPr>
              <w:t xml:space="preserve"> the capital market, in particular </w:t>
            </w:r>
            <w:r w:rsidRPr="00C67FEB">
              <w:rPr>
                <w:rFonts w:ascii="Times New Roman" w:eastAsia="Times New Roman" w:hAnsi="Times New Roman" w:cs="Times New Roman"/>
                <w:i/>
                <w:iCs/>
                <w:sz w:val="24"/>
                <w:szCs w:val="24"/>
                <w:lang w:val="en-GB" w:eastAsia="cs-CZ"/>
              </w:rPr>
              <w:t xml:space="preserve">start - up </w:t>
            </w:r>
            <w:r w:rsidRPr="00C67FEB">
              <w:rPr>
                <w:rFonts w:ascii="Times New Roman" w:eastAsia="Times New Roman" w:hAnsi="Times New Roman" w:cs="Times New Roman"/>
                <w:sz w:val="24"/>
                <w:szCs w:val="24"/>
                <w:lang w:val="en-GB" w:eastAsia="cs-CZ"/>
              </w:rPr>
              <w:t>platforms will not develop.</w:t>
            </w:r>
            <w:r w:rsidR="0087579E">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Summary of impacts of the chosen </w:t>
            </w:r>
            <w:r w:rsidR="003B03B1">
              <w:rPr>
                <w:rFonts w:ascii="Times New Roman" w:eastAsia="Times New Roman" w:hAnsi="Times New Roman" w:cs="Times New Roman"/>
                <w:b/>
                <w:bCs/>
                <w:sz w:val="24"/>
                <w:szCs w:val="24"/>
                <w:lang w:val="en-GB" w:eastAsia="cs-CZ"/>
              </w:rPr>
              <w:t>O</w:t>
            </w:r>
            <w:r w:rsidRPr="003B03B1">
              <w:rPr>
                <w:rFonts w:ascii="Times New Roman" w:eastAsia="Times New Roman" w:hAnsi="Times New Roman" w:cs="Times New Roman"/>
                <w:b/>
                <w:bCs/>
                <w:sz w:val="24"/>
                <w:szCs w:val="24"/>
                <w:lang w:val="en-GB" w:eastAsia="cs-CZ"/>
              </w:rPr>
              <w:t>ption</w:t>
            </w:r>
            <w:r w:rsidRPr="003B03B1" w:rsidR="003B03B1">
              <w:rPr>
                <w:rFonts w:ascii="Times New Roman" w:eastAsia="Times New Roman" w:hAnsi="Times New Roman" w:cs="Times New Roman"/>
                <w:b/>
                <w:bCs/>
                <w:sz w:val="24"/>
                <w:szCs w:val="24"/>
                <w:lang w:val="en-GB" w:eastAsia="cs-CZ"/>
              </w:rPr>
              <w:t xml:space="preserve"> 0</w:t>
            </w:r>
          </w:p>
          <w:tbl>
            <w:tblPr>
              <w:tblW w:w="0" w:type="auto"/>
              <w:tblCellMar>
                <w:left w:w="0" w:type="dxa"/>
                <w:right w:w="0" w:type="dxa"/>
              </w:tblCellMar>
              <w:tblLook w:val="04A0"/>
            </w:tblPr>
            <w:tblGrid>
              <w:gridCol w:w="4606"/>
              <w:gridCol w:w="4606"/>
            </w:tblGrid>
            <w:tr>
              <w:tblPrEx>
                <w:tblW w:w="0" w:type="auto"/>
                <w:tblCellMar>
                  <w:left w:w="0" w:type="dxa"/>
                  <w:right w:w="0" w:type="dxa"/>
                </w:tblCellMar>
                <w:tblLook w:val="04A0"/>
              </w:tblPrEx>
              <w:tc>
                <w:tcPr>
                  <w:tcW w:w="4606"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3B03B1"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3B03B1">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color w:val="FFFFFF"/>
                      <w:sz w:val="24"/>
                      <w:szCs w:val="24"/>
                      <w:lang w:val="en-GB" w:eastAsia="cs-CZ"/>
                    </w:rPr>
                    <w:t xml:space="preserve"> </w:t>
                  </w:r>
                </w:p>
              </w:tc>
              <w:tc>
                <w:tcPr>
                  <w:tcW w:w="4606"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3B03B1"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color w:val="FFFFFF"/>
                      <w:sz w:val="24"/>
                      <w:szCs w:val="24"/>
                      <w:lang w:val="en-GB" w:eastAsia="cs-CZ"/>
                    </w:rPr>
                    <w:t>Costs / negatives</w:t>
                  </w:r>
                </w:p>
              </w:tc>
            </w:tr>
            <w:tr>
              <w:tblPrEx>
                <w:tblW w:w="0" w:type="auto"/>
                <w:tblCellMar>
                  <w:left w:w="0" w:type="dxa"/>
                  <w:right w:w="0" w:type="dxa"/>
                </w:tblCellMar>
                <w:tblLook w:val="04A0"/>
              </w:tblPrEx>
              <w:tc>
                <w:tcPr>
                  <w:tcW w:w="4606"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zero administrative costs due to the </w:t>
                  </w:r>
                  <w:r w:rsidRPr="00C67FEB" w:rsidR="003F0E8A">
                    <w:rPr>
                      <w:rFonts w:ascii="Times New Roman" w:eastAsia="Times New Roman" w:hAnsi="Times New Roman" w:cs="Times New Roman"/>
                      <w:sz w:val="24"/>
                      <w:szCs w:val="24"/>
                      <w:lang w:val="en-GB" w:eastAsia="cs-CZ"/>
                    </w:rPr>
                    <w:t>ch</w:t>
                  </w:r>
                  <w:r w:rsidRPr="00C67FEB" w:rsidR="0034242E">
                    <w:rPr>
                      <w:rFonts w:ascii="Times New Roman" w:eastAsia="Times New Roman" w:hAnsi="Times New Roman" w:cs="Times New Roman"/>
                      <w:sz w:val="24"/>
                      <w:szCs w:val="24"/>
                      <w:lang w:val="en-GB" w:eastAsia="cs-CZ"/>
                    </w:rPr>
                    <w:t>a</w:t>
                  </w:r>
                  <w:r w:rsidRPr="00C67FEB" w:rsidR="003F0E8A">
                    <w:rPr>
                      <w:rFonts w:ascii="Times New Roman" w:eastAsia="Times New Roman" w:hAnsi="Times New Roman" w:cs="Times New Roman"/>
                      <w:sz w:val="24"/>
                      <w:szCs w:val="24"/>
                      <w:lang w:val="en-GB" w:eastAsia="cs-CZ"/>
                    </w:rPr>
                    <w:t>ngeless</w:t>
                  </w:r>
                  <w:r w:rsidRPr="00C67FEB">
                    <w:rPr>
                      <w:rFonts w:ascii="Times New Roman" w:eastAsia="Times New Roman" w:hAnsi="Times New Roman" w:cs="Times New Roman"/>
                      <w:sz w:val="24"/>
                      <w:szCs w:val="24"/>
                      <w:lang w:val="en-GB" w:eastAsia="cs-CZ"/>
                    </w:rPr>
                    <w:t xml:space="preserve"> legal framework</w:t>
                  </w:r>
                  <w:r w:rsidR="0087579E">
                    <w:rPr>
                      <w:rFonts w:ascii="Times New Roman" w:eastAsia="Times New Roman" w:hAnsi="Times New Roman" w:cs="Times New Roman"/>
                      <w:sz w:val="24"/>
                      <w:szCs w:val="24"/>
                      <w:lang w:val="en-GB" w:eastAsia="cs-CZ"/>
                    </w:rPr>
                    <w:t xml:space="preserve"> </w:t>
                  </w:r>
                </w:p>
              </w:tc>
              <w:tc>
                <w:tcPr>
                  <w:tcW w:w="4606"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Arial" w:eastAsia="Times New Roman" w:hAnsi="Arial" w:cs="Arial"/>
                      <w:sz w:val="24"/>
                      <w:szCs w:val="24"/>
                      <w:lang w:val="en-GB" w:eastAsia="cs-CZ"/>
                    </w:rPr>
                    <w:t xml:space="preserve">- </w:t>
                  </w:r>
                  <w:r w:rsidRPr="00C67FEB">
                    <w:rPr>
                      <w:rFonts w:ascii="Times New Roman" w:eastAsia="Times New Roman" w:hAnsi="Times New Roman" w:cs="Times New Roman"/>
                      <w:sz w:val="24"/>
                      <w:szCs w:val="24"/>
                      <w:lang w:val="en-GB" w:eastAsia="cs-CZ"/>
                    </w:rPr>
                    <w:t>no changes in capital market development (</w:t>
                  </w:r>
                  <w:r w:rsidRPr="00C67FEB">
                    <w:rPr>
                      <w:rFonts w:ascii="Times New Roman" w:eastAsia="Times New Roman" w:hAnsi="Times New Roman" w:cs="Times New Roman"/>
                      <w:i/>
                      <w:iCs/>
                      <w:sz w:val="24"/>
                      <w:szCs w:val="24"/>
                      <w:lang w:val="en-GB" w:eastAsia="cs-CZ"/>
                    </w:rPr>
                    <w:t xml:space="preserve">start - up </w:t>
                  </w:r>
                  <w:r w:rsidRPr="00C67FEB">
                    <w:rPr>
                      <w:rFonts w:ascii="Times New Roman" w:eastAsia="Times New Roman" w:hAnsi="Times New Roman" w:cs="Times New Roman"/>
                      <w:sz w:val="24"/>
                      <w:szCs w:val="24"/>
                      <w:lang w:val="en-GB" w:eastAsia="cs-CZ"/>
                    </w:rPr>
                    <w:t>platforms)</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7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r>
              <w:tblPrEx>
                <w:tblW w:w="0" w:type="auto"/>
                <w:tblCellMar>
                  <w:left w:w="0" w:type="dxa"/>
                  <w:right w:w="0" w:type="dxa"/>
                </w:tblCellMar>
                <w:tblLook w:val="04A0"/>
              </w:tblPrEx>
              <w:tc>
                <w:tcPr>
                  <w:tcW w:w="4606"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c>
                <w:tcPr>
                  <w:tcW w:w="4606"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3F0E8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1) Do you welcome the possibility of introducing a simpler form of joint stock company in the Czech Republic? </w:t>
                  </w:r>
                </w:p>
                <w:p w:rsidR="003F0E8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2) Do you consider the current registered capital of a joint-stock company to be the only restriction that prevents </w:t>
                  </w:r>
                  <w:r w:rsidRPr="00C67FEB">
                    <w:rPr>
                      <w:rFonts w:ascii="Times New Roman" w:eastAsia="Times New Roman" w:hAnsi="Times New Roman" w:cs="Times New Roman"/>
                      <w:color w:val="FFFFFF" w:themeColor="background1"/>
                      <w:sz w:val="24"/>
                      <w:szCs w:val="24"/>
                      <w:lang w:val="en-GB" w:eastAsia="cs-CZ"/>
                    </w:rPr>
                    <w:t>startups</w:t>
                  </w:r>
                  <w:r w:rsidRPr="00C67FEB">
                    <w:rPr>
                      <w:rFonts w:ascii="Times New Roman" w:eastAsia="Times New Roman" w:hAnsi="Times New Roman" w:cs="Times New Roman"/>
                      <w:color w:val="FFFFFF" w:themeColor="background1"/>
                      <w:sz w:val="24"/>
                      <w:szCs w:val="24"/>
                      <w:lang w:val="en-GB" w:eastAsia="cs-CZ"/>
                    </w:rPr>
                    <w:t xml:space="preserve"> from establishing a joint-stock company? </w:t>
                  </w:r>
                </w:p>
                <w:p w:rsidR="003F0E8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3) What other instruments or measures can simplify a joint-stock company in order to create a simpler joint-stock company? </w:t>
                  </w:r>
                </w:p>
                <w:p w:rsidR="003F0E8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4) What is the optimum amount of registered capital for a simpler joint stock company? </w:t>
                  </w:r>
                </w:p>
                <w:p w:rsidR="003F0E8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5) How do you perceive the establishment of a simpler form of joint-stock company and, at the same time, the impossibility of public subscription of shares - as is the case in some foreign regulations? </w:t>
                  </w:r>
                </w:p>
                <w:p w:rsidR="003F0E8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6) Should a simpler form of joint-stock company be established in the form of a notarial deed? </w:t>
                  </w:r>
                </w:p>
                <w:p w:rsidR="00403DFA" w:rsidRPr="00C67FEB" w:rsidP="0087579E">
                  <w:pPr>
                    <w:keepNext/>
                    <w:spacing w:before="80" w:after="80" w:line="240" w:lineRule="auto"/>
                    <w:jc w:val="both"/>
                    <w:rPr>
                      <w:rFonts w:ascii="Times New Roman" w:eastAsia="Times New Roman" w:hAnsi="Times New Roman" w:cs="Times New Roman"/>
                      <w:color w:val="FFFFFF" w:themeColor="background1"/>
                      <w:sz w:val="24"/>
                      <w:szCs w:val="24"/>
                      <w:lang w:val="en-GB" w:eastAsia="cs-CZ"/>
                    </w:rPr>
                  </w:pPr>
                  <w:r w:rsidRPr="00C67FEB">
                    <w:rPr>
                      <w:rFonts w:ascii="Times New Roman" w:eastAsia="Times New Roman" w:hAnsi="Times New Roman" w:cs="Times New Roman"/>
                      <w:color w:val="FFFFFF" w:themeColor="background1"/>
                      <w:sz w:val="24"/>
                      <w:szCs w:val="24"/>
                      <w:lang w:val="en-GB" w:eastAsia="cs-CZ"/>
                    </w:rPr>
                    <w:t xml:space="preserve">7) How do you perceive the possibility of issuing only registered book shares and the obligation to register in the share register maintained by the Central Securities Depository? </w:t>
                  </w:r>
                </w:p>
              </w:tc>
            </w:tr>
          </w:tbl>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1:</w:t>
            </w:r>
          </w:p>
          <w:p w:rsidR="00403DFA" w:rsidRPr="003B03B1"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understand what this form will contribute to the development of the capital market. When the company goes to the capital market for money, it must be of some size, it must have a minimum </w:t>
            </w:r>
            <w:r w:rsidRPr="00C67FEB" w:rsidR="005F1C6D">
              <w:rPr>
                <w:rFonts w:ascii="Times New Roman" w:eastAsia="Times New Roman" w:hAnsi="Times New Roman" w:cs="Times New Roman"/>
                <w:i/>
                <w:iCs/>
                <w:sz w:val="24"/>
                <w:szCs w:val="24"/>
                <w:lang w:val="en-GB" w:eastAsia="cs-CZ"/>
              </w:rPr>
              <w:t>capital</w:t>
            </w:r>
            <w:r w:rsidRPr="00C67FEB">
              <w:rPr>
                <w:rFonts w:ascii="Times New Roman" w:eastAsia="Times New Roman" w:hAnsi="Times New Roman" w:cs="Times New Roman"/>
                <w:i/>
                <w:iCs/>
                <w:sz w:val="24"/>
                <w:szCs w:val="24"/>
                <w:lang w:val="en-GB" w:eastAsia="cs-CZ"/>
              </w:rPr>
              <w:t xml:space="preserve"> of about EUR 1m. It is not a problem for such a company to have the registered capital of 2 million </w:t>
            </w:r>
            <w:r w:rsidRPr="00C67FEB" w:rsidR="005F1C6D">
              <w:rPr>
                <w:rFonts w:ascii="Times New Roman" w:eastAsia="Times New Roman" w:hAnsi="Times New Roman" w:cs="Times New Roman"/>
                <w:i/>
                <w:iCs/>
                <w:sz w:val="24"/>
                <w:szCs w:val="24"/>
                <w:lang w:val="en-GB" w:eastAsia="cs-CZ"/>
              </w:rPr>
              <w:t>CZK</w:t>
            </w:r>
            <w:r w:rsidRPr="00C67FEB">
              <w:rPr>
                <w:rFonts w:ascii="Times New Roman" w:eastAsia="Times New Roman" w:hAnsi="Times New Roman" w:cs="Times New Roman"/>
                <w:i/>
                <w:iCs/>
                <w:sz w:val="24"/>
                <w:szCs w:val="24"/>
                <w:lang w:val="en-GB" w:eastAsia="cs-CZ"/>
              </w:rPr>
              <w:t xml:space="preserve"> required by </w:t>
            </w:r>
            <w:r w:rsidRPr="00C67FEB" w:rsidR="005F1C6D">
              <w:rPr>
                <w:rFonts w:ascii="Times New Roman" w:eastAsia="Times New Roman" w:hAnsi="Times New Roman" w:cs="Times New Roman"/>
                <w:i/>
                <w:iCs/>
                <w:sz w:val="24"/>
                <w:szCs w:val="24"/>
                <w:lang w:val="en-GB" w:eastAsia="cs-CZ"/>
              </w:rPr>
              <w:t>Corporations Act</w:t>
            </w:r>
            <w:r w:rsidRPr="00C67FEB">
              <w:rPr>
                <w:rFonts w:ascii="Times New Roman" w:eastAsia="Times New Roman" w:hAnsi="Times New Roman" w:cs="Times New Roman"/>
                <w:i/>
                <w:iCs/>
                <w:sz w:val="24"/>
                <w:szCs w:val="24"/>
                <w:lang w:val="en-GB" w:eastAsia="cs-CZ"/>
              </w:rPr>
              <w:t xml:space="preserve"> for </w:t>
            </w:r>
            <w:r w:rsidRPr="00C67FEB" w:rsidR="005F1C6D">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Anyway, a simple </w:t>
            </w:r>
            <w:r w:rsidRPr="00C67FEB" w:rsidR="005F1C6D">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would have to be transformed into a regular </w:t>
            </w:r>
            <w:r w:rsidRPr="00C67FEB" w:rsidR="005F1C6D">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so that it starts from the beginning as a </w:t>
            </w:r>
            <w:r w:rsidRPr="00C67FEB" w:rsidR="005F1C6D">
              <w:rPr>
                <w:rFonts w:ascii="Times New Roman" w:eastAsia="Times New Roman" w:hAnsi="Times New Roman" w:cs="Times New Roman"/>
                <w:i/>
                <w:iCs/>
                <w:sz w:val="24"/>
                <w:szCs w:val="24"/>
                <w:lang w:val="en-GB" w:eastAsia="cs-CZ"/>
              </w:rPr>
              <w:t>limited liability company</w:t>
            </w:r>
            <w:r w:rsidRPr="00C67FEB">
              <w:rPr>
                <w:rFonts w:ascii="Times New Roman" w:eastAsia="Times New Roman" w:hAnsi="Times New Roman" w:cs="Times New Roman"/>
                <w:i/>
                <w:iCs/>
                <w:sz w:val="24"/>
                <w:szCs w:val="24"/>
                <w:lang w:val="en-GB" w:eastAsia="cs-CZ"/>
              </w:rPr>
              <w:t xml:space="preserve"> with a capital of 1 CZK</w:t>
            </w:r>
            <w:r w:rsidRPr="00C67FEB" w:rsidR="005F1C6D">
              <w:rPr>
                <w:rFonts w:ascii="Times New Roman" w:eastAsia="Times New Roman" w:hAnsi="Times New Roman" w:cs="Times New Roman"/>
                <w:i/>
                <w:iCs/>
                <w:sz w:val="24"/>
                <w:szCs w:val="24"/>
                <w:lang w:val="en-GB" w:eastAsia="cs-CZ"/>
              </w:rPr>
              <w:t xml:space="preserve"> an then changes into joint stock company when it wants to offer shares</w:t>
            </w:r>
            <w:r w:rsidRPr="00C67FEB">
              <w:rPr>
                <w:rFonts w:ascii="Times New Roman" w:eastAsia="Times New Roman" w:hAnsi="Times New Roman" w:cs="Times New Roman"/>
                <w:i/>
                <w:iCs/>
                <w:sz w:val="24"/>
                <w:szCs w:val="24"/>
                <w:lang w:val="en-GB" w:eastAsia="cs-CZ"/>
              </w:rPr>
              <w:t xml:space="preserve"> or bonds. As mentioned above, the non-institutionalized capital market in the form of PE, VC, BA works very well. We see the MF </w:t>
            </w:r>
            <w:r w:rsidRPr="00C67FEB" w:rsidR="00393C54">
              <w:rPr>
                <w:rFonts w:ascii="Times New Roman" w:eastAsia="Times New Roman" w:hAnsi="Times New Roman" w:cs="Times New Roman"/>
                <w:i/>
                <w:iCs/>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i/>
                <w:iCs/>
                <w:sz w:val="24"/>
                <w:szCs w:val="24"/>
                <w:lang w:val="en-GB" w:eastAsia="cs-CZ"/>
              </w:rPr>
              <w:t xml:space="preserve"> as an institutional market development concept, where the goal is to bring more listed issuers and issues so that investors can invest more, both retail and institutional. A simple </w:t>
            </w:r>
            <w:r w:rsidRPr="00C67FEB" w:rsidR="005F1C6D">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can initially help start-ups before turning to the institutionalized capital market for funding. But we are not sure that private equity, venture capital or business angels will invest in this form, and this is irrelevant for the development of the capital market.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do not agree with the MF's proposal to introduce a simpler joint</w:t>
            </w:r>
            <w:r w:rsidRPr="00C67FEB" w:rsidR="00033B1E">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stock company and do not consider the MF's reasoning convincing. First of all, we point out that the law of commercial corporations, as contained in particular in the </w:t>
            </w:r>
            <w:r w:rsidRPr="00C67FEB" w:rsidR="00033B1E">
              <w:rPr>
                <w:rFonts w:ascii="Times New Roman" w:eastAsia="Times New Roman" w:hAnsi="Times New Roman" w:cs="Times New Roman"/>
                <w:i/>
                <w:iCs/>
                <w:sz w:val="24"/>
                <w:szCs w:val="24"/>
                <w:lang w:val="en-GB" w:eastAsia="cs-CZ"/>
              </w:rPr>
              <w:t>Corporations Act</w:t>
            </w:r>
            <w:r w:rsidRPr="00C67FEB">
              <w:rPr>
                <w:rFonts w:ascii="Times New Roman" w:eastAsia="Times New Roman" w:hAnsi="Times New Roman" w:cs="Times New Roman"/>
                <w:i/>
                <w:iCs/>
                <w:sz w:val="24"/>
                <w:szCs w:val="24"/>
                <w:lang w:val="en-GB" w:eastAsia="cs-CZ"/>
              </w:rPr>
              <w:t xml:space="preserve">, is a priori the general regulation for “business” legal entities. If the MF mentions a problem in the cumbersome nature of this general legal regulation (high registered capital for a non-public </w:t>
            </w:r>
            <w:r w:rsidRPr="00C67FEB" w:rsidR="00033B1E">
              <w:rPr>
                <w:rFonts w:ascii="Times New Roman" w:eastAsia="Times New Roman" w:hAnsi="Times New Roman" w:cs="Times New Roman"/>
                <w:i/>
                <w:iCs/>
                <w:sz w:val="24"/>
                <w:szCs w:val="24"/>
                <w:lang w:val="en-GB" w:eastAsia="cs-CZ"/>
              </w:rPr>
              <w:t xml:space="preserve">joint stock </w:t>
            </w:r>
            <w:r w:rsidRPr="00C67FEB">
              <w:rPr>
                <w:rFonts w:ascii="Times New Roman" w:eastAsia="Times New Roman" w:hAnsi="Times New Roman" w:cs="Times New Roman"/>
                <w:i/>
                <w:iCs/>
                <w:sz w:val="24"/>
                <w:szCs w:val="24"/>
                <w:lang w:val="en-GB" w:eastAsia="cs-CZ"/>
              </w:rPr>
              <w:t>company, or a complicated establishment and creation by registration in the Commercial Register), then it should be addressed to all entrepreneurs, respectively all as, not just for start-ups on the capital market. We do not consider the creation of another distinctive form of a legal entity</w:t>
            </w:r>
            <w:r w:rsidRPr="00C67FEB" w:rsidR="00033B1E">
              <w:rPr>
                <w:rFonts w:ascii="Times New Roman" w:eastAsia="Times New Roman" w:hAnsi="Times New Roman" w:cs="Times New Roman"/>
                <w:i/>
                <w:iCs/>
                <w:sz w:val="24"/>
                <w:szCs w:val="24"/>
                <w:lang w:val="en-GB" w:eastAsia="cs-CZ"/>
              </w:rPr>
              <w:t xml:space="preserve"> desirable</w:t>
            </w:r>
            <w:r w:rsidRPr="00C67FEB">
              <w:rPr>
                <w:rFonts w:ascii="Times New Roman" w:eastAsia="Times New Roman" w:hAnsi="Times New Roman" w:cs="Times New Roman"/>
                <w:i/>
                <w:iCs/>
                <w:sz w:val="24"/>
                <w:szCs w:val="24"/>
                <w:lang w:val="en-GB" w:eastAsia="cs-CZ"/>
              </w:rPr>
              <w:t xml:space="preserve"> (even only in the capital market area and for “start-ups”) without further detailed analysis, even for the development of the capital market. If the Ministry of Finance states that the main reason for the creation of a simplified company is the possibility to reduce or eliminate the capital requirement, then it should be added that even for a </w:t>
            </w:r>
            <w:r w:rsidRPr="00C67FEB" w:rsidR="00033B1E">
              <w:rPr>
                <w:rFonts w:ascii="Times New Roman" w:eastAsia="Times New Roman" w:hAnsi="Times New Roman" w:cs="Times New Roman"/>
                <w:i/>
                <w:iCs/>
                <w:sz w:val="24"/>
                <w:szCs w:val="24"/>
                <w:lang w:val="en-GB" w:eastAsia="cs-CZ"/>
              </w:rPr>
              <w:t>common</w:t>
            </w:r>
            <w:r w:rsidRPr="00C67FEB">
              <w:rPr>
                <w:rFonts w:ascii="Times New Roman" w:eastAsia="Times New Roman" w:hAnsi="Times New Roman" w:cs="Times New Roman"/>
                <w:i/>
                <w:iCs/>
                <w:sz w:val="24"/>
                <w:szCs w:val="24"/>
                <w:lang w:val="en-GB" w:eastAsia="cs-CZ"/>
              </w:rPr>
              <w:t xml:space="preserve"> joint stock company the capital requirement can be reduced from EUR 80,000 to EUR 25,000 , this is allowed by the EU regulations and for a corporation that should raise capital from the public, the amount of EUR 25,000 (approx. CZK 625,000) is relatively small and its further reduction is not desirable. In addition, start-ups can be used to establish a legal form of a limited liability company (without offering the public or offering a capital investment in another form) or modern forms of raising capital (cf. </w:t>
            </w:r>
            <w:r w:rsidRPr="00C67FEB" w:rsidR="00033B1E">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blockchain</w:t>
            </w:r>
            <w:r w:rsidRPr="00C67FEB">
              <w:rPr>
                <w:rFonts w:ascii="Times New Roman" w:eastAsia="Times New Roman" w:hAnsi="Times New Roman" w:cs="Times New Roman"/>
                <w:i/>
                <w:iCs/>
                <w:sz w:val="24"/>
                <w:szCs w:val="24"/>
                <w:lang w:val="en-GB" w:eastAsia="cs-CZ"/>
              </w:rPr>
              <w:t xml:space="preserve"> and project share). In addition, start-up capital can be hedged from a limited set of individuals - professional investors, or through the issuance of debt securities or non-securities / investment instruments (see </w:t>
            </w:r>
            <w:r w:rsidRPr="00C67FEB">
              <w:rPr>
                <w:rFonts w:ascii="Times New Roman" w:eastAsia="Times New Roman" w:hAnsi="Times New Roman" w:cs="Times New Roman"/>
                <w:i/>
                <w:iCs/>
                <w:sz w:val="24"/>
                <w:szCs w:val="24"/>
                <w:lang w:val="en-GB" w:eastAsia="cs-CZ"/>
              </w:rPr>
              <w:t>blockchain</w:t>
            </w:r>
            <w:r w:rsidRPr="00C67FEB">
              <w:rPr>
                <w:rFonts w:ascii="Times New Roman" w:eastAsia="Times New Roman" w:hAnsi="Times New Roman" w:cs="Times New Roman"/>
                <w:i/>
                <w:iCs/>
                <w:sz w:val="24"/>
                <w:szCs w:val="24"/>
                <w:lang w:val="en-GB" w:eastAsia="cs-CZ"/>
              </w:rPr>
              <w:t xml:space="preserve">). Establishing a distinctive simplified form </w:t>
            </w:r>
            <w:r w:rsidRPr="00C67FEB" w:rsidR="00033B1E">
              <w:rPr>
                <w:rFonts w:ascii="Times New Roman" w:eastAsia="Times New Roman" w:hAnsi="Times New Roman" w:cs="Times New Roman"/>
                <w:i/>
                <w:iCs/>
                <w:sz w:val="24"/>
                <w:szCs w:val="24"/>
                <w:lang w:val="en-GB" w:eastAsia="cs-CZ"/>
              </w:rPr>
              <w:t>of joint stock company</w:t>
            </w:r>
            <w:r w:rsidRPr="00C67FEB">
              <w:rPr>
                <w:rFonts w:ascii="Times New Roman" w:eastAsia="Times New Roman" w:hAnsi="Times New Roman" w:cs="Times New Roman"/>
                <w:i/>
                <w:iCs/>
                <w:sz w:val="24"/>
                <w:szCs w:val="24"/>
                <w:lang w:val="en-GB" w:eastAsia="cs-CZ"/>
              </w:rPr>
              <w:t xml:space="preserve"> only for the needs of start-up would, in our opinion, give rise to the need to define start-ups or other conditions for using the simplified form of </w:t>
            </w:r>
            <w:r w:rsidRPr="00C67FEB" w:rsidR="00033B1E">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otherwise the concept of </w:t>
            </w:r>
            <w:r w:rsidRPr="00C67FEB" w:rsidR="00033B1E">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could be completely emptied</w:t>
            </w:r>
            <w:r w:rsidRPr="00C67FEB" w:rsidR="00033B1E">
              <w:rPr>
                <w:rFonts w:ascii="Times New Roman" w:eastAsia="Times New Roman" w:hAnsi="Times New Roman" w:cs="Times New Roman"/>
                <w:i/>
                <w:iCs/>
                <w:sz w:val="24"/>
                <w:szCs w:val="24"/>
                <w:lang w:val="en-GB" w:eastAsia="cs-CZ"/>
              </w:rPr>
              <w:t xml:space="preserve"> as</w:t>
            </w:r>
            <w:r w:rsidRPr="00C67FEB">
              <w:rPr>
                <w:rFonts w:ascii="Times New Roman" w:eastAsia="Times New Roman" w:hAnsi="Times New Roman" w:cs="Times New Roman"/>
                <w:i/>
                <w:iCs/>
                <w:sz w:val="24"/>
                <w:szCs w:val="24"/>
                <w:lang w:val="en-GB" w:eastAsia="cs-CZ"/>
              </w:rPr>
              <w:t xml:space="preserve"> practically only listed companies (and potentially also limited issuers' interest in listing quotations). Moreover, it is not clear in the MF material whether a start-up once established in the form of a simple</w:t>
            </w:r>
            <w:r w:rsidRPr="00C67FEB" w:rsidR="00033B1E">
              <w:rPr>
                <w:rFonts w:ascii="Times New Roman" w:eastAsia="Times New Roman" w:hAnsi="Times New Roman" w:cs="Times New Roman"/>
                <w:i/>
                <w:iCs/>
                <w:sz w:val="24"/>
                <w:szCs w:val="24"/>
                <w:lang w:val="en-GB" w:eastAsia="cs-CZ"/>
              </w:rPr>
              <w:t xml:space="preserve"> joint stock company</w:t>
            </w:r>
            <w:r w:rsidRPr="00C67FEB">
              <w:rPr>
                <w:rFonts w:ascii="Times New Roman" w:eastAsia="Times New Roman" w:hAnsi="Times New Roman" w:cs="Times New Roman"/>
                <w:i/>
                <w:iCs/>
                <w:sz w:val="24"/>
                <w:szCs w:val="24"/>
                <w:lang w:val="en-GB" w:eastAsia="cs-CZ"/>
              </w:rPr>
              <w:t xml:space="preserve"> would remain in the form of a simple </w:t>
            </w:r>
            <w:r w:rsidRPr="00C67FEB" w:rsidR="00033B1E">
              <w:rPr>
                <w:rFonts w:ascii="Times New Roman" w:eastAsia="Times New Roman" w:hAnsi="Times New Roman" w:cs="Times New Roman"/>
                <w:i/>
                <w:iCs/>
                <w:sz w:val="24"/>
                <w:szCs w:val="24"/>
                <w:lang w:val="en-GB" w:eastAsia="cs-CZ"/>
              </w:rPr>
              <w:t>joint stock company forever</w:t>
            </w:r>
            <w:r w:rsidRPr="00C67FEB">
              <w:rPr>
                <w:rFonts w:ascii="Times New Roman" w:eastAsia="Times New Roman" w:hAnsi="Times New Roman" w:cs="Times New Roman"/>
                <w:i/>
                <w:iCs/>
                <w:sz w:val="24"/>
                <w:szCs w:val="24"/>
                <w:lang w:val="en-GB" w:eastAsia="cs-CZ"/>
              </w:rPr>
              <w:t xml:space="preserve">, even if it was no longer </w:t>
            </w:r>
            <w:r w:rsidRPr="00C67FEB">
              <w:rPr>
                <w:rFonts w:ascii="Times New Roman" w:eastAsia="Times New Roman" w:hAnsi="Times New Roman" w:cs="Times New Roman"/>
                <w:i/>
                <w:iCs/>
                <w:sz w:val="24"/>
                <w:szCs w:val="24"/>
                <w:lang w:val="en-GB" w:eastAsia="cs-CZ"/>
              </w:rPr>
              <w:t>a start-up and the reasons given for the simplified regime would no longer exist. Furthermore, it would be necessary to elaborate the rules for the conversion of a simplified joint stock company into a full-fledged joint</w:t>
            </w:r>
            <w:r w:rsidRPr="00C67FEB" w:rsidR="00033B1E">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stock company (or justify the reason for excluding such conversion),</w:t>
            </w:r>
            <w:r w:rsidRPr="00C67FEB" w:rsidR="00033B1E">
              <w:rPr>
                <w:rFonts w:ascii="Times New Roman" w:eastAsia="Times New Roman" w:hAnsi="Times New Roman" w:cs="Times New Roman"/>
                <w:i/>
                <w:iCs/>
                <w:sz w:val="24"/>
                <w:szCs w:val="24"/>
                <w:lang w:val="en-GB" w:eastAsia="cs-CZ"/>
              </w:rPr>
              <w:t xml:space="preserve"> and</w:t>
            </w:r>
            <w:r w:rsidRPr="00C67FEB">
              <w:rPr>
                <w:rFonts w:ascii="Times New Roman" w:eastAsia="Times New Roman" w:hAnsi="Times New Roman" w:cs="Times New Roman"/>
                <w:i/>
                <w:iCs/>
                <w:sz w:val="24"/>
                <w:szCs w:val="24"/>
                <w:lang w:val="en-GB" w:eastAsia="cs-CZ"/>
              </w:rPr>
              <w:t xml:space="preserve"> to </w:t>
            </w:r>
            <w:r w:rsidRPr="00C67FEB" w:rsidR="00033B1E">
              <w:rPr>
                <w:rFonts w:ascii="Times New Roman" w:eastAsia="Times New Roman" w:hAnsi="Times New Roman" w:cs="Times New Roman"/>
                <w:i/>
                <w:iCs/>
                <w:sz w:val="24"/>
                <w:szCs w:val="24"/>
                <w:lang w:val="en-GB" w:eastAsia="cs-CZ"/>
              </w:rPr>
              <w:t>analyse</w:t>
            </w:r>
            <w:r w:rsidRPr="00C67FEB">
              <w:rPr>
                <w:rFonts w:ascii="Times New Roman" w:eastAsia="Times New Roman" w:hAnsi="Times New Roman" w:cs="Times New Roman"/>
                <w:i/>
                <w:iCs/>
                <w:sz w:val="24"/>
                <w:szCs w:val="24"/>
                <w:lang w:val="en-GB" w:eastAsia="cs-CZ"/>
              </w:rPr>
              <w:t xml:space="preserve"> in detail the regulation in other countries</w:t>
            </w:r>
            <w:r w:rsidRPr="00C67FEB" w:rsidR="00033B1E">
              <w:rPr>
                <w:rFonts w:ascii="Times New Roman" w:eastAsia="Times New Roman" w:hAnsi="Times New Roman" w:cs="Times New Roman"/>
                <w:i/>
                <w:iCs/>
                <w:sz w:val="24"/>
                <w:szCs w:val="24"/>
                <w:lang w:val="en-GB" w:eastAsia="cs-CZ"/>
              </w:rPr>
              <w:t xml:space="preserve"> how much can it inspire the Czech environment, what were its reasons and if they are applicable even in the Czech</w:t>
            </w:r>
            <w:r w:rsidRPr="00C67FEB">
              <w:rPr>
                <w:rFonts w:ascii="Times New Roman" w:eastAsia="Times New Roman" w:hAnsi="Times New Roman" w:cs="Times New Roman"/>
                <w:i/>
                <w:iCs/>
                <w:sz w:val="24"/>
                <w:szCs w:val="24"/>
                <w:lang w:val="en-GB" w:eastAsia="cs-CZ"/>
              </w:rPr>
              <w:t xml:space="preserve"> Republic, all relatively soon after the adoption of the new </w:t>
            </w:r>
            <w:r w:rsidRPr="00C67FEB" w:rsidR="008D165E">
              <w:rPr>
                <w:rFonts w:ascii="Times New Roman" w:eastAsia="Times New Roman" w:hAnsi="Times New Roman" w:cs="Times New Roman"/>
                <w:i/>
                <w:iCs/>
                <w:sz w:val="24"/>
                <w:szCs w:val="24"/>
                <w:lang w:val="en-GB" w:eastAsia="cs-CZ"/>
              </w:rPr>
              <w:t>Corporations Act</w:t>
            </w:r>
            <w:r w:rsidRPr="00C67FEB">
              <w:rPr>
                <w:rFonts w:ascii="Times New Roman" w:eastAsia="Times New Roman" w:hAnsi="Times New Roman" w:cs="Times New Roman"/>
                <w:i/>
                <w:iCs/>
                <w:sz w:val="24"/>
                <w:szCs w:val="24"/>
                <w:lang w:val="en-GB" w:eastAsia="cs-CZ"/>
              </w:rPr>
              <w:t xml:space="preserve">. Without such an analysis, it is not </w:t>
            </w:r>
            <w:r w:rsidRPr="00C67FEB" w:rsidR="008D165E">
              <w:rPr>
                <w:rFonts w:ascii="Times New Roman" w:eastAsia="Times New Roman" w:hAnsi="Times New Roman" w:cs="Times New Roman"/>
                <w:i/>
                <w:iCs/>
                <w:sz w:val="24"/>
                <w:szCs w:val="24"/>
                <w:lang w:val="en-GB" w:eastAsia="cs-CZ"/>
              </w:rPr>
              <w:t>useful</w:t>
            </w:r>
            <w:r w:rsidRPr="00C67FEB">
              <w:rPr>
                <w:rFonts w:ascii="Times New Roman" w:eastAsia="Times New Roman" w:hAnsi="Times New Roman" w:cs="Times New Roman"/>
                <w:i/>
                <w:iCs/>
                <w:sz w:val="24"/>
                <w:szCs w:val="24"/>
                <w:lang w:val="en-GB" w:eastAsia="cs-CZ"/>
              </w:rPr>
              <w:t xml:space="preserve"> to propose a new form of joint stock company and it cannot be discussed responsibly.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agree with the introduction of a simpler form </w:t>
            </w:r>
            <w:r w:rsidRPr="00C67FEB" w:rsidR="008D165E">
              <w:rPr>
                <w:rFonts w:ascii="Times New Roman" w:eastAsia="Times New Roman" w:hAnsi="Times New Roman" w:cs="Times New Roman"/>
                <w:i/>
                <w:iCs/>
                <w:sz w:val="24"/>
                <w:szCs w:val="24"/>
                <w:lang w:val="en-GB" w:eastAsia="cs-CZ"/>
              </w:rPr>
              <w:t>of joint stock company</w:t>
            </w:r>
            <w:r w:rsidRPr="00C67FEB">
              <w:rPr>
                <w:rFonts w:ascii="Times New Roman" w:eastAsia="Times New Roman" w:hAnsi="Times New Roman" w:cs="Times New Roman"/>
                <w:i/>
                <w:iCs/>
                <w:sz w:val="24"/>
                <w:szCs w:val="24"/>
                <w:lang w:val="en-GB" w:eastAsia="cs-CZ"/>
              </w:rPr>
              <w:t xml:space="preserve"> proposed by the MF without further </w:t>
            </w:r>
            <w:r w:rsidRPr="00C67FEB" w:rsidR="008D165E">
              <w:rPr>
                <w:rFonts w:ascii="Times New Roman" w:eastAsia="Times New Roman" w:hAnsi="Times New Roman" w:cs="Times New Roman"/>
                <w:i/>
                <w:iCs/>
                <w:sz w:val="24"/>
                <w:szCs w:val="24"/>
                <w:lang w:val="en-GB" w:eastAsia="cs-CZ"/>
              </w:rPr>
              <w:t>analyses</w:t>
            </w:r>
            <w:r w:rsidRPr="00C67FEB">
              <w:rPr>
                <w:rFonts w:ascii="Times New Roman" w:eastAsia="Times New Roman" w:hAnsi="Times New Roman" w:cs="Times New Roman"/>
                <w:i/>
                <w:iCs/>
                <w:sz w:val="24"/>
                <w:szCs w:val="24"/>
                <w:lang w:val="en-GB" w:eastAsia="cs-CZ"/>
              </w:rPr>
              <w:t xml:space="preserve"> and discussions with representatives of market entities and other stakeholders that would confirm the validity and applicability of such a form. Please note that the consultation </w:t>
            </w:r>
            <w:r w:rsidRPr="00C67FEB" w:rsidR="008D165E">
              <w:rPr>
                <w:rFonts w:ascii="Times New Roman" w:eastAsia="Times New Roman" w:hAnsi="Times New Roman" w:cs="Times New Roman"/>
                <w:i/>
                <w:iCs/>
                <w:sz w:val="24"/>
                <w:szCs w:val="24"/>
                <w:lang w:val="en-GB" w:eastAsia="cs-CZ"/>
              </w:rPr>
              <w:t>paper</w:t>
            </w:r>
            <w:r w:rsidRPr="00C67FEB">
              <w:rPr>
                <w:rFonts w:ascii="Times New Roman" w:eastAsia="Times New Roman" w:hAnsi="Times New Roman" w:cs="Times New Roman"/>
                <w:i/>
                <w:iCs/>
                <w:sz w:val="24"/>
                <w:szCs w:val="24"/>
                <w:lang w:val="en-GB" w:eastAsia="cs-CZ"/>
              </w:rPr>
              <w:t xml:space="preserve"> does not address whether the entrepreneur established in the form of a simplified as could choose this form without specific conditions for its establishment (</w:t>
            </w:r>
            <w:r w:rsidRPr="00C67FEB" w:rsidR="008D165E">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be a start-up) and depending on whether he could keep it after it no longer </w:t>
            </w:r>
            <w:r w:rsidRPr="00C67FEB" w:rsidR="008D165E">
              <w:rPr>
                <w:rFonts w:ascii="Times New Roman" w:eastAsia="Times New Roman" w:hAnsi="Times New Roman" w:cs="Times New Roman"/>
                <w:i/>
                <w:iCs/>
                <w:sz w:val="24"/>
                <w:szCs w:val="24"/>
                <w:lang w:val="en-GB" w:eastAsia="cs-CZ"/>
              </w:rPr>
              <w:t>fulfils</w:t>
            </w:r>
            <w:r w:rsidRPr="00C67FEB">
              <w:rPr>
                <w:rFonts w:ascii="Times New Roman" w:eastAsia="Times New Roman" w:hAnsi="Times New Roman" w:cs="Times New Roman"/>
                <w:i/>
                <w:iCs/>
                <w:sz w:val="24"/>
                <w:szCs w:val="24"/>
                <w:lang w:val="en-GB" w:eastAsia="cs-CZ"/>
              </w:rPr>
              <w:t xml:space="preserve"> the conditions for its establishment.</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I think that it would be sufficient to reduce the required amount of registered capital as to, for example, 500 thousand CZK.</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Any simplification is welcome. However, it must not occur that the founding will be misused to hide the final owners, beneficiaries. This could also endanger investors in various types of investment instruments.</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D165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Overall, we believe that these proposals would rather be supported with a view to developing venture capital investment in the Czech Republic. However, we do not see this issue as critical because of the liberalization of business corporations in </w:t>
            </w:r>
            <w:r w:rsidRPr="00C67FEB" w:rsidR="000B5277">
              <w:rPr>
                <w:rFonts w:ascii="Times New Roman" w:eastAsia="Times New Roman" w:hAnsi="Times New Roman" w:cs="Times New Roman"/>
                <w:i/>
                <w:iCs/>
                <w:sz w:val="24"/>
                <w:szCs w:val="24"/>
                <w:lang w:val="en-GB" w:eastAsia="cs-CZ"/>
              </w:rPr>
              <w:t>Corporations Act</w:t>
            </w:r>
            <w:r w:rsidRPr="00C67FEB">
              <w:rPr>
                <w:rFonts w:ascii="Times New Roman" w:eastAsia="Times New Roman" w:hAnsi="Times New Roman" w:cs="Times New Roman"/>
                <w:i/>
                <w:iCs/>
                <w:sz w:val="24"/>
                <w:szCs w:val="24"/>
                <w:lang w:val="en-GB" w:eastAsia="cs-CZ"/>
              </w:rPr>
              <w:t xml:space="preserve">. The aim should be: </w:t>
            </w:r>
            <w:r w:rsidRPr="00C67FEB" w:rsidR="000B5277">
              <w:rPr>
                <w:rFonts w:ascii="Times New Roman" w:eastAsia="Times New Roman" w:hAnsi="Times New Roman" w:cs="Times New Roman"/>
                <w:i/>
                <w:iCs/>
                <w:sz w:val="24"/>
                <w:szCs w:val="24"/>
                <w:lang w:val="en-GB" w:eastAsia="cs-CZ"/>
              </w:rPr>
              <w:t>e</w:t>
            </w:r>
            <w:r w:rsidRPr="00C67FEB">
              <w:rPr>
                <w:rFonts w:ascii="Times New Roman" w:eastAsia="Times New Roman" w:hAnsi="Times New Roman" w:cs="Times New Roman"/>
                <w:i/>
                <w:iCs/>
                <w:sz w:val="24"/>
                <w:szCs w:val="24"/>
                <w:lang w:val="en-GB" w:eastAsia="cs-CZ"/>
              </w:rPr>
              <w:t xml:space="preserve">xclusion of certain rules required by European law for public limited liability companies; </w:t>
            </w:r>
            <w:r w:rsidRPr="00C67FEB" w:rsidR="000B5277">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etting “default” solutions to which shareholders could easily </w:t>
            </w:r>
            <w:r w:rsidRPr="00C67FEB" w:rsidR="000B5277">
              <w:rPr>
                <w:rFonts w:ascii="Times New Roman" w:eastAsia="Times New Roman" w:hAnsi="Times New Roman" w:cs="Times New Roman"/>
                <w:i/>
                <w:iCs/>
                <w:sz w:val="24"/>
                <w:szCs w:val="24"/>
                <w:lang w:val="en-GB" w:eastAsia="cs-CZ"/>
              </w:rPr>
              <w:t>join or</w:t>
            </w:r>
            <w:r w:rsidRPr="00C67FEB">
              <w:rPr>
                <w:rFonts w:ascii="Times New Roman" w:eastAsia="Times New Roman" w:hAnsi="Times New Roman" w:cs="Times New Roman"/>
                <w:i/>
                <w:iCs/>
                <w:sz w:val="24"/>
                <w:szCs w:val="24"/>
                <w:lang w:val="en-GB" w:eastAsia="cs-CZ"/>
              </w:rPr>
              <w:t xml:space="preserve"> modify or exclude. The most suitable form seems to be the sub-form of a classic joint</w:t>
            </w:r>
            <w:r w:rsidRPr="00C67FEB" w:rsidR="000B5277">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stock company with the possibility of: </w:t>
            </w:r>
            <w:r w:rsidRPr="00C67FEB" w:rsidR="000B5277">
              <w:rPr>
                <w:rFonts w:ascii="Times New Roman" w:eastAsia="Times New Roman" w:hAnsi="Times New Roman" w:cs="Times New Roman"/>
                <w:i/>
                <w:iCs/>
                <w:sz w:val="24"/>
                <w:szCs w:val="24"/>
                <w:lang w:val="en-GB" w:eastAsia="cs-CZ"/>
              </w:rPr>
              <w:t>registered</w:t>
            </w:r>
            <w:r w:rsidRPr="00C67FEB">
              <w:rPr>
                <w:rFonts w:ascii="Times New Roman" w:eastAsia="Times New Roman" w:hAnsi="Times New Roman" w:cs="Times New Roman"/>
                <w:i/>
                <w:iCs/>
                <w:sz w:val="24"/>
                <w:szCs w:val="24"/>
                <w:lang w:val="en-GB" w:eastAsia="cs-CZ"/>
              </w:rPr>
              <w:t xml:space="preserve"> capital of CZK 1; </w:t>
            </w:r>
            <w:r w:rsidRPr="00C67FEB" w:rsidR="000B5277">
              <w:rPr>
                <w:rFonts w:ascii="Times New Roman" w:eastAsia="Times New Roman" w:hAnsi="Times New Roman" w:cs="Times New Roman"/>
                <w:i/>
                <w:iCs/>
                <w:sz w:val="24"/>
                <w:szCs w:val="24"/>
                <w:lang w:val="en-GB" w:eastAsia="cs-CZ"/>
              </w:rPr>
              <w:t>l</w:t>
            </w:r>
            <w:r w:rsidRPr="00C67FEB">
              <w:rPr>
                <w:rFonts w:ascii="Times New Roman" w:eastAsia="Times New Roman" w:hAnsi="Times New Roman" w:cs="Times New Roman"/>
                <w:i/>
                <w:iCs/>
                <w:sz w:val="24"/>
                <w:szCs w:val="24"/>
                <w:lang w:val="en-GB" w:eastAsia="cs-CZ"/>
              </w:rPr>
              <w:t xml:space="preserve">ooser rules for the payment of profits and other own resources, including advances; </w:t>
            </w:r>
            <w:r w:rsidRPr="00C67FEB" w:rsidR="000B5277">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ublic subscription, respectively</w:t>
            </w:r>
            <w:r w:rsidRPr="00C67FEB" w:rsidR="000B527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public tenders, with the scope of addressees being limited; </w:t>
            </w:r>
            <w:r w:rsidRPr="00C67FEB" w:rsidR="000B5277">
              <w:rPr>
                <w:rFonts w:ascii="Times New Roman" w:eastAsia="Times New Roman" w:hAnsi="Times New Roman" w:cs="Times New Roman"/>
                <w:i/>
                <w:iCs/>
                <w:sz w:val="24"/>
                <w:szCs w:val="24"/>
                <w:lang w:val="en-GB" w:eastAsia="cs-CZ"/>
              </w:rPr>
              <w:t>l</w:t>
            </w:r>
            <w:r w:rsidRPr="00C67FEB">
              <w:rPr>
                <w:rFonts w:ascii="Times New Roman" w:eastAsia="Times New Roman" w:hAnsi="Times New Roman" w:cs="Times New Roman"/>
                <w:i/>
                <w:iCs/>
                <w:sz w:val="24"/>
                <w:szCs w:val="24"/>
                <w:lang w:val="en-GB" w:eastAsia="cs-CZ"/>
              </w:rPr>
              <w:t xml:space="preserve">ooser rules for subscription and acquisition of own shares; </w:t>
            </w:r>
            <w:r w:rsidRPr="00C67FEB" w:rsidR="000B5277">
              <w:rPr>
                <w:rFonts w:ascii="Times New Roman" w:eastAsia="Times New Roman" w:hAnsi="Times New Roman" w:cs="Times New Roman"/>
                <w:i/>
                <w:iCs/>
                <w:sz w:val="24"/>
                <w:szCs w:val="24"/>
                <w:lang w:val="en-GB" w:eastAsia="cs-CZ"/>
              </w:rPr>
              <w:t>f</w:t>
            </w:r>
            <w:r w:rsidRPr="00C67FEB">
              <w:rPr>
                <w:rFonts w:ascii="Times New Roman" w:eastAsia="Times New Roman" w:hAnsi="Times New Roman" w:cs="Times New Roman"/>
                <w:i/>
                <w:iCs/>
                <w:sz w:val="24"/>
                <w:szCs w:val="24"/>
                <w:lang w:val="en-GB" w:eastAsia="cs-CZ"/>
              </w:rPr>
              <w:t xml:space="preserve">ree transferability of shares by share type (similar to </w:t>
            </w:r>
            <w:r w:rsidRPr="00C67FEB" w:rsidR="000B5277">
              <w:rPr>
                <w:rFonts w:ascii="Times New Roman" w:eastAsia="Times New Roman" w:hAnsi="Times New Roman" w:cs="Times New Roman"/>
                <w:i/>
                <w:iCs/>
                <w:sz w:val="24"/>
                <w:szCs w:val="24"/>
                <w:lang w:val="en-GB" w:eastAsia="cs-CZ"/>
              </w:rPr>
              <w:t>limited liability company</w:t>
            </w:r>
            <w:r w:rsidRPr="00C67FEB">
              <w:rPr>
                <w:rFonts w:ascii="Times New Roman" w:eastAsia="Times New Roman" w:hAnsi="Times New Roman" w:cs="Times New Roman"/>
                <w:i/>
                <w:iCs/>
                <w:sz w:val="24"/>
                <w:szCs w:val="24"/>
                <w:lang w:val="en-GB" w:eastAsia="cs-CZ"/>
              </w:rPr>
              <w:t xml:space="preserve">); </w:t>
            </w:r>
            <w:r w:rsidRPr="00C67FEB" w:rsidR="000B5277">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tatutory anchoring of debt to equity conversion; </w:t>
            </w:r>
            <w:r w:rsidRPr="00C67FEB" w:rsidR="000B5277">
              <w:rPr>
                <w:rFonts w:ascii="Times New Roman" w:eastAsia="Times New Roman" w:hAnsi="Times New Roman" w:cs="Times New Roman"/>
                <w:i/>
                <w:iCs/>
                <w:sz w:val="24"/>
                <w:szCs w:val="24"/>
                <w:lang w:val="en-GB" w:eastAsia="cs-CZ"/>
              </w:rPr>
              <w:t>r</w:t>
            </w:r>
            <w:r w:rsidRPr="00C67FEB">
              <w:rPr>
                <w:rFonts w:ascii="Times New Roman" w:eastAsia="Times New Roman" w:hAnsi="Times New Roman" w:cs="Times New Roman"/>
                <w:i/>
                <w:iCs/>
                <w:sz w:val="24"/>
                <w:szCs w:val="24"/>
                <w:lang w:val="en-GB" w:eastAsia="cs-CZ"/>
              </w:rPr>
              <w:t xml:space="preserve">elaxation of the rules on capital increase, in particular the abandonment of constitutive entries in the Commercial Register; ESOP; </w:t>
            </w:r>
            <w:r w:rsidRPr="00C67FEB" w:rsidR="000B5277">
              <w:rPr>
                <w:rFonts w:ascii="Times New Roman" w:eastAsia="Times New Roman" w:hAnsi="Times New Roman" w:cs="Times New Roman"/>
                <w:i/>
                <w:iCs/>
                <w:sz w:val="24"/>
                <w:szCs w:val="24"/>
                <w:lang w:val="en-GB" w:eastAsia="cs-CZ"/>
              </w:rPr>
              <w:t>d</w:t>
            </w:r>
            <w:r w:rsidRPr="00C67FEB">
              <w:rPr>
                <w:rFonts w:ascii="Times New Roman" w:eastAsia="Times New Roman" w:hAnsi="Times New Roman" w:cs="Times New Roman"/>
                <w:i/>
                <w:iCs/>
                <w:sz w:val="24"/>
                <w:szCs w:val="24"/>
                <w:lang w:val="en-GB" w:eastAsia="cs-CZ"/>
              </w:rPr>
              <w:t xml:space="preserve">efault arrangements typical of shareholder agreements with publicity in the Commercial Register. The possibility of establishing in a simple form would make the process cheaper, but it would not be systematic in the Czech environment, and we do not perceive this requirement as essential. The abandonment of the </w:t>
            </w:r>
            <w:r w:rsidRPr="00C67FEB" w:rsidR="000B5277">
              <w:rPr>
                <w:rFonts w:ascii="Times New Roman" w:eastAsia="Times New Roman" w:hAnsi="Times New Roman" w:cs="Times New Roman"/>
                <w:i/>
                <w:iCs/>
                <w:sz w:val="24"/>
                <w:szCs w:val="24"/>
                <w:lang w:val="en-GB" w:eastAsia="cs-CZ"/>
              </w:rPr>
              <w:t>public document</w:t>
            </w:r>
            <w:r w:rsidRPr="00C67FEB">
              <w:rPr>
                <w:rFonts w:ascii="Times New Roman" w:eastAsia="Times New Roman" w:hAnsi="Times New Roman" w:cs="Times New Roman"/>
                <w:i/>
                <w:iCs/>
                <w:sz w:val="24"/>
                <w:szCs w:val="24"/>
                <w:lang w:val="en-GB" w:eastAsia="cs-CZ"/>
              </w:rPr>
              <w:t xml:space="preserve"> would be more helpful in changing the share capital and subsequent changes in the </w:t>
            </w:r>
            <w:r w:rsidRPr="00C67FEB" w:rsidR="000B5277">
              <w:rPr>
                <w:rFonts w:ascii="Times New Roman" w:eastAsia="Times New Roman" w:hAnsi="Times New Roman" w:cs="Times New Roman"/>
                <w:i/>
                <w:iCs/>
                <w:sz w:val="24"/>
                <w:szCs w:val="24"/>
                <w:lang w:val="en-GB" w:eastAsia="cs-CZ"/>
              </w:rPr>
              <w:t>a</w:t>
            </w:r>
            <w:r w:rsidRPr="00C67FEB">
              <w:rPr>
                <w:rFonts w:ascii="Times New Roman" w:eastAsia="Times New Roman" w:hAnsi="Times New Roman" w:cs="Times New Roman"/>
                <w:i/>
                <w:iCs/>
                <w:sz w:val="24"/>
                <w:szCs w:val="24"/>
                <w:lang w:val="en-GB" w:eastAsia="cs-CZ"/>
              </w:rPr>
              <w:t xml:space="preserve">rticles of </w:t>
            </w:r>
            <w:r w:rsidRPr="00C67FEB" w:rsidR="000B5277">
              <w:rPr>
                <w:rFonts w:ascii="Times New Roman" w:eastAsia="Times New Roman" w:hAnsi="Times New Roman" w:cs="Times New Roman"/>
                <w:i/>
                <w:iCs/>
                <w:sz w:val="24"/>
                <w:szCs w:val="24"/>
                <w:lang w:val="en-GB" w:eastAsia="cs-CZ"/>
              </w:rPr>
              <w:t>a</w:t>
            </w:r>
            <w:r w:rsidRPr="00C67FEB" w:rsidR="00413F41">
              <w:rPr>
                <w:rFonts w:ascii="Times New Roman" w:eastAsia="Times New Roman" w:hAnsi="Times New Roman" w:cs="Times New Roman"/>
                <w:i/>
                <w:iCs/>
                <w:sz w:val="24"/>
                <w:szCs w:val="24"/>
                <w:lang w:val="en-GB" w:eastAsia="cs-CZ"/>
              </w:rPr>
              <w:t>ssociation</w:t>
            </w:r>
            <w:r w:rsidRPr="00C67FEB">
              <w:rPr>
                <w:rFonts w:ascii="Times New Roman" w:eastAsia="Times New Roman" w:hAnsi="Times New Roman" w:cs="Times New Roman"/>
                <w:i/>
                <w:iCs/>
                <w:sz w:val="24"/>
                <w:szCs w:val="24"/>
                <w:lang w:val="en-GB" w:eastAsia="cs-CZ"/>
              </w:rPr>
              <w:t xml:space="preserve">. We prefer </w:t>
            </w:r>
            <w:r w:rsidRPr="00C67FEB" w:rsidR="000B5277">
              <w:rPr>
                <w:rFonts w:ascii="Times New Roman" w:eastAsia="Times New Roman" w:hAnsi="Times New Roman" w:cs="Times New Roman"/>
                <w:i/>
                <w:iCs/>
                <w:sz w:val="24"/>
                <w:szCs w:val="24"/>
                <w:lang w:val="en-GB" w:eastAsia="cs-CZ"/>
              </w:rPr>
              <w:t>book-entry shares</w:t>
            </w:r>
            <w:r w:rsidRPr="00C67FEB">
              <w:rPr>
                <w:rFonts w:ascii="Times New Roman" w:eastAsia="Times New Roman" w:hAnsi="Times New Roman" w:cs="Times New Roman"/>
                <w:i/>
                <w:iCs/>
                <w:sz w:val="24"/>
                <w:szCs w:val="24"/>
                <w:lang w:val="en-GB" w:eastAsia="cs-CZ"/>
              </w:rPr>
              <w:t xml:space="preserve"> only as an option, with compulsory bookkeeping </w:t>
            </w:r>
            <w:r w:rsidRPr="00C67FEB" w:rsidR="000B5277">
              <w:rPr>
                <w:rFonts w:ascii="Times New Roman" w:eastAsia="Times New Roman" w:hAnsi="Times New Roman" w:cs="Times New Roman"/>
                <w:i/>
                <w:iCs/>
                <w:sz w:val="24"/>
                <w:szCs w:val="24"/>
                <w:lang w:val="en-GB" w:eastAsia="cs-CZ"/>
              </w:rPr>
              <w:t>needing</w:t>
            </w:r>
            <w:r w:rsidRPr="00C67FEB">
              <w:rPr>
                <w:rFonts w:ascii="Times New Roman" w:eastAsia="Times New Roman" w:hAnsi="Times New Roman" w:cs="Times New Roman"/>
                <w:i/>
                <w:iCs/>
                <w:sz w:val="24"/>
                <w:szCs w:val="24"/>
                <w:lang w:val="en-GB" w:eastAsia="cs-CZ"/>
              </w:rPr>
              <w:t xml:space="preserve"> to solve the cost problem. It would be more practical to remain in certificated shares</w:t>
            </w:r>
            <w:r w:rsidRPr="00C67FEB" w:rsidR="000B5277">
              <w:rPr>
                <w:rFonts w:ascii="Times New Roman" w:eastAsia="Times New Roman" w:hAnsi="Times New Roman" w:cs="Times New Roman"/>
                <w:i/>
                <w:iCs/>
                <w:sz w:val="24"/>
                <w:szCs w:val="24"/>
                <w:lang w:val="en-GB" w:eastAsia="cs-CZ"/>
              </w:rPr>
              <w:t>/bulk share certificates</w:t>
            </w:r>
            <w:r w:rsidRPr="00C67FEB">
              <w:rPr>
                <w:rFonts w:ascii="Times New Roman" w:eastAsia="Times New Roman" w:hAnsi="Times New Roman" w:cs="Times New Roman"/>
                <w:i/>
                <w:iCs/>
                <w:sz w:val="24"/>
                <w:szCs w:val="24"/>
                <w:lang w:val="en-GB" w:eastAsia="cs-CZ"/>
              </w:rPr>
              <w:t xml:space="preserve"> and to strengthen the importance of the list of shareholders maintained by the company itself or by another independent person (notaries, lawyers).</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8D165E">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general, we support efforts to simplify the business environment for start-ups. In this </w:t>
            </w:r>
            <w:r w:rsidRPr="00C67FEB" w:rsidR="000B5277">
              <w:rPr>
                <w:rFonts w:ascii="Times New Roman" w:eastAsia="Times New Roman" w:hAnsi="Times New Roman" w:cs="Times New Roman"/>
                <w:i/>
                <w:iCs/>
                <w:sz w:val="24"/>
                <w:szCs w:val="24"/>
                <w:lang w:val="en-GB" w:eastAsia="cs-CZ"/>
              </w:rPr>
              <w:t>endeavour</w:t>
            </w:r>
            <w:r w:rsidRPr="00C67FEB">
              <w:rPr>
                <w:rFonts w:ascii="Times New Roman" w:eastAsia="Times New Roman" w:hAnsi="Times New Roman" w:cs="Times New Roman"/>
                <w:i/>
                <w:iCs/>
                <w:sz w:val="24"/>
                <w:szCs w:val="24"/>
                <w:lang w:val="en-GB" w:eastAsia="cs-CZ"/>
              </w:rPr>
              <w:t xml:space="preserve">, however, we consider it more beneficial to initiate a discussion on the removal of the ban on publicly offering and accepting the shares of a limited liability company (rather than creating an entirely new construct of a simple joint stock company). Except for the </w:t>
            </w:r>
            <w:r w:rsidRPr="00C67FEB" w:rsidR="000B5277">
              <w:rPr>
                <w:rFonts w:ascii="Times New Roman" w:eastAsia="Times New Roman" w:hAnsi="Times New Roman" w:cs="Times New Roman"/>
                <w:i/>
                <w:iCs/>
                <w:sz w:val="24"/>
                <w:szCs w:val="24"/>
                <w:lang w:val="en-GB" w:eastAsia="cs-CZ"/>
              </w:rPr>
              <w:t>above-mentioned</w:t>
            </w:r>
            <w:r w:rsidRPr="00C67FEB">
              <w:rPr>
                <w:rFonts w:ascii="Times New Roman" w:eastAsia="Times New Roman" w:hAnsi="Times New Roman" w:cs="Times New Roman"/>
                <w:i/>
                <w:iCs/>
                <w:sz w:val="24"/>
                <w:szCs w:val="24"/>
                <w:lang w:val="en-GB" w:eastAsia="cs-CZ"/>
              </w:rPr>
              <w:t xml:space="preserve"> ban, in our opinion the limited liability company in its present form works sufficiently in terms of </w:t>
            </w:r>
            <w:r w:rsidRPr="00C67FEB" w:rsidR="000B5277">
              <w:rPr>
                <w:rFonts w:ascii="Times New Roman" w:eastAsia="Times New Roman" w:hAnsi="Times New Roman" w:cs="Times New Roman"/>
                <w:i/>
                <w:iCs/>
                <w:sz w:val="24"/>
                <w:szCs w:val="24"/>
                <w:lang w:val="en-GB" w:eastAsia="cs-CZ"/>
              </w:rPr>
              <w:t>start-ups</w:t>
            </w:r>
            <w:r w:rsidRPr="00C67FEB">
              <w:rPr>
                <w:rFonts w:ascii="Times New Roman" w:eastAsia="Times New Roman" w:hAnsi="Times New Roman" w:cs="Times New Roman"/>
                <w:i/>
                <w:iCs/>
                <w:sz w:val="24"/>
                <w:szCs w:val="24"/>
                <w:lang w:val="en-GB" w:eastAsia="cs-CZ"/>
              </w:rPr>
              <w:t xml:space="preserve">. This is evidenced </w:t>
            </w:r>
            <w:r w:rsidRPr="00C67FEB">
              <w:rPr>
                <w:rFonts w:ascii="Times New Roman" w:eastAsia="Times New Roman" w:hAnsi="Times New Roman" w:cs="Times New Roman"/>
                <w:i/>
                <w:iCs/>
                <w:sz w:val="24"/>
                <w:szCs w:val="24"/>
                <w:lang w:val="en-GB" w:eastAsia="cs-CZ"/>
              </w:rPr>
              <w:t xml:space="preserve">by the fact that most of them choose the legal form of the company. </w:t>
            </w:r>
            <w:r w:rsidRPr="00C67FEB" w:rsidR="000B527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Unblocking</w:t>
            </w:r>
            <w:r w:rsidRPr="00C67FEB" w:rsidR="000B527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the trading of </w:t>
            </w:r>
            <w:r w:rsidRPr="00C67FEB" w:rsidR="000B5277">
              <w:rPr>
                <w:rFonts w:ascii="Times New Roman" w:eastAsia="Times New Roman" w:hAnsi="Times New Roman" w:cs="Times New Roman"/>
                <w:i/>
                <w:iCs/>
                <w:sz w:val="24"/>
                <w:szCs w:val="24"/>
                <w:lang w:val="en-GB" w:eastAsia="cs-CZ"/>
              </w:rPr>
              <w:t>common certificates</w:t>
            </w:r>
            <w:r w:rsidRPr="00C67FEB">
              <w:rPr>
                <w:rFonts w:ascii="Times New Roman" w:eastAsia="Times New Roman" w:hAnsi="Times New Roman" w:cs="Times New Roman"/>
                <w:i/>
                <w:iCs/>
                <w:sz w:val="24"/>
                <w:szCs w:val="24"/>
                <w:lang w:val="en-GB" w:eastAsia="cs-CZ"/>
              </w:rPr>
              <w:t xml:space="preserve"> in this regard, we perceive as a more rational approach, and also because existing companies (</w:t>
            </w:r>
            <w:r w:rsidRPr="00C67FEB" w:rsidR="000B5277">
              <w:rPr>
                <w:rFonts w:ascii="Times New Roman" w:eastAsia="Times New Roman" w:hAnsi="Times New Roman" w:cs="Times New Roman"/>
                <w:i/>
                <w:iCs/>
                <w:sz w:val="24"/>
                <w:szCs w:val="24"/>
                <w:lang w:val="en-GB" w:eastAsia="cs-CZ"/>
              </w:rPr>
              <w:t>start-ups</w:t>
            </w:r>
            <w:r w:rsidRPr="00C67FEB">
              <w:rPr>
                <w:rFonts w:ascii="Times New Roman" w:eastAsia="Times New Roman" w:hAnsi="Times New Roman" w:cs="Times New Roman"/>
                <w:i/>
                <w:iCs/>
                <w:sz w:val="24"/>
                <w:szCs w:val="24"/>
                <w:lang w:val="en-GB" w:eastAsia="cs-CZ"/>
              </w:rPr>
              <w:t>) would not have to adapt (change) their existing legal form.</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Private person No 7</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 don't know how you want to be inspired by the </w:t>
            </w:r>
            <w:r w:rsidRPr="00C67FEB" w:rsidR="003066C4">
              <w:rPr>
                <w:rFonts w:ascii="Times New Roman" w:eastAsia="Times New Roman" w:hAnsi="Times New Roman" w:cs="Times New Roman"/>
                <w:i/>
                <w:iCs/>
                <w:sz w:val="24"/>
                <w:szCs w:val="24"/>
                <w:lang w:val="en-GB" w:eastAsia="cs-CZ"/>
              </w:rPr>
              <w:t>Slovakian from of simple joint stock company</w:t>
            </w:r>
            <w:r w:rsidRPr="00C67FEB">
              <w:rPr>
                <w:rFonts w:ascii="Times New Roman" w:eastAsia="Times New Roman" w:hAnsi="Times New Roman" w:cs="Times New Roman"/>
                <w:i/>
                <w:iCs/>
                <w:sz w:val="24"/>
                <w:szCs w:val="24"/>
                <w:lang w:val="en-GB" w:eastAsia="cs-CZ"/>
              </w:rPr>
              <w:t xml:space="preserve">. For this </w:t>
            </w:r>
            <w:r w:rsidRPr="00C67FEB" w:rsidR="003066C4">
              <w:rPr>
                <w:rFonts w:ascii="Times New Roman" w:eastAsia="Times New Roman" w:hAnsi="Times New Roman" w:cs="Times New Roman"/>
                <w:i/>
                <w:iCs/>
                <w:sz w:val="24"/>
                <w:szCs w:val="24"/>
                <w:lang w:val="en-GB" w:eastAsia="cs-CZ"/>
              </w:rPr>
              <w:t>reason,</w:t>
            </w:r>
            <w:r w:rsidRPr="00C67FEB">
              <w:rPr>
                <w:rFonts w:ascii="Times New Roman" w:eastAsia="Times New Roman" w:hAnsi="Times New Roman" w:cs="Times New Roman"/>
                <w:i/>
                <w:iCs/>
                <w:sz w:val="24"/>
                <w:szCs w:val="24"/>
                <w:lang w:val="en-GB" w:eastAsia="cs-CZ"/>
              </w:rPr>
              <w:t xml:space="preserve"> our lawmakers established a second central depository (ncdcp.sk, the first is cdcp.sk), which is the best example of their incompetence. Slovakia is now probably the only state in the world with 2 central depositories. At the same time, the NCDCP is not exclusively for shares. All other securities are also there. Only shares can be registered only in NCDCP. The depository is generating huge losses and people are not interested in being the only thing that interests me a little is that </w:t>
            </w:r>
            <w:r w:rsidRPr="00C67FEB" w:rsidR="003066C4">
              <w:rPr>
                <w:rFonts w:ascii="Times New Roman" w:eastAsia="Times New Roman" w:hAnsi="Times New Roman" w:cs="Times New Roman"/>
                <w:i/>
                <w:iCs/>
                <w:sz w:val="24"/>
                <w:szCs w:val="24"/>
                <w:lang w:val="en-GB" w:eastAsia="cs-CZ"/>
              </w:rPr>
              <w:t>simple joint stock company in Slovakia</w:t>
            </w:r>
            <w:r w:rsidRPr="00C67FEB">
              <w:rPr>
                <w:rFonts w:ascii="Times New Roman" w:eastAsia="Times New Roman" w:hAnsi="Times New Roman" w:cs="Times New Roman"/>
                <w:i/>
                <w:iCs/>
                <w:sz w:val="24"/>
                <w:szCs w:val="24"/>
                <w:lang w:val="en-GB" w:eastAsia="cs-CZ"/>
              </w:rPr>
              <w:t xml:space="preserve"> publishe</w:t>
            </w:r>
            <w:r w:rsidRPr="00C67FEB" w:rsidR="003066C4">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 data on shareholders. The Commercial Register publishes data on shareholders</w:t>
            </w:r>
            <w:r w:rsidRPr="00C67FEB" w:rsidR="003066C4">
              <w:rPr>
                <w:rFonts w:ascii="Times New Roman" w:eastAsia="Times New Roman" w:hAnsi="Times New Roman" w:cs="Times New Roman"/>
                <w:i/>
                <w:iCs/>
                <w:sz w:val="24"/>
                <w:szCs w:val="24"/>
                <w:lang w:val="en-GB" w:eastAsia="cs-CZ"/>
              </w:rPr>
              <w:t xml:space="preserve"> (partners)</w:t>
            </w:r>
            <w:r w:rsidRPr="00C67FEB">
              <w:rPr>
                <w:rFonts w:ascii="Times New Roman" w:eastAsia="Times New Roman" w:hAnsi="Times New Roman" w:cs="Times New Roman"/>
                <w:i/>
                <w:iCs/>
                <w:sz w:val="24"/>
                <w:szCs w:val="24"/>
                <w:lang w:val="en-GB" w:eastAsia="cs-CZ"/>
              </w:rPr>
              <w:t>, but not on shareholders. On the other hand, even this is not absolutely true, because "the end user of the benefits" is published somewhere, so it is all so complicated.</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2:</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consider the amount of registered capital to be an important element for establishing start-ups, since the capital of start-ups can be secured not only </w:t>
            </w:r>
            <w:r w:rsidRPr="00C67FEB" w:rsidR="003066C4">
              <w:rPr>
                <w:rFonts w:ascii="Times New Roman" w:eastAsia="Times New Roman" w:hAnsi="Times New Roman" w:cs="Times New Roman"/>
                <w:i/>
                <w:iCs/>
                <w:sz w:val="24"/>
                <w:szCs w:val="24"/>
                <w:lang w:val="en-GB" w:eastAsia="cs-CZ"/>
              </w:rPr>
              <w:t>by</w:t>
            </w:r>
            <w:r w:rsidRPr="00C67FEB">
              <w:rPr>
                <w:rFonts w:ascii="Times New Roman" w:eastAsia="Times New Roman" w:hAnsi="Times New Roman" w:cs="Times New Roman"/>
                <w:i/>
                <w:iCs/>
                <w:sz w:val="24"/>
                <w:szCs w:val="24"/>
                <w:lang w:val="en-GB" w:eastAsia="cs-CZ"/>
              </w:rPr>
              <w:t xml:space="preserve"> the public, but also </w:t>
            </w:r>
            <w:r w:rsidRPr="00C67FEB" w:rsidR="003066C4">
              <w:rPr>
                <w:rFonts w:ascii="Times New Roman" w:eastAsia="Times New Roman" w:hAnsi="Times New Roman" w:cs="Times New Roman"/>
                <w:i/>
                <w:iCs/>
                <w:sz w:val="24"/>
                <w:szCs w:val="24"/>
                <w:lang w:val="en-GB" w:eastAsia="cs-CZ"/>
              </w:rPr>
              <w:t>by</w:t>
            </w:r>
            <w:r w:rsidRPr="00C67FEB">
              <w:rPr>
                <w:rFonts w:ascii="Times New Roman" w:eastAsia="Times New Roman" w:hAnsi="Times New Roman" w:cs="Times New Roman"/>
                <w:i/>
                <w:iCs/>
                <w:sz w:val="24"/>
                <w:szCs w:val="24"/>
                <w:lang w:val="en-GB" w:eastAsia="cs-CZ"/>
              </w:rPr>
              <w:t xml:space="preserve"> a limited group of people, through the issuance of debt securities or other constructions. On the contrary, it is not usual for retail investors to enter a generally risky start-up project and, if so, to a limited extent. We consider the premise that start-ups must raise capital from the public through the issuance of shares</w:t>
            </w:r>
            <w:r w:rsidRPr="00C67FEB" w:rsidR="003066C4">
              <w:rPr>
                <w:rFonts w:ascii="Times New Roman" w:eastAsia="Times New Roman" w:hAnsi="Times New Roman" w:cs="Times New Roman"/>
                <w:i/>
                <w:iCs/>
                <w:sz w:val="24"/>
                <w:szCs w:val="24"/>
                <w:lang w:val="en-GB" w:eastAsia="cs-CZ"/>
              </w:rPr>
              <w:t xml:space="preserve"> false</w:t>
            </w:r>
            <w:r w:rsidRPr="00C67FEB">
              <w:rPr>
                <w:rFonts w:ascii="Times New Roman" w:eastAsia="Times New Roman" w:hAnsi="Times New Roman" w:cs="Times New Roman"/>
                <w:i/>
                <w:iCs/>
                <w:sz w:val="24"/>
                <w:szCs w:val="24"/>
                <w:lang w:val="en-GB" w:eastAsia="cs-CZ"/>
              </w:rPr>
              <w:t>.</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3:</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see the need for tools or measures. As mentioned above, if the MF considers that other instruments or measures are necessary, the possibility of adapting the general legal regulation of a </w:t>
            </w:r>
            <w:r w:rsidRPr="00C67FEB" w:rsidR="003066C4">
              <w:rPr>
                <w:rFonts w:ascii="Times New Roman" w:eastAsia="Times New Roman" w:hAnsi="Times New Roman" w:cs="Times New Roman"/>
                <w:i/>
                <w:iCs/>
                <w:sz w:val="24"/>
                <w:szCs w:val="24"/>
                <w:lang w:val="en-GB" w:eastAsia="cs-CZ"/>
              </w:rPr>
              <w:t>joint stock</w:t>
            </w:r>
            <w:r w:rsidRPr="00C67FEB">
              <w:rPr>
                <w:rFonts w:ascii="Times New Roman" w:eastAsia="Times New Roman" w:hAnsi="Times New Roman" w:cs="Times New Roman"/>
                <w:i/>
                <w:iCs/>
                <w:sz w:val="24"/>
                <w:szCs w:val="24"/>
                <w:lang w:val="en-GB" w:eastAsia="cs-CZ"/>
              </w:rPr>
              <w:t xml:space="preserve"> company should be primarily </w:t>
            </w:r>
            <w:r w:rsidRPr="00C67FEB" w:rsidR="003066C4">
              <w:rPr>
                <w:rFonts w:ascii="Times New Roman" w:eastAsia="Times New Roman" w:hAnsi="Times New Roman" w:cs="Times New Roman"/>
                <w:i/>
                <w:iCs/>
                <w:sz w:val="24"/>
                <w:szCs w:val="24"/>
                <w:lang w:val="en-GB" w:eastAsia="cs-CZ"/>
              </w:rPr>
              <w:t>analysed</w:t>
            </w:r>
            <w:r w:rsidRPr="00C67FEB">
              <w:rPr>
                <w:rFonts w:ascii="Times New Roman" w:eastAsia="Times New Roman" w:hAnsi="Times New Roman" w:cs="Times New Roman"/>
                <w:i/>
                <w:iCs/>
                <w:sz w:val="24"/>
                <w:szCs w:val="24"/>
                <w:lang w:val="en-GB" w:eastAsia="cs-CZ"/>
              </w:rPr>
              <w:t xml:space="preserve">, the </w:t>
            </w:r>
            <w:r w:rsidRPr="00C67FEB" w:rsidR="003066C4">
              <w:rPr>
                <w:rFonts w:ascii="Times New Roman" w:eastAsia="Times New Roman" w:hAnsi="Times New Roman" w:cs="Times New Roman"/>
                <w:i/>
                <w:iCs/>
                <w:sz w:val="24"/>
                <w:szCs w:val="24"/>
                <w:lang w:val="en-GB" w:eastAsia="cs-CZ"/>
              </w:rPr>
              <w:t>primary</w:t>
            </w:r>
            <w:r w:rsidRPr="00C67FEB">
              <w:rPr>
                <w:rFonts w:ascii="Times New Roman" w:eastAsia="Times New Roman" w:hAnsi="Times New Roman" w:cs="Times New Roman"/>
                <w:i/>
                <w:iCs/>
                <w:sz w:val="24"/>
                <w:szCs w:val="24"/>
                <w:lang w:val="en-GB" w:eastAsia="cs-CZ"/>
              </w:rPr>
              <w:t xml:space="preserve"> solution should not be to create a new form of legal entity with elements of the </w:t>
            </w:r>
            <w:r w:rsidRPr="00C67FEB" w:rsidR="003066C4">
              <w:rPr>
                <w:rFonts w:ascii="Times New Roman" w:eastAsia="Times New Roman" w:hAnsi="Times New Roman" w:cs="Times New Roman"/>
                <w:i/>
                <w:iCs/>
                <w:sz w:val="24"/>
                <w:szCs w:val="24"/>
                <w:lang w:val="en-GB" w:eastAsia="cs-CZ"/>
              </w:rPr>
              <w:t>joint stock</w:t>
            </w:r>
            <w:r w:rsidRPr="00C67FEB">
              <w:rPr>
                <w:rFonts w:ascii="Times New Roman" w:eastAsia="Times New Roman" w:hAnsi="Times New Roman" w:cs="Times New Roman"/>
                <w:i/>
                <w:iCs/>
                <w:sz w:val="24"/>
                <w:szCs w:val="24"/>
                <w:lang w:val="en-GB" w:eastAsia="cs-CZ"/>
              </w:rPr>
              <w:t xml:space="preserve"> company.</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4:</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believe that the current amount of the registered capital of the company is satisfactory and we do not perceive the market demand for its reduction or the objection that the amount of capital would prevent the business in this form of legal entity. Please note that before the effective date of the </w:t>
            </w:r>
            <w:r w:rsidRPr="00C67FEB" w:rsidR="003066C4">
              <w:rPr>
                <w:rFonts w:ascii="Times New Roman" w:eastAsia="Times New Roman" w:hAnsi="Times New Roman" w:cs="Times New Roman"/>
                <w:i/>
                <w:iCs/>
                <w:sz w:val="24"/>
                <w:szCs w:val="24"/>
                <w:lang w:val="en-GB" w:eastAsia="cs-CZ"/>
              </w:rPr>
              <w:t>Corporations Act</w:t>
            </w:r>
            <w:r w:rsidRPr="00C67FEB">
              <w:rPr>
                <w:rFonts w:ascii="Times New Roman" w:eastAsia="Times New Roman" w:hAnsi="Times New Roman" w:cs="Times New Roman"/>
                <w:i/>
                <w:iCs/>
                <w:sz w:val="24"/>
                <w:szCs w:val="24"/>
                <w:lang w:val="en-GB" w:eastAsia="cs-CZ"/>
              </w:rPr>
              <w:t xml:space="preserve"> (until 31 December 2013), the minimum share capital for public </w:t>
            </w:r>
            <w:r w:rsidRPr="00C67FEB" w:rsidR="003066C4">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w:t>
            </w:r>
            <w:r w:rsidRPr="00C67FEB" w:rsidR="003066C4">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based on a public offer of shares) was CZK 20,000,000 and for non-public</w:t>
            </w:r>
            <w:r w:rsidRPr="00C67FEB" w:rsidR="003066C4">
              <w:rPr>
                <w:rFonts w:ascii="Times New Roman" w:eastAsia="Times New Roman" w:hAnsi="Times New Roman" w:cs="Times New Roman"/>
                <w:i/>
                <w:iCs/>
                <w:sz w:val="24"/>
                <w:szCs w:val="24"/>
                <w:lang w:val="en-GB" w:eastAsia="cs-CZ"/>
              </w:rPr>
              <w:t xml:space="preserve"> joint stock company</w:t>
            </w:r>
            <w:r w:rsidRPr="00C67FEB">
              <w:rPr>
                <w:rFonts w:ascii="Times New Roman" w:eastAsia="Times New Roman" w:hAnsi="Times New Roman" w:cs="Times New Roman"/>
                <w:i/>
                <w:iCs/>
                <w:sz w:val="24"/>
                <w:szCs w:val="24"/>
                <w:lang w:val="en-GB" w:eastAsia="cs-CZ"/>
              </w:rPr>
              <w:t xml:space="preserve"> and established without public offer of shares CZK 2,000,000. Reducing the share capital requirement below the level required by EU regulations (EUR 25 000) does not seem necessary. The purpose of the investment in the registered capital, respectively the creation of registered capital is not only a guarantee function, but also the accumulation of capital for business (which, moreover, the MF's proposals to facilitate the entry of investors are aimed at). Without minimum deposit amount, </w:t>
            </w:r>
            <w:r w:rsidRPr="00C67FEB" w:rsidR="003066C4">
              <w:rPr>
                <w:rFonts w:ascii="Times New Roman" w:eastAsia="Times New Roman" w:hAnsi="Times New Roman" w:cs="Times New Roman"/>
                <w:i/>
                <w:iCs/>
                <w:sz w:val="24"/>
                <w:szCs w:val="24"/>
                <w:lang w:val="en-GB" w:eastAsia="cs-CZ"/>
              </w:rPr>
              <w:t>respectively registered capital</w:t>
            </w:r>
            <w:r w:rsidRPr="00C67FEB">
              <w:rPr>
                <w:rFonts w:ascii="Times New Roman" w:eastAsia="Times New Roman" w:hAnsi="Times New Roman" w:cs="Times New Roman"/>
                <w:i/>
                <w:iCs/>
                <w:sz w:val="24"/>
                <w:szCs w:val="24"/>
                <w:lang w:val="en-GB" w:eastAsia="cs-CZ"/>
              </w:rPr>
              <w:t xml:space="preserve"> </w:t>
            </w:r>
            <w:r w:rsidRPr="00C67FEB" w:rsidR="003066C4">
              <w:rPr>
                <w:rFonts w:ascii="Times New Roman" w:eastAsia="Times New Roman" w:hAnsi="Times New Roman" w:cs="Times New Roman"/>
                <w:i/>
                <w:iCs/>
                <w:sz w:val="24"/>
                <w:szCs w:val="24"/>
                <w:lang w:val="en-GB" w:eastAsia="cs-CZ"/>
              </w:rPr>
              <w:t>h</w:t>
            </w:r>
            <w:r w:rsidRPr="00C67FEB">
              <w:rPr>
                <w:rFonts w:ascii="Times New Roman" w:eastAsia="Times New Roman" w:hAnsi="Times New Roman" w:cs="Times New Roman"/>
                <w:i/>
                <w:iCs/>
                <w:sz w:val="24"/>
                <w:szCs w:val="24"/>
                <w:lang w:val="en-GB" w:eastAsia="cs-CZ"/>
              </w:rPr>
              <w:t xml:space="preserve">owever, even a meaningful business project cannot be launched. In practice, </w:t>
            </w:r>
            <w:r w:rsidRPr="00C67FEB" w:rsidR="003066C4">
              <w:rPr>
                <w:rFonts w:ascii="Times New Roman" w:eastAsia="Times New Roman" w:hAnsi="Times New Roman" w:cs="Times New Roman"/>
                <w:i/>
                <w:iCs/>
                <w:sz w:val="24"/>
                <w:szCs w:val="24"/>
                <w:lang w:val="en-GB" w:eastAsia="cs-CZ"/>
              </w:rPr>
              <w:t>limited liability company</w:t>
            </w:r>
            <w:r w:rsidRPr="00C67FEB">
              <w:rPr>
                <w:rFonts w:ascii="Times New Roman" w:eastAsia="Times New Roman" w:hAnsi="Times New Roman" w:cs="Times New Roman"/>
                <w:i/>
                <w:iCs/>
                <w:sz w:val="24"/>
                <w:szCs w:val="24"/>
                <w:lang w:val="en-GB" w:eastAsia="cs-CZ"/>
              </w:rPr>
              <w:t xml:space="preserve">, where the deposit is set at CZK 1, the deposit is significantly higher (partly because the project </w:t>
            </w:r>
            <w:r w:rsidRPr="00C67FEB" w:rsidR="003066C4">
              <w:rPr>
                <w:rFonts w:ascii="Times New Roman" w:eastAsia="Times New Roman" w:hAnsi="Times New Roman" w:cs="Times New Roman"/>
                <w:i/>
                <w:iCs/>
                <w:sz w:val="24"/>
                <w:szCs w:val="24"/>
                <w:lang w:val="en-GB" w:eastAsia="cs-CZ"/>
              </w:rPr>
              <w:t>cannot</w:t>
            </w:r>
            <w:r w:rsidRPr="00C67FEB">
              <w:rPr>
                <w:rFonts w:ascii="Times New Roman" w:eastAsia="Times New Roman" w:hAnsi="Times New Roman" w:cs="Times New Roman"/>
                <w:i/>
                <w:iCs/>
                <w:sz w:val="24"/>
                <w:szCs w:val="24"/>
                <w:lang w:val="en-GB" w:eastAsia="cs-CZ"/>
              </w:rPr>
              <w:t xml:space="preserve"> be actually started with CZK 1, and such a </w:t>
            </w:r>
            <w:r w:rsidRPr="00C67FEB">
              <w:rPr>
                <w:rFonts w:ascii="Times New Roman" w:eastAsia="Times New Roman" w:hAnsi="Times New Roman" w:cs="Times New Roman"/>
                <w:i/>
                <w:iCs/>
                <w:sz w:val="24"/>
                <w:szCs w:val="24"/>
                <w:lang w:val="en-GB" w:eastAsia="cs-CZ"/>
              </w:rPr>
              <w:t xml:space="preserve">company justifiably will not </w:t>
            </w:r>
            <w:r w:rsidRPr="00C67FEB" w:rsidR="003066C4">
              <w:rPr>
                <w:rFonts w:ascii="Times New Roman" w:eastAsia="Times New Roman" w:hAnsi="Times New Roman" w:cs="Times New Roman"/>
                <w:i/>
                <w:iCs/>
                <w:sz w:val="24"/>
                <w:szCs w:val="24"/>
                <w:lang w:val="en-GB" w:eastAsia="cs-CZ"/>
              </w:rPr>
              <w:t xml:space="preserve">be trusted by </w:t>
            </w:r>
            <w:r w:rsidRPr="00C67FEB">
              <w:rPr>
                <w:rFonts w:ascii="Times New Roman" w:eastAsia="Times New Roman" w:hAnsi="Times New Roman" w:cs="Times New Roman"/>
                <w:i/>
                <w:iCs/>
                <w:sz w:val="24"/>
                <w:szCs w:val="24"/>
                <w:lang w:val="en-GB" w:eastAsia="cs-CZ"/>
              </w:rPr>
              <w:t>the public). Further, according to Section 253 (1) of the C</w:t>
            </w:r>
            <w:r w:rsidRPr="00C67FEB" w:rsidR="003066C4">
              <w:rPr>
                <w:rFonts w:ascii="Times New Roman" w:eastAsia="Times New Roman" w:hAnsi="Times New Roman" w:cs="Times New Roman"/>
                <w:i/>
                <w:iCs/>
                <w:sz w:val="24"/>
                <w:szCs w:val="24"/>
                <w:lang w:val="en-GB" w:eastAsia="cs-CZ"/>
              </w:rPr>
              <w:t>orporations Act</w:t>
            </w:r>
            <w:r w:rsidRPr="00C67FEB">
              <w:rPr>
                <w:rFonts w:ascii="Times New Roman" w:eastAsia="Times New Roman" w:hAnsi="Times New Roman" w:cs="Times New Roman"/>
                <w:i/>
                <w:iCs/>
                <w:sz w:val="24"/>
                <w:szCs w:val="24"/>
                <w:lang w:val="en-GB" w:eastAsia="cs-CZ"/>
              </w:rPr>
              <w:t>, only 30% of the value of the subscribed shares is required for the effective establishment of a public limited company.</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500 thousand CZK.</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Cost of setting up a company. An amount between 100 and 500,000 CZK is adequate. These are the finances that the company only consumes during its establishment. The subsequent economy of the company will only be about actual performance</w:t>
            </w:r>
            <w:r w:rsidRPr="00C67FEB" w:rsidR="00FA15DD">
              <w:rPr>
                <w:rFonts w:ascii="Times New Roman" w:eastAsia="Times New Roman" w:hAnsi="Times New Roman" w:cs="Times New Roman"/>
                <w:i/>
                <w:iCs/>
                <w:sz w:val="24"/>
                <w:szCs w:val="24"/>
                <w:lang w:val="en-GB" w:eastAsia="cs-CZ"/>
              </w:rPr>
              <w:t xml:space="preserve"> of the company</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5:</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refer to the disagreement with the introduction of a simpler form of joint</w:t>
            </w:r>
            <w:r w:rsidRPr="00C67FEB" w:rsidR="00FA15DD">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stock company, although reserved </w:t>
            </w:r>
            <w:r w:rsidRPr="00C67FEB" w:rsidR="007E041E">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for start-ups. In addition, offering shares to the public without further understanding the risks may jeopardize </w:t>
            </w:r>
            <w:r w:rsidRPr="00C67FEB" w:rsidR="007E041E">
              <w:rPr>
                <w:rFonts w:ascii="Times New Roman" w:eastAsia="Times New Roman" w:hAnsi="Times New Roman" w:cs="Times New Roman"/>
                <w:i/>
                <w:iCs/>
                <w:sz w:val="24"/>
                <w:szCs w:val="24"/>
                <w:lang w:val="en-GB" w:eastAsia="cs-CZ"/>
              </w:rPr>
              <w:t>trust</w:t>
            </w:r>
            <w:r w:rsidRPr="00C67FEB">
              <w:rPr>
                <w:rFonts w:ascii="Times New Roman" w:eastAsia="Times New Roman" w:hAnsi="Times New Roman" w:cs="Times New Roman"/>
                <w:i/>
                <w:iCs/>
                <w:sz w:val="24"/>
                <w:szCs w:val="24"/>
                <w:lang w:val="en-GB" w:eastAsia="cs-CZ"/>
              </w:rPr>
              <w:t xml:space="preserve"> in the capital market if start-up shares are generally a high-risk investment. Please note that the CNB constantly strives to protect the retail public and therefore, under the mandate to ensure the safe functioning of the financial market, lays down rules for offering or restricting retail risk investment instruments (see general measures for </w:t>
            </w:r>
            <w:r w:rsidRPr="00C67FEB" w:rsidR="007E041E">
              <w:rPr>
                <w:rFonts w:ascii="Times New Roman" w:eastAsia="Times New Roman" w:hAnsi="Times New Roman" w:cs="Times New Roman"/>
                <w:i/>
                <w:iCs/>
                <w:sz w:val="24"/>
                <w:szCs w:val="24"/>
                <w:lang w:val="en-GB" w:eastAsia="cs-CZ"/>
              </w:rPr>
              <w:t>CFDs</w:t>
            </w:r>
            <w:r w:rsidRPr="00C67FEB">
              <w:rPr>
                <w:rFonts w:ascii="Times New Roman" w:eastAsia="Times New Roman" w:hAnsi="Times New Roman" w:cs="Times New Roman"/>
                <w:i/>
                <w:iCs/>
                <w:sz w:val="24"/>
                <w:szCs w:val="24"/>
                <w:lang w:val="en-GB" w:eastAsia="cs-CZ"/>
              </w:rPr>
              <w:t xml:space="preserve"> and binary options or supervisory benchmark for corporate bonds).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Negatively.</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It doesn't make sense to us. According to the accompanying text, we would assume that the intention of this company should be to reach for capital by means of a public subscription. So </w:t>
            </w:r>
            <w:r w:rsidRPr="00C67FEB" w:rsidR="007E041E">
              <w:rPr>
                <w:rFonts w:ascii="Times New Roman" w:eastAsia="Times New Roman" w:hAnsi="Times New Roman" w:cs="Times New Roman"/>
                <w:i/>
                <w:iCs/>
                <w:sz w:val="24"/>
                <w:szCs w:val="24"/>
                <w:lang w:val="en-GB" w:eastAsia="cs-CZ"/>
              </w:rPr>
              <w:t xml:space="preserve">that it would </w:t>
            </w:r>
            <w:r w:rsidRPr="00C67FEB">
              <w:rPr>
                <w:rFonts w:ascii="Times New Roman" w:eastAsia="Times New Roman" w:hAnsi="Times New Roman" w:cs="Times New Roman"/>
                <w:i/>
                <w:iCs/>
                <w:sz w:val="24"/>
                <w:szCs w:val="24"/>
                <w:lang w:val="en-GB" w:eastAsia="cs-CZ"/>
              </w:rPr>
              <w:t xml:space="preserve">make </w:t>
            </w:r>
            <w:r w:rsidRPr="00C67FEB" w:rsidR="007E041E">
              <w:rPr>
                <w:rFonts w:ascii="Times New Roman" w:eastAsia="Times New Roman" w:hAnsi="Times New Roman" w:cs="Times New Roman"/>
                <w:i/>
                <w:iCs/>
                <w:sz w:val="24"/>
                <w:szCs w:val="24"/>
                <w:lang w:val="en-GB" w:eastAsia="cs-CZ"/>
              </w:rPr>
              <w:t>Start-ups</w:t>
            </w:r>
            <w:r w:rsidRPr="00C67FEB">
              <w:rPr>
                <w:rFonts w:ascii="Times New Roman" w:eastAsia="Times New Roman" w:hAnsi="Times New Roman" w:cs="Times New Roman"/>
                <w:i/>
                <w:iCs/>
                <w:sz w:val="24"/>
                <w:szCs w:val="24"/>
                <w:lang w:val="en-GB" w:eastAsia="cs-CZ"/>
              </w:rPr>
              <w:t xml:space="preserve"> easier to get to finance. Non-public trading can now be carried out </w:t>
            </w:r>
            <w:r w:rsidRPr="00C67FEB" w:rsidR="007E041E">
              <w:rPr>
                <w:rFonts w:ascii="Times New Roman" w:eastAsia="Times New Roman" w:hAnsi="Times New Roman" w:cs="Times New Roman"/>
                <w:i/>
                <w:iCs/>
                <w:sz w:val="24"/>
                <w:szCs w:val="24"/>
                <w:lang w:val="en-GB" w:eastAsia="cs-CZ"/>
              </w:rPr>
              <w:t>by a limited liability company with issued common certificates.</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6:</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general, we do not agree with the simpler form of joint stock company at this stage.</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Maybe.</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Ad 7:</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are ready to do so, in the case of a small </w:t>
            </w:r>
            <w:r w:rsidRPr="00C67FEB" w:rsidR="007E041E">
              <w:rPr>
                <w:rFonts w:ascii="Times New Roman" w:eastAsia="Times New Roman" w:hAnsi="Times New Roman" w:cs="Times New Roman"/>
                <w:i/>
                <w:iCs/>
                <w:sz w:val="24"/>
                <w:szCs w:val="24"/>
                <w:lang w:val="en-GB" w:eastAsia="cs-CZ"/>
              </w:rPr>
              <w:t>registered capital</w:t>
            </w:r>
            <w:r w:rsidRPr="00C67FEB">
              <w:rPr>
                <w:rFonts w:ascii="Times New Roman" w:eastAsia="Times New Roman" w:hAnsi="Times New Roman" w:cs="Times New Roman"/>
                <w:i/>
                <w:iCs/>
                <w:sz w:val="24"/>
                <w:szCs w:val="24"/>
                <w:lang w:val="en-GB" w:eastAsia="cs-CZ"/>
              </w:rPr>
              <w:t>, the fees would be very low and registration in the CSD</w:t>
            </w:r>
            <w:r w:rsidRPr="00C67FEB" w:rsidR="007E041E">
              <w:rPr>
                <w:rFonts w:ascii="Times New Roman" w:eastAsia="Times New Roman" w:hAnsi="Times New Roman" w:cs="Times New Roman"/>
                <w:i/>
                <w:iCs/>
                <w:sz w:val="24"/>
                <w:szCs w:val="24"/>
                <w:lang w:val="en-GB" w:eastAsia="cs-CZ"/>
              </w:rPr>
              <w:t xml:space="preserve"> Prague</w:t>
            </w:r>
            <w:r w:rsidRPr="00C67FEB">
              <w:rPr>
                <w:rFonts w:ascii="Times New Roman" w:eastAsia="Times New Roman" w:hAnsi="Times New Roman" w:cs="Times New Roman"/>
                <w:i/>
                <w:iCs/>
                <w:sz w:val="24"/>
                <w:szCs w:val="24"/>
                <w:lang w:val="en-GB" w:eastAsia="cs-CZ"/>
              </w:rPr>
              <w:t xml:space="preserve"> would ensure transparency.</w:t>
            </w:r>
            <w:r w:rsidR="0087579E">
              <w:rPr>
                <w:rFonts w:ascii="Times New Roman" w:eastAsia="Times New Roman" w:hAnsi="Times New Roman" w:cs="Times New Roman"/>
                <w:i/>
                <w:iCs/>
                <w:sz w:val="24"/>
                <w:szCs w:val="24"/>
                <w:lang w:val="en-GB" w:eastAsia="cs-CZ"/>
              </w:rPr>
              <w:t xml:space="preserve">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Any simpler form of joint stock company should not reduce the transparency standards introduced in 2013. Without further detailed analysis, however, we generally disagree with the simpler form of joint stock company.</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It's restrictive.</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7E041E">
              <w:rPr>
                <w:rFonts w:ascii="Times New Roman" w:eastAsia="Times New Roman" w:hAnsi="Times New Roman" w:cs="Times New Roman"/>
                <w:b/>
                <w:bCs/>
                <w:sz w:val="24"/>
                <w:szCs w:val="24"/>
                <w:lang w:val="en-GB" w:eastAsia="cs-CZ"/>
              </w:rPr>
              <w:t>operator</w:t>
            </w:r>
            <w:r w:rsidRPr="003B03B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Okay. Make them always known owners. It will dispel any suspicions and will not be misused by such companies to mislead or conceal assets.</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3B03B1" w:rsidP="0087579E">
            <w:pPr>
              <w:pStyle w:val="Heading1"/>
              <w:keepLines w:val="0"/>
              <w:jc w:val="center"/>
              <w:rPr>
                <w:rFonts w:ascii="Times New Roman" w:hAnsi="Times New Roman" w:cs="Times New Roman"/>
                <w:b/>
                <w:bCs/>
                <w:color w:val="000000" w:themeColor="text1"/>
                <w:sz w:val="24"/>
                <w:szCs w:val="24"/>
                <w:bdr w:val="single" w:sz="4" w:space="0" w:color="auto"/>
                <w:lang w:val="en-GB" w:eastAsia="cs-CZ"/>
              </w:rPr>
            </w:pPr>
            <w:bookmarkStart w:id="50" w:name="_Toc36479375"/>
            <w:bookmarkStart w:id="51" w:name="_Toc38555309"/>
            <w:r w:rsidRPr="003B03B1">
              <w:rPr>
                <w:rFonts w:ascii="Times New Roman" w:hAnsi="Times New Roman" w:cs="Times New Roman"/>
                <w:b/>
                <w:bCs/>
                <w:color w:val="000000" w:themeColor="text1"/>
                <w:sz w:val="24"/>
                <w:szCs w:val="24"/>
                <w:bdr w:val="single" w:sz="4" w:space="0" w:color="auto"/>
                <w:lang w:val="en-GB" w:eastAsia="cs-CZ"/>
              </w:rPr>
              <w:t>2.</w:t>
            </w:r>
            <w:r w:rsidRPr="003B03B1">
              <w:rPr>
                <w:rFonts w:ascii="Times New Roman" w:hAnsi="Times New Roman" w:cs="Times New Roman"/>
                <w:b/>
                <w:bCs/>
                <w:color w:val="000000" w:themeColor="text1"/>
                <w:sz w:val="24"/>
                <w:szCs w:val="24"/>
                <w:bdr w:val="single" w:sz="4" w:space="0" w:color="auto"/>
                <w:lang w:val="en-GB" w:eastAsia="cs-CZ"/>
              </w:rPr>
              <w:t xml:space="preserve">3 </w:t>
            </w:r>
            <w:r w:rsidRPr="003B03B1">
              <w:rPr>
                <w:rFonts w:ascii="Times New Roman" w:hAnsi="Times New Roman" w:cs="Times New Roman"/>
                <w:b/>
                <w:bCs/>
                <w:color w:val="000000" w:themeColor="text1"/>
                <w:sz w:val="24"/>
                <w:szCs w:val="24"/>
                <w:bdr w:val="single" w:sz="4" w:space="0" w:color="auto"/>
                <w:lang w:val="en-GB" w:eastAsia="cs-CZ"/>
              </w:rPr>
              <w:t>Self-certification of</w:t>
            </w:r>
            <w:r w:rsidRPr="003B03B1">
              <w:rPr>
                <w:rFonts w:ascii="Times New Roman" w:hAnsi="Times New Roman" w:cs="Times New Roman"/>
                <w:b/>
                <w:bCs/>
                <w:color w:val="000000" w:themeColor="text1"/>
                <w:sz w:val="24"/>
                <w:szCs w:val="24"/>
                <w:bdr w:val="single" w:sz="4" w:space="0" w:color="auto"/>
                <w:lang w:val="en-GB" w:eastAsia="cs-CZ"/>
              </w:rPr>
              <w:t xml:space="preserve"> wealthy investors (potential business angels)</w:t>
            </w:r>
            <w:bookmarkEnd w:id="50"/>
            <w:bookmarkEnd w:id="51"/>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3B03B1">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represent an important capital market financing option for start-ups, which often have financing problems and, due to their </w:t>
            </w:r>
            <w:r w:rsidRPr="00C67FEB" w:rsidR="00AA10CD">
              <w:rPr>
                <w:rFonts w:ascii="Times New Roman" w:eastAsia="Times New Roman" w:hAnsi="Times New Roman" w:cs="Times New Roman"/>
                <w:sz w:val="24"/>
                <w:szCs w:val="24"/>
                <w:lang w:val="en-GB" w:eastAsia="cs-CZ"/>
              </w:rPr>
              <w:t>high-risk</w:t>
            </w:r>
            <w:r w:rsidRPr="00C67FEB">
              <w:rPr>
                <w:rFonts w:ascii="Times New Roman" w:eastAsia="Times New Roman" w:hAnsi="Times New Roman" w:cs="Times New Roman"/>
                <w:sz w:val="24"/>
                <w:szCs w:val="24"/>
                <w:lang w:val="en-GB" w:eastAsia="cs-CZ"/>
              </w:rPr>
              <w:t xml:space="preserve"> profile, are not suitable for bank loans or for retail</w:t>
            </w:r>
            <w:r w:rsidRPr="00C67FEB" w:rsidR="00AA10CD">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oriented investment funds.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are usually former entrepreneurs themselves, providing start-up entrepreneurs with </w:t>
            </w:r>
            <w:r w:rsidRPr="00C67FEB">
              <w:rPr>
                <w:rFonts w:ascii="Times New Roman" w:eastAsia="Times New Roman" w:hAnsi="Times New Roman" w:cs="Times New Roman"/>
                <w:i/>
                <w:iCs/>
                <w:sz w:val="24"/>
                <w:szCs w:val="24"/>
                <w:lang w:val="en-GB" w:eastAsia="cs-CZ"/>
              </w:rPr>
              <w:t xml:space="preserve">smart money </w:t>
            </w:r>
            <w:r w:rsidRPr="00C67FEB">
              <w:rPr>
                <w:rFonts w:ascii="Times New Roman" w:eastAsia="Times New Roman" w:hAnsi="Times New Roman" w:cs="Times New Roman"/>
                <w:sz w:val="24"/>
                <w:szCs w:val="24"/>
                <w:lang w:val="en-GB" w:eastAsia="cs-CZ"/>
              </w:rPr>
              <w:t>in</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addition to finance and </w:t>
            </w:r>
            <w:r w:rsidRPr="00C67FEB" w:rsidR="00AA10CD">
              <w:rPr>
                <w:rFonts w:ascii="Times New Roman" w:eastAsia="Times New Roman" w:hAnsi="Times New Roman" w:cs="Times New Roman"/>
                <w:sz w:val="24"/>
                <w:szCs w:val="24"/>
                <w:lang w:val="en-GB" w:eastAsia="cs-CZ"/>
              </w:rPr>
              <w:t>are benefitting</w:t>
            </w:r>
            <w:r w:rsidRPr="00C67FEB">
              <w:rPr>
                <w:rFonts w:ascii="Times New Roman" w:eastAsia="Times New Roman" w:hAnsi="Times New Roman" w:cs="Times New Roman"/>
                <w:sz w:val="24"/>
                <w:szCs w:val="24"/>
                <w:lang w:val="en-GB" w:eastAsia="cs-CZ"/>
              </w:rPr>
              <w:t xml:space="preserve"> from their advice, observations, knowledge and contacts. This non-financial assistance is particularly important at the earliest stages of development, when management is incomplete and usually inexperienced. The current legislation does not define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in</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any way and their existence </w:t>
            </w:r>
            <w:r w:rsidRPr="00C67FEB" w:rsidR="00AA10CD">
              <w:rPr>
                <w:rFonts w:ascii="Times New Roman" w:eastAsia="Times New Roman" w:hAnsi="Times New Roman" w:cs="Times New Roman"/>
                <w:sz w:val="24"/>
                <w:szCs w:val="24"/>
                <w:lang w:val="en-GB" w:eastAsia="cs-CZ"/>
              </w:rPr>
              <w:t>not regulated</w:t>
            </w:r>
            <w:r w:rsidRPr="00C67FEB">
              <w:rPr>
                <w:rFonts w:ascii="Times New Roman" w:eastAsia="Times New Roman" w:hAnsi="Times New Roman" w:cs="Times New Roman"/>
                <w:sz w:val="24"/>
                <w:szCs w:val="24"/>
                <w:lang w:val="en-GB" w:eastAsia="cs-CZ"/>
              </w:rPr>
              <w:t>, nor are the conditions for their investment.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issue of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in the Czech Republic is dealt with </w:t>
            </w:r>
            <w:r w:rsidRPr="00C67FEB" w:rsidR="00AA10CD">
              <w:rPr>
                <w:rFonts w:ascii="Times New Roman" w:eastAsia="Times New Roman" w:hAnsi="Times New Roman" w:cs="Times New Roman"/>
                <w:sz w:val="24"/>
                <w:szCs w:val="24"/>
                <w:lang w:val="en-GB" w:eastAsia="cs-CZ"/>
              </w:rPr>
              <w:t xml:space="preserve">in </w:t>
            </w:r>
            <w:r w:rsidRPr="00C67FEB">
              <w:rPr>
                <w:rFonts w:ascii="Times New Roman" w:eastAsia="Times New Roman" w:hAnsi="Times New Roman" w:cs="Times New Roman"/>
                <w:sz w:val="24"/>
                <w:szCs w:val="24"/>
                <w:lang w:val="en-GB" w:eastAsia="cs-CZ"/>
              </w:rPr>
              <w:t>the World Bank study “</w:t>
            </w:r>
            <w:r w:rsidRPr="00C67FEB">
              <w:rPr>
                <w:rFonts w:ascii="Times New Roman" w:eastAsia="Times New Roman" w:hAnsi="Times New Roman" w:cs="Times New Roman"/>
                <w:i/>
                <w:iCs/>
                <w:sz w:val="24"/>
                <w:szCs w:val="24"/>
                <w:lang w:val="en-GB" w:eastAsia="cs-CZ"/>
              </w:rPr>
              <w:t>Stimulating Business Angels in the Czech Republic</w:t>
            </w:r>
            <w:r w:rsidRPr="00C67FEB">
              <w:rPr>
                <w:rFonts w:ascii="Times New Roman" w:eastAsia="Times New Roman" w:hAnsi="Times New Roman" w:cs="Times New Roman"/>
                <w:sz w:val="24"/>
                <w:szCs w:val="24"/>
                <w:lang w:val="en-GB" w:eastAsia="cs-CZ"/>
              </w:rPr>
              <w:t xml:space="preserve">”, which maps the local environment of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and formulates recommendations for its further development. From the perspective of the regulatory environment, the World Bank </w:t>
            </w:r>
            <w:r w:rsidRPr="00C67FEB" w:rsidR="00AA10CD">
              <w:rPr>
                <w:rFonts w:ascii="Times New Roman" w:eastAsia="Times New Roman" w:hAnsi="Times New Roman" w:cs="Times New Roman"/>
                <w:sz w:val="24"/>
                <w:szCs w:val="24"/>
                <w:lang w:val="en-GB" w:eastAsia="cs-CZ"/>
              </w:rPr>
              <w:t xml:space="preserve">sees </w:t>
            </w:r>
            <w:r w:rsidRPr="00C67FEB">
              <w:rPr>
                <w:rFonts w:ascii="Times New Roman" w:eastAsia="Times New Roman" w:hAnsi="Times New Roman" w:cs="Times New Roman"/>
                <w:sz w:val="24"/>
                <w:szCs w:val="24"/>
                <w:lang w:val="en-GB" w:eastAsia="cs-CZ"/>
              </w:rPr>
              <w:t xml:space="preserve">as essential to the current and future legislation </w:t>
            </w:r>
            <w:r w:rsidRPr="00C67FEB" w:rsidR="00AA10CD">
              <w:rPr>
                <w:rFonts w:ascii="Times New Roman" w:eastAsia="Times New Roman" w:hAnsi="Times New Roman" w:cs="Times New Roman"/>
                <w:sz w:val="24"/>
                <w:szCs w:val="24"/>
                <w:lang w:val="en-GB" w:eastAsia="cs-CZ"/>
              </w:rPr>
              <w:t xml:space="preserve">that it </w:t>
            </w:r>
            <w:r w:rsidRPr="00C67FEB">
              <w:rPr>
                <w:rFonts w:ascii="Times New Roman" w:eastAsia="Times New Roman" w:hAnsi="Times New Roman" w:cs="Times New Roman"/>
                <w:sz w:val="24"/>
                <w:szCs w:val="24"/>
                <w:lang w:val="en-GB" w:eastAsia="cs-CZ"/>
              </w:rPr>
              <w:t>does not constitute a barrier to investment by</w:t>
            </w:r>
            <w:r w:rsidRPr="00C67FEB">
              <w:rPr>
                <w:rFonts w:ascii="Times New Roman" w:eastAsia="Times New Roman" w:hAnsi="Times New Roman" w:cs="Times New Roman"/>
                <w:i/>
                <w:iCs/>
                <w:sz w:val="24"/>
                <w:szCs w:val="24"/>
                <w:lang w:val="en-GB" w:eastAsia="cs-CZ"/>
              </w:rPr>
              <w:t xml:space="preserve"> business angels </w:t>
            </w:r>
            <w:r w:rsidRPr="00C67FEB">
              <w:rPr>
                <w:rFonts w:ascii="Times New Roman" w:eastAsia="Times New Roman" w:hAnsi="Times New Roman" w:cs="Times New Roman"/>
                <w:sz w:val="24"/>
                <w:szCs w:val="24"/>
                <w:lang w:val="en-GB" w:eastAsia="cs-CZ"/>
              </w:rPr>
              <w:t>in start-up companies, and in cases where it is not possible to remove them</w:t>
            </w:r>
            <w:r w:rsidRPr="00C67FEB" w:rsidR="00AA10CD">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minimize their negative impact, </w:t>
            </w:r>
            <w:r w:rsidRPr="00C67FEB" w:rsidR="00AA10CD">
              <w:rPr>
                <w:rFonts w:ascii="Times New Roman" w:eastAsia="Times New Roman" w:hAnsi="Times New Roman" w:cs="Times New Roman"/>
                <w:sz w:val="24"/>
                <w:szCs w:val="24"/>
                <w:lang w:val="en-GB" w:eastAsia="cs-CZ"/>
              </w:rPr>
              <w:t>or make possibility</w:t>
            </w:r>
            <w:r w:rsidRPr="00C67FEB">
              <w:rPr>
                <w:rFonts w:ascii="Times New Roman" w:eastAsia="Times New Roman" w:hAnsi="Times New Roman" w:cs="Times New Roman"/>
                <w:sz w:val="24"/>
                <w:szCs w:val="24"/>
                <w:lang w:val="en-GB" w:eastAsia="cs-CZ"/>
              </w:rPr>
              <w:t xml:space="preserve"> to grant an exemption for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who meet certain minimum criteria. These individuals would then refer to themselves as certified </w:t>
            </w:r>
            <w:r w:rsidRPr="00C67FEB">
              <w:rPr>
                <w:rFonts w:ascii="Times New Roman" w:eastAsia="Times New Roman" w:hAnsi="Times New Roman" w:cs="Times New Roman"/>
                <w:i/>
                <w:iCs/>
                <w:sz w:val="24"/>
                <w:szCs w:val="24"/>
                <w:lang w:val="en-GB" w:eastAsia="cs-CZ"/>
              </w:rPr>
              <w:t>business angels</w:t>
            </w:r>
            <w:r w:rsidRPr="00C67FEB">
              <w:rPr>
                <w:rFonts w:ascii="Times New Roman" w:eastAsia="Times New Roman" w:hAnsi="Times New Roman" w:cs="Times New Roman"/>
                <w:sz w:val="24"/>
                <w:szCs w:val="24"/>
                <w:lang w:val="en-GB" w:eastAsia="cs-CZ"/>
              </w:rPr>
              <w: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World Bank specifically suggests so</w:t>
            </w:r>
            <w:r w:rsidRPr="00C67FEB" w:rsidR="00AA10CD">
              <w:rPr>
                <w:rFonts w:ascii="Times New Roman" w:eastAsia="Times New Roman" w:hAnsi="Times New Roman" w:cs="Times New Roman"/>
                <w:sz w:val="24"/>
                <w:szCs w:val="24"/>
                <w:lang w:val="en-GB" w:eastAsia="cs-CZ"/>
              </w:rPr>
              <w:t>-called</w:t>
            </w:r>
            <w:r w:rsidRPr="00C67FEB">
              <w:rPr>
                <w:rFonts w:ascii="Times New Roman" w:eastAsia="Times New Roman" w:hAnsi="Times New Roman" w:cs="Times New Roman"/>
                <w:sz w:val="24"/>
                <w:szCs w:val="24"/>
                <w:lang w:val="en-GB" w:eastAsia="cs-CZ"/>
              </w:rPr>
              <w:t xml:space="preserve"> </w:t>
            </w:r>
            <w:r w:rsidRPr="00C67FEB" w:rsidR="00AA10CD">
              <w:rPr>
                <w:rFonts w:ascii="Times New Roman" w:eastAsia="Times New Roman" w:hAnsi="Times New Roman" w:cs="Times New Roman"/>
                <w:sz w:val="24"/>
                <w:szCs w:val="24"/>
                <w:lang w:val="en-GB" w:eastAsia="cs-CZ"/>
              </w:rPr>
              <w:t>self-certification</w:t>
            </w:r>
            <w:r w:rsidRPr="00C67FEB">
              <w:rPr>
                <w:rFonts w:ascii="Times New Roman" w:eastAsia="Times New Roman" w:hAnsi="Times New Roman" w:cs="Times New Roman"/>
                <w:sz w:val="24"/>
                <w:szCs w:val="24"/>
                <w:lang w:val="en-GB" w:eastAsia="cs-CZ"/>
              </w:rPr>
              <w:t xml:space="preserve"> </w:t>
            </w:r>
            <w:r w:rsidRPr="00C67FEB" w:rsidR="00AA10CD">
              <w:rPr>
                <w:rFonts w:ascii="Times New Roman" w:eastAsia="Times New Roman" w:hAnsi="Times New Roman" w:cs="Times New Roman"/>
                <w:sz w:val="24"/>
                <w:szCs w:val="24"/>
                <w:lang w:val="en-GB" w:eastAsia="cs-CZ"/>
              </w:rPr>
              <w:t>i.e.</w:t>
            </w:r>
            <w:r w:rsidRPr="00C67FEB">
              <w:rPr>
                <w:rFonts w:ascii="Times New Roman" w:eastAsia="Times New Roman" w:hAnsi="Times New Roman" w:cs="Times New Roman"/>
                <w:sz w:val="24"/>
                <w:szCs w:val="24"/>
                <w:lang w:val="en-GB" w:eastAsia="cs-CZ"/>
              </w:rPr>
              <w:t xml:space="preserve"> The accreditation consisting in obtaining a certain status that would </w:t>
            </w:r>
            <w:r w:rsidRPr="00C67FEB" w:rsidR="00AA10CD">
              <w:rPr>
                <w:rFonts w:ascii="Times New Roman" w:eastAsia="Times New Roman" w:hAnsi="Times New Roman" w:cs="Times New Roman"/>
                <w:sz w:val="24"/>
                <w:szCs w:val="24"/>
                <w:lang w:val="en-GB" w:eastAsia="cs-CZ"/>
              </w:rPr>
              <w:t>testify</w:t>
            </w:r>
            <w:r w:rsidRPr="00C67FEB">
              <w:rPr>
                <w:rFonts w:ascii="Times New Roman" w:eastAsia="Times New Roman" w:hAnsi="Times New Roman" w:cs="Times New Roman"/>
                <w:sz w:val="24"/>
                <w:szCs w:val="24"/>
                <w:lang w:val="en-GB" w:eastAsia="cs-CZ"/>
              </w:rPr>
              <w:t xml:space="preserve"> that this investor has a certain wealth and experience and is thus a kind of qualified investor, while as indicated by marking </w:t>
            </w:r>
            <w:r w:rsidRPr="00C67FEB" w:rsidR="00AA10CD">
              <w:rPr>
                <w:rFonts w:ascii="Times New Roman" w:eastAsia="Times New Roman" w:hAnsi="Times New Roman" w:cs="Times New Roman"/>
                <w:sz w:val="24"/>
                <w:szCs w:val="24"/>
                <w:lang w:val="en-GB" w:eastAsia="cs-CZ"/>
              </w:rPr>
              <w:t>self-certification in</w:t>
            </w:r>
            <w:r w:rsidRPr="00C67FEB">
              <w:rPr>
                <w:rFonts w:ascii="Times New Roman" w:eastAsia="Times New Roman" w:hAnsi="Times New Roman" w:cs="Times New Roman"/>
                <w:sz w:val="24"/>
                <w:szCs w:val="24"/>
                <w:lang w:val="en-GB" w:eastAsia="cs-CZ"/>
              </w:rPr>
              <w:t xml:space="preserve"> the recommendations of the World Bank, to obtain this designation the decision of any authority</w:t>
            </w:r>
            <w:r w:rsidRPr="00C67FEB" w:rsidR="004504B7">
              <w:rPr>
                <w:rFonts w:ascii="Times New Roman" w:eastAsia="Times New Roman" w:hAnsi="Times New Roman" w:cs="Times New Roman"/>
                <w:sz w:val="24"/>
                <w:szCs w:val="24"/>
                <w:lang w:val="en-GB" w:eastAsia="cs-CZ"/>
              </w:rPr>
              <w:t xml:space="preserve"> would not be required</w:t>
            </w:r>
            <w:r w:rsidRPr="00C67FEB">
              <w:rPr>
                <w:rFonts w:ascii="Times New Roman" w:eastAsia="Times New Roman" w:hAnsi="Times New Roman" w:cs="Times New Roman"/>
                <w:sz w:val="24"/>
                <w:szCs w:val="24"/>
                <w:lang w:val="en-GB" w:eastAsia="cs-CZ"/>
              </w:rPr>
              <w:t xml:space="preserve">. The status of certified </w:t>
            </w:r>
            <w:r w:rsidRPr="00C67FEB">
              <w:rPr>
                <w:rFonts w:ascii="Times New Roman" w:eastAsia="Times New Roman" w:hAnsi="Times New Roman" w:cs="Times New Roman"/>
                <w:i/>
                <w:iCs/>
                <w:sz w:val="24"/>
                <w:szCs w:val="24"/>
                <w:lang w:val="en-GB" w:eastAsia="cs-CZ"/>
              </w:rPr>
              <w:t xml:space="preserve">business angel </w:t>
            </w:r>
            <w:r w:rsidRPr="00C67FEB">
              <w:rPr>
                <w:rFonts w:ascii="Times New Roman" w:eastAsia="Times New Roman" w:hAnsi="Times New Roman" w:cs="Times New Roman"/>
                <w:sz w:val="24"/>
                <w:szCs w:val="24"/>
                <w:lang w:val="en-GB" w:eastAsia="cs-CZ"/>
              </w:rPr>
              <w:t xml:space="preserve">would entail exemption from any restrictions on the acceptance of investment offers and consequently self-certification would de facto waive the protection of a small investor. In this context, analogy to the statement of risk acceptance pursuant to </w:t>
            </w:r>
            <w:r w:rsidRPr="00C67FEB" w:rsidR="004504B7">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272 </w:t>
            </w:r>
            <w:r w:rsidRPr="00C67FEB" w:rsidR="004504B7">
              <w:rPr>
                <w:rFonts w:ascii="Times New Roman" w:eastAsia="Times New Roman" w:hAnsi="Times New Roman" w:cs="Times New Roman"/>
                <w:sz w:val="24"/>
                <w:szCs w:val="24"/>
                <w:lang w:val="en-GB" w:eastAsia="cs-CZ"/>
              </w:rPr>
              <w:t>(3)(h) or (</w:t>
            </w:r>
            <w:r w:rsidRPr="00C67FEB" w:rsidR="004504B7">
              <w:rPr>
                <w:rFonts w:ascii="Times New Roman" w:eastAsia="Times New Roman" w:hAnsi="Times New Roman" w:cs="Times New Roman"/>
                <w:sz w:val="24"/>
                <w:szCs w:val="24"/>
                <w:lang w:val="en-GB" w:eastAsia="cs-CZ"/>
              </w:rPr>
              <w:t>i</w:t>
            </w:r>
            <w:r w:rsidRPr="00C67FEB" w:rsidR="004504B7">
              <w:rPr>
                <w:rFonts w:ascii="Times New Roman" w:eastAsia="Times New Roman" w:hAnsi="Times New Roman" w:cs="Times New Roman"/>
                <w:sz w:val="24"/>
                <w:szCs w:val="24"/>
                <w:lang w:val="en-GB" w:eastAsia="cs-CZ"/>
              </w:rPr>
              <w:t>) of the Management Companies and Investment Funds Act</w:t>
            </w:r>
            <w:r w:rsidRPr="00C67FEB">
              <w:rPr>
                <w:rFonts w:ascii="Times New Roman" w:eastAsia="Times New Roman" w:hAnsi="Times New Roman" w:cs="Times New Roman"/>
                <w:sz w:val="24"/>
                <w:szCs w:val="24"/>
                <w:lang w:val="en-GB" w:eastAsia="cs-CZ"/>
              </w:rPr>
              <w:t xml:space="preserve"> and the potential extension of the application of this provision to </w:t>
            </w:r>
            <w:r w:rsidRPr="00C67FEB">
              <w:rPr>
                <w:rFonts w:ascii="Times New Roman" w:eastAsia="Times New Roman" w:hAnsi="Times New Roman" w:cs="Times New Roman"/>
                <w:i/>
                <w:iCs/>
                <w:sz w:val="24"/>
                <w:szCs w:val="24"/>
                <w:lang w:val="en-GB" w:eastAsia="cs-CZ"/>
              </w:rPr>
              <w:t>business angels</w:t>
            </w:r>
            <w:r w:rsidRPr="00C67FEB">
              <w:rPr>
                <w:rFonts w:ascii="Times New Roman" w:eastAsia="Times New Roman" w:hAnsi="Times New Roman" w:cs="Times New Roman"/>
                <w:sz w:val="24"/>
                <w:szCs w:val="24"/>
                <w:lang w:val="en-GB" w:eastAsia="cs-CZ"/>
              </w:rPr>
              <w:t>, whereby an investment of that amount would have to be made at least once, but not on a case-by-case basis.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 similar arrangement has been found in the UK since 2000 under the </w:t>
            </w:r>
            <w:r w:rsidRPr="00C67FEB" w:rsidR="004504B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i/>
                <w:iCs/>
                <w:sz w:val="24"/>
                <w:szCs w:val="24"/>
                <w:lang w:val="en-GB" w:eastAsia="cs-CZ"/>
              </w:rPr>
              <w:t>Financial Services and Markets Act 2000</w:t>
            </w:r>
            <w:r w:rsidRPr="00C67FEB" w:rsidR="004504B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sz w:val="24"/>
                <w:szCs w:val="24"/>
                <w:lang w:val="en-GB" w:eastAsia="cs-CZ"/>
              </w:rPr>
              <w:t xml:space="preserve"> when, when proving certain conditions or declarations of compliance, a potential </w:t>
            </w:r>
            <w:r w:rsidRPr="00C67FEB">
              <w:rPr>
                <w:rFonts w:ascii="Times New Roman" w:eastAsia="Times New Roman" w:hAnsi="Times New Roman" w:cs="Times New Roman"/>
                <w:i/>
                <w:iCs/>
                <w:sz w:val="24"/>
                <w:szCs w:val="24"/>
                <w:lang w:val="en-GB" w:eastAsia="cs-CZ"/>
              </w:rPr>
              <w:t xml:space="preserve">business angel </w:t>
            </w:r>
            <w:r w:rsidRPr="00C67FEB">
              <w:rPr>
                <w:rFonts w:ascii="Times New Roman" w:eastAsia="Times New Roman" w:hAnsi="Times New Roman" w:cs="Times New Roman"/>
                <w:sz w:val="24"/>
                <w:szCs w:val="24"/>
                <w:lang w:val="en-GB" w:eastAsia="cs-CZ"/>
              </w:rPr>
              <w:t xml:space="preserve">gains the status of </w:t>
            </w:r>
            <w:r w:rsidRPr="00C67FEB" w:rsidR="004504B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i/>
                <w:iCs/>
                <w:sz w:val="24"/>
                <w:szCs w:val="24"/>
                <w:lang w:val="en-GB" w:eastAsia="cs-CZ"/>
              </w:rPr>
              <w:t>high net worth individual</w:t>
            </w:r>
            <w:r w:rsidRPr="00C67FEB" w:rsidR="004504B7">
              <w:rPr>
                <w:rFonts w:ascii="Times New Roman" w:eastAsia="Times New Roman" w:hAnsi="Times New Roman" w:cs="Times New Roman"/>
                <w:sz w:val="24"/>
                <w:szCs w:val="24"/>
                <w:lang w:val="en-GB" w:eastAsia="cs-CZ"/>
              </w:rPr>
              <w:t xml:space="preserve">” (signing declaration </w:t>
            </w:r>
            <w:r w:rsidRPr="00C67FEB" w:rsidR="004504B7">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minimum</w:t>
            </w:r>
            <w:r w:rsidRPr="00C67FEB">
              <w:rPr>
                <w:rFonts w:ascii="Times New Roman" w:eastAsia="Times New Roman" w:hAnsi="Times New Roman" w:cs="Times New Roman"/>
                <w:sz w:val="24"/>
                <w:szCs w:val="24"/>
                <w:lang w:val="en-GB" w:eastAsia="cs-CZ"/>
              </w:rPr>
              <w:t xml:space="preserve"> income / net assets) or </w:t>
            </w:r>
            <w:r w:rsidRPr="00C67FEB" w:rsidR="004504B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i/>
                <w:iCs/>
                <w:sz w:val="24"/>
                <w:szCs w:val="24"/>
                <w:lang w:val="en-GB" w:eastAsia="cs-CZ"/>
              </w:rPr>
              <w:t>sophisticated investor</w:t>
            </w:r>
            <w:r w:rsidRPr="00C67FEB" w:rsidR="004504B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sz w:val="24"/>
                <w:szCs w:val="24"/>
                <w:lang w:val="en-GB" w:eastAsia="cs-CZ"/>
              </w:rPr>
              <w:t xml:space="preserve"> (signing a risk acceptance statement annually) and subsequently </w:t>
            </w:r>
            <w:r w:rsidRPr="00C67FEB" w:rsidR="004504B7">
              <w:rPr>
                <w:rFonts w:ascii="Times New Roman" w:eastAsia="Times New Roman" w:hAnsi="Times New Roman" w:cs="Times New Roman"/>
                <w:sz w:val="24"/>
                <w:szCs w:val="24"/>
                <w:lang w:val="en-GB" w:eastAsia="cs-CZ"/>
              </w:rPr>
              <w:t xml:space="preserve">is </w:t>
            </w:r>
            <w:r w:rsidRPr="00C67FEB">
              <w:rPr>
                <w:rFonts w:ascii="Times New Roman" w:eastAsia="Times New Roman" w:hAnsi="Times New Roman" w:cs="Times New Roman"/>
                <w:sz w:val="24"/>
                <w:szCs w:val="24"/>
                <w:lang w:val="en-GB" w:eastAsia="cs-CZ"/>
              </w:rPr>
              <w:t>not subject to any legal restrictions of a protective nature related to the acceptance of investment offers.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 the UK it is further stated that unless it falls within an individual into the above categories (</w:t>
            </w:r>
            <w:r w:rsidRPr="00C67FEB">
              <w:rPr>
                <w:rFonts w:ascii="Times New Roman" w:eastAsia="Times New Roman" w:hAnsi="Times New Roman" w:cs="Times New Roman"/>
                <w:i/>
                <w:iCs/>
                <w:sz w:val="24"/>
                <w:szCs w:val="24"/>
                <w:lang w:val="en-GB" w:eastAsia="cs-CZ"/>
              </w:rPr>
              <w:t xml:space="preserve">high net worth </w:t>
            </w:r>
            <w:r w:rsidRPr="00C67FEB" w:rsidR="004504B7">
              <w:rPr>
                <w:rFonts w:ascii="Times New Roman" w:eastAsia="Times New Roman" w:hAnsi="Times New Roman" w:cs="Times New Roman"/>
                <w:i/>
                <w:iCs/>
                <w:sz w:val="24"/>
                <w:szCs w:val="24"/>
                <w:lang w:val="en-GB" w:eastAsia="cs-CZ"/>
              </w:rPr>
              <w:t>i</w:t>
            </w:r>
            <w:r w:rsidRPr="00C67FEB">
              <w:rPr>
                <w:rFonts w:ascii="Times New Roman" w:eastAsia="Times New Roman" w:hAnsi="Times New Roman" w:cs="Times New Roman"/>
                <w:i/>
                <w:iCs/>
                <w:sz w:val="24"/>
                <w:szCs w:val="24"/>
                <w:lang w:val="en-GB" w:eastAsia="cs-CZ"/>
              </w:rPr>
              <w:t xml:space="preserve">ndividual </w:t>
            </w:r>
            <w:r w:rsidRPr="00C67FEB">
              <w:rPr>
                <w:rFonts w:ascii="Times New Roman" w:eastAsia="Times New Roman" w:hAnsi="Times New Roman" w:cs="Times New Roman"/>
                <w:sz w:val="24"/>
                <w:szCs w:val="24"/>
                <w:lang w:val="en-GB" w:eastAsia="cs-CZ"/>
              </w:rPr>
              <w:t>or</w:t>
            </w:r>
            <w:r w:rsidRPr="00C67FEB" w:rsidR="004504B7">
              <w:rPr>
                <w:rFonts w:ascii="Times New Roman" w:eastAsia="Times New Roman" w:hAnsi="Times New Roman" w:cs="Times New Roman"/>
                <w:sz w:val="24"/>
                <w:szCs w:val="24"/>
                <w:lang w:val="en-GB" w:eastAsia="cs-CZ"/>
              </w:rPr>
              <w:t xml:space="preserve"> </w:t>
            </w:r>
            <w:r w:rsidRPr="00C67FEB" w:rsidR="004504B7">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ophisticated investor</w:t>
            </w:r>
            <w:r w:rsidRPr="00C67FEB">
              <w:rPr>
                <w:rFonts w:ascii="Times New Roman" w:eastAsia="Times New Roman" w:hAnsi="Times New Roman" w:cs="Times New Roman"/>
                <w:sz w:val="24"/>
                <w:szCs w:val="24"/>
                <w:lang w:val="en-GB" w:eastAsia="cs-CZ"/>
              </w:rPr>
              <w:t xml:space="preserve">) regimen called </w:t>
            </w:r>
            <w:r w:rsidRPr="00C67FEB" w:rsidR="004504B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i/>
                <w:iCs/>
                <w:sz w:val="24"/>
                <w:szCs w:val="24"/>
                <w:lang w:val="en-GB" w:eastAsia="cs-CZ"/>
              </w:rPr>
              <w:t>restricted investor</w:t>
            </w:r>
            <w:r w:rsidRPr="00C67FEB" w:rsidR="004504B7">
              <w:rPr>
                <w:rFonts w:ascii="Times New Roman" w:eastAsia="Times New Roman" w:hAnsi="Times New Roman" w:cs="Times New Roman"/>
                <w:i/>
                <w:iCs/>
                <w:sz w:val="24"/>
                <w:szCs w:val="24"/>
                <w:lang w:val="en-GB" w:eastAsia="cs-CZ"/>
              </w:rPr>
              <w:t>”</w:t>
            </w:r>
            <w:r w:rsidRPr="00C67FEB" w:rsidR="004504B7">
              <w:rPr>
                <w:rFonts w:ascii="Times New Roman" w:eastAsia="Times New Roman" w:hAnsi="Times New Roman" w:cs="Times New Roman"/>
                <w:sz w:val="24"/>
                <w:szCs w:val="24"/>
                <w:lang w:val="en-GB" w:eastAsia="cs-CZ"/>
              </w:rPr>
              <w:t xml:space="preserve"> will </w:t>
            </w:r>
            <w:r w:rsidRPr="00C67FEB" w:rsidR="004504B7">
              <w:rPr>
                <w:rFonts w:ascii="Times New Roman" w:eastAsia="Times New Roman" w:hAnsi="Times New Roman" w:cs="Times New Roman"/>
                <w:sz w:val="24"/>
                <w:szCs w:val="24"/>
                <w:lang w:val="en-GB" w:eastAsia="cs-CZ"/>
              </w:rPr>
              <w:t>beapplied</w:t>
            </w:r>
            <w:r w:rsidRPr="00C67FEB" w:rsidR="004504B7">
              <w:rPr>
                <w:rFonts w:ascii="Times New Roman" w:eastAsia="Times New Roman" w:hAnsi="Times New Roman" w:cs="Times New Roman"/>
                <w:sz w:val="24"/>
                <w:szCs w:val="24"/>
                <w:lang w:val="en-GB" w:eastAsia="cs-CZ"/>
              </w:rPr>
              <w:t xml:space="preserve"> to him</w:t>
            </w:r>
            <w:r w:rsidRPr="00C67FEB">
              <w:rPr>
                <w:rFonts w:ascii="Times New Roman" w:eastAsia="Times New Roman" w:hAnsi="Times New Roman" w:cs="Times New Roman"/>
                <w:sz w:val="24"/>
                <w:szCs w:val="24"/>
                <w:lang w:val="en-GB" w:eastAsia="cs-CZ"/>
              </w:rPr>
              <w:t xml:space="preserve"> which means that an individual can invest a maximum of the value of 10 % of its net worth (excluding residence and assets</w:t>
            </w:r>
            <w:r w:rsidRPr="00C67FEB" w:rsidR="004504B7">
              <w:rPr>
                <w:rFonts w:ascii="Times New Roman" w:eastAsia="Times New Roman" w:hAnsi="Times New Roman" w:cs="Times New Roman"/>
                <w:sz w:val="24"/>
                <w:szCs w:val="24"/>
                <w:lang w:val="en-GB" w:eastAsia="cs-CZ"/>
              </w:rPr>
              <w:t xml:space="preserve"> in. it</w:t>
            </w:r>
            <w:r w:rsidRPr="00C67FEB">
              <w:rPr>
                <w:rFonts w:ascii="Times New Roman" w:eastAsia="Times New Roman" w:hAnsi="Times New Roman" w:cs="Times New Roman"/>
                <w:sz w:val="24"/>
                <w:szCs w:val="24"/>
                <w:lang w:val="en-GB" w:eastAsia="cs-CZ"/>
              </w:rPr>
              <w:t xml:space="preserve"> and insurance / pension income).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At the same time, the World Bank suggests that the definition of the concept of </w:t>
            </w:r>
            <w:r w:rsidRPr="00C67FEB">
              <w:rPr>
                <w:rFonts w:ascii="Times New Roman" w:eastAsia="Times New Roman" w:hAnsi="Times New Roman" w:cs="Times New Roman"/>
                <w:i/>
                <w:iCs/>
                <w:sz w:val="24"/>
                <w:szCs w:val="24"/>
                <w:lang w:val="en-GB" w:eastAsia="cs-CZ"/>
              </w:rPr>
              <w:t xml:space="preserve">business angel </w:t>
            </w:r>
            <w:r w:rsidRPr="00C67FEB">
              <w:rPr>
                <w:rFonts w:ascii="Times New Roman" w:eastAsia="Times New Roman" w:hAnsi="Times New Roman" w:cs="Times New Roman"/>
                <w:sz w:val="24"/>
                <w:szCs w:val="24"/>
                <w:lang w:val="en-GB" w:eastAsia="cs-CZ"/>
              </w:rPr>
              <w:t>should</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be construed as a guide only, and the statute itself would therefore depend mainly on the will of the potential bearer whether he wants to be designated as a </w:t>
            </w:r>
            <w:r w:rsidRPr="00C67FEB">
              <w:rPr>
                <w:rFonts w:ascii="Times New Roman" w:eastAsia="Times New Roman" w:hAnsi="Times New Roman" w:cs="Times New Roman"/>
                <w:i/>
                <w:iCs/>
                <w:sz w:val="24"/>
                <w:szCs w:val="24"/>
                <w:lang w:val="en-GB" w:eastAsia="cs-CZ"/>
              </w:rPr>
              <w:t>business angel</w:t>
            </w:r>
            <w:r w:rsidRPr="00C67FEB" w:rsidR="004504B7">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sz w:val="24"/>
                <w:szCs w:val="24"/>
                <w:lang w:val="en-GB" w:eastAsia="cs-CZ"/>
              </w:rPr>
              <w:t xml:space="preserve"> This recommendation is based </w:t>
            </w:r>
            <w:r w:rsidRPr="00C67FEB">
              <w:rPr>
                <w:rFonts w:ascii="Times New Roman" w:eastAsia="Times New Roman" w:hAnsi="Times New Roman" w:cs="Times New Roman"/>
                <w:sz w:val="24"/>
                <w:szCs w:val="24"/>
                <w:lang w:val="en-GB" w:eastAsia="cs-CZ"/>
              </w:rPr>
              <w:t xml:space="preserve">on the premise that a </w:t>
            </w:r>
            <w:r w:rsidRPr="00C67FEB">
              <w:rPr>
                <w:rFonts w:ascii="Times New Roman" w:eastAsia="Times New Roman" w:hAnsi="Times New Roman" w:cs="Times New Roman"/>
                <w:i/>
                <w:iCs/>
                <w:sz w:val="24"/>
                <w:szCs w:val="24"/>
                <w:lang w:val="en-GB" w:eastAsia="cs-CZ"/>
              </w:rPr>
              <w:t xml:space="preserve">business angel </w:t>
            </w:r>
            <w:r w:rsidRPr="00C67FEB">
              <w:rPr>
                <w:rFonts w:ascii="Times New Roman" w:eastAsia="Times New Roman" w:hAnsi="Times New Roman" w:cs="Times New Roman"/>
                <w:sz w:val="24"/>
                <w:szCs w:val="24"/>
                <w:lang w:val="en-GB" w:eastAsia="cs-CZ"/>
              </w:rPr>
              <w:t>makes an investment of personal conviction and voluntarily and should therefore not be required to formally register with a government agency, as this could be dissuasive for him.</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Three variants are considered:</w:t>
            </w:r>
          </w:p>
          <w:p w:rsidR="00403DFA" w:rsidRPr="00C67FEB" w:rsidP="0087579E">
            <w:pPr>
              <w:keepNext/>
              <w:numPr>
                <w:ilvl w:val="0"/>
                <w:numId w:val="13"/>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0 - maintaining the current status</w:t>
            </w:r>
          </w:p>
          <w:p w:rsidR="00403DFA" w:rsidRPr="00C67FEB" w:rsidP="0087579E">
            <w:pPr>
              <w:keepNext/>
              <w:numPr>
                <w:ilvl w:val="0"/>
                <w:numId w:val="13"/>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1 - to allow so-called self-certification, i</w:t>
            </w:r>
            <w:r w:rsidRPr="00C67FEB" w:rsidR="004504B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e</w:t>
            </w:r>
            <w:r w:rsidRPr="00C67FEB" w:rsidR="004504B7">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accreditation consisting in obtaining a certain status that would certify that a given investor has a certain wealth and experience, or divide investors into several categories according to the British model</w:t>
            </w:r>
          </w:p>
          <w:p w:rsidR="00403DFA" w:rsidRPr="00C67FEB" w:rsidP="0087579E">
            <w:pPr>
              <w:keepNext/>
              <w:numPr>
                <w:ilvl w:val="0"/>
                <w:numId w:val="13"/>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 </w:t>
            </w:r>
            <w:r w:rsidRPr="00C67FEB" w:rsidR="004504B7">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 xml:space="preserve">ntroduction of the institute of investor declaration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law in the Czech Republic does not provide for the existence of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and offers only similar categories of qualified investor in Section 272 of the </w:t>
            </w:r>
            <w:r w:rsidRPr="00C67FEB" w:rsidR="004504B7">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or a professional customer upon request pursuant to Section 2b of the </w:t>
            </w:r>
            <w:r w:rsidRPr="00C67FEB" w:rsidR="00BB69CF">
              <w:rPr>
                <w:rFonts w:ascii="Times New Roman" w:eastAsia="Times New Roman" w:hAnsi="Times New Roman" w:cs="Times New Roman"/>
                <w:sz w:val="24"/>
                <w:szCs w:val="24"/>
                <w:lang w:val="en-GB" w:eastAsia="cs-CZ"/>
              </w:rPr>
              <w:t>Capital Market Business Act</w:t>
            </w:r>
            <w:r w:rsidRPr="00C67FEB">
              <w:rPr>
                <w:rFonts w:ascii="Times New Roman" w:eastAsia="Times New Roman" w:hAnsi="Times New Roman" w:cs="Times New Roman"/>
                <w:sz w:val="24"/>
                <w:szCs w:val="24"/>
                <w:lang w:val="en-GB" w:eastAsia="cs-CZ"/>
              </w:rPr>
              <w:t>. The current situation does not prevent individuals from becoming an angel investor, but the absence of specific legislation in practice carries, for example, restrictions on accepting investment offers or distributing investment proposals.</w:t>
            </w:r>
            <w:r w:rsidR="0087579E">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Option 1 - enable self-certification or divide investors into more categories according to the British model</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As a result, </w:t>
            </w:r>
            <w:r w:rsidRPr="00C67FEB">
              <w:rPr>
                <w:rFonts w:ascii="Times New Roman" w:eastAsia="Times New Roman" w:hAnsi="Times New Roman" w:cs="Times New Roman"/>
                <w:i/>
                <w:iCs/>
                <w:sz w:val="24"/>
                <w:szCs w:val="24"/>
                <w:lang w:val="en-GB" w:eastAsia="cs-CZ"/>
              </w:rPr>
              <w:t xml:space="preserve">business </w:t>
            </w:r>
            <w:r w:rsidRPr="00C67FEB" w:rsidR="00BB69CF">
              <w:rPr>
                <w:rFonts w:ascii="Times New Roman" w:eastAsia="Times New Roman" w:hAnsi="Times New Roman" w:cs="Times New Roman"/>
                <w:i/>
                <w:iCs/>
                <w:sz w:val="24"/>
                <w:szCs w:val="24"/>
                <w:lang w:val="en-GB" w:eastAsia="cs-CZ"/>
              </w:rPr>
              <w:t>angels’</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certification can help to remove any regulatory barriers to easy distribution of initial investment proposals or to limit the number of investors participating in individual offers. Furthermore, categorizing investors in a system similar to that in the UK could help to protect investors and improve the financial literacy of the population, as investors would identify themselves more closely with their investor category and would have to make a statement in the case of riskier investments. Option 1 requires a change in the legal framework and represents the cost of adapting to this </w:t>
            </w:r>
            <w:r w:rsidRPr="00C67FEB" w:rsidR="00BB69CF">
              <w:rPr>
                <w:rFonts w:ascii="Times New Roman" w:eastAsia="Times New Roman" w:hAnsi="Times New Roman" w:cs="Times New Roman"/>
                <w:sz w:val="24"/>
                <w:szCs w:val="24"/>
                <w:lang w:val="en-GB" w:eastAsia="cs-CZ"/>
              </w:rPr>
              <w:t>regulation.</w:t>
            </w:r>
            <w:r w:rsidRPr="00C67FEB">
              <w:rPr>
                <w:rFonts w:ascii="Times New Roman" w:eastAsia="Times New Roman" w:hAnsi="Times New Roman" w:cs="Times New Roman"/>
                <w:sz w:val="24"/>
                <w:szCs w:val="24"/>
                <w:lang w:val="en-GB" w:eastAsia="cs-CZ"/>
              </w:rPr>
              <w:t xml:space="preserve"> A negative may be the reluctance to be formally identified as </w:t>
            </w:r>
            <w:r w:rsidRPr="00C67FEB" w:rsidR="00BB69CF">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 xml:space="preserve"> business angel</w:t>
            </w:r>
            <w:r w:rsidRPr="00C67FEB" w:rsidR="00BB69CF">
              <w:rPr>
                <w:rFonts w:ascii="Times New Roman" w:eastAsia="Times New Roman" w:hAnsi="Times New Roman" w:cs="Times New Roman"/>
                <w:sz w:val="24"/>
                <w:szCs w:val="24"/>
                <w:lang w:val="en-GB" w:eastAsia="cs-CZ"/>
              </w:rPr>
              <w:t xml:space="preserve"> investor</w:t>
            </w:r>
            <w:r w:rsidRPr="00C67FEB">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Option 2 - </w:t>
            </w:r>
            <w:r w:rsidRPr="003B03B1" w:rsidR="004504B7">
              <w:rPr>
                <w:rFonts w:ascii="Times New Roman" w:eastAsia="Times New Roman" w:hAnsi="Times New Roman" w:cs="Times New Roman"/>
                <w:b/>
                <w:bCs/>
                <w:sz w:val="24"/>
                <w:szCs w:val="24"/>
                <w:lang w:val="en-GB" w:eastAsia="cs-CZ"/>
              </w:rPr>
              <w:t>i</w:t>
            </w:r>
            <w:r w:rsidRPr="003B03B1">
              <w:rPr>
                <w:rFonts w:ascii="Times New Roman" w:eastAsia="Times New Roman" w:hAnsi="Times New Roman" w:cs="Times New Roman"/>
                <w:b/>
                <w:bCs/>
                <w:sz w:val="24"/>
                <w:szCs w:val="24"/>
                <w:lang w:val="en-GB" w:eastAsia="cs-CZ"/>
              </w:rPr>
              <w:t xml:space="preserve">ntroduction of the institute of investor </w:t>
            </w:r>
            <w:r w:rsidRPr="003B03B1" w:rsidR="004504B7">
              <w:rPr>
                <w:rFonts w:ascii="Times New Roman" w:eastAsia="Times New Roman" w:hAnsi="Times New Roman" w:cs="Times New Roman"/>
                <w:b/>
                <w:bCs/>
                <w:sz w:val="24"/>
                <w:szCs w:val="24"/>
                <w:lang w:val="en-GB" w:eastAsia="cs-CZ"/>
              </w:rPr>
              <w:t>declaration</w:t>
            </w:r>
            <w:r w:rsidRPr="003B03B1">
              <w:rPr>
                <w:rFonts w:ascii="Times New Roman" w:eastAsia="Times New Roman" w:hAnsi="Times New Roman" w:cs="Times New Roman"/>
                <w:b/>
                <w:bCs/>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is considering introducing an institute of investor </w:t>
            </w:r>
            <w:r w:rsidRPr="00C67FEB" w:rsidR="00BB69CF">
              <w:rPr>
                <w:rFonts w:ascii="Times New Roman" w:eastAsia="Times New Roman" w:hAnsi="Times New Roman" w:cs="Times New Roman"/>
                <w:sz w:val="24"/>
                <w:szCs w:val="24"/>
                <w:lang w:val="en-GB" w:eastAsia="cs-CZ"/>
              </w:rPr>
              <w:t>declaration</w:t>
            </w:r>
            <w:r w:rsidRPr="00C67FEB">
              <w:rPr>
                <w:rFonts w:ascii="Times New Roman" w:eastAsia="Times New Roman" w:hAnsi="Times New Roman" w:cs="Times New Roman"/>
                <w:sz w:val="24"/>
                <w:szCs w:val="24"/>
                <w:lang w:val="en-GB" w:eastAsia="cs-CZ"/>
              </w:rPr>
              <w:t xml:space="preserve"> aimed at retail investors and thereby protecting them, while the category of the so-called wealthy investor, which is essentially a </w:t>
            </w:r>
            <w:r w:rsidRPr="00C67FEB">
              <w:rPr>
                <w:rFonts w:ascii="Times New Roman" w:eastAsia="Times New Roman" w:hAnsi="Times New Roman" w:cs="Times New Roman"/>
                <w:i/>
                <w:iCs/>
                <w:sz w:val="24"/>
                <w:szCs w:val="24"/>
                <w:lang w:val="en-GB" w:eastAsia="cs-CZ"/>
              </w:rPr>
              <w:t xml:space="preserve">business angel, </w:t>
            </w:r>
            <w:r w:rsidRPr="00C67FEB">
              <w:rPr>
                <w:rFonts w:ascii="Times New Roman" w:eastAsia="Times New Roman" w:hAnsi="Times New Roman" w:cs="Times New Roman"/>
                <w:sz w:val="24"/>
                <w:szCs w:val="24"/>
                <w:lang w:val="en-GB" w:eastAsia="cs-CZ"/>
              </w:rPr>
              <w:t>is exempt from this obligation to make a statement</w:t>
            </w:r>
            <w:r w:rsidRPr="00C67FEB" w:rsidR="00BB69C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Such an investor does not need protection as an ordinary </w:t>
            </w:r>
            <w:r w:rsidRPr="00C67FEB" w:rsidR="00BB69CF">
              <w:rPr>
                <w:rFonts w:ascii="Times New Roman" w:eastAsia="Times New Roman" w:hAnsi="Times New Roman" w:cs="Times New Roman"/>
                <w:sz w:val="24"/>
                <w:szCs w:val="24"/>
                <w:lang w:val="en-GB" w:eastAsia="cs-CZ"/>
              </w:rPr>
              <w:t>investor,</w:t>
            </w:r>
            <w:r w:rsidRPr="00C67FEB">
              <w:rPr>
                <w:rFonts w:ascii="Times New Roman" w:eastAsia="Times New Roman" w:hAnsi="Times New Roman" w:cs="Times New Roman"/>
                <w:sz w:val="24"/>
                <w:szCs w:val="24"/>
                <w:lang w:val="en-GB" w:eastAsia="cs-CZ"/>
              </w:rPr>
              <w:t xml:space="preserve"> and it is therefore considered to adjust the terms of his investment more freely. Therefore, a</w:t>
            </w:r>
            <w:r w:rsidRPr="00C67FEB" w:rsidR="00BB69CF">
              <w:rPr>
                <w:rFonts w:ascii="Times New Roman" w:eastAsia="Times New Roman" w:hAnsi="Times New Roman" w:cs="Times New Roman"/>
                <w:sz w:val="24"/>
                <w:szCs w:val="24"/>
                <w:lang w:val="en-GB" w:eastAsia="cs-CZ"/>
              </w:rPr>
              <w:t>n</w:t>
            </w:r>
            <w:r w:rsidRPr="00C67FEB">
              <w:rPr>
                <w:rFonts w:ascii="Times New Roman" w:eastAsia="Times New Roman" w:hAnsi="Times New Roman" w:cs="Times New Roman"/>
                <w:sz w:val="24"/>
                <w:szCs w:val="24"/>
                <w:lang w:val="en-GB" w:eastAsia="cs-CZ"/>
              </w:rPr>
              <w:t xml:space="preserve"> insurance policy is being considered for small investors, which should prevent these small investors from investing all of their savings by declaring their assets. According to the British model “restricted investor”, it is considered to introduce an explicitly unnamed category of limited investor who, if the investment firm provides him with the main investment services referred to in </w:t>
            </w:r>
            <w:r w:rsidRPr="00C67FEB" w:rsidR="00BB69CF">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4 </w:t>
            </w:r>
            <w:r w:rsidRPr="00C67FEB" w:rsidR="00BB69CF">
              <w:rPr>
                <w:rFonts w:ascii="Times New Roman" w:eastAsia="Times New Roman" w:hAnsi="Times New Roman" w:cs="Times New Roman"/>
                <w:sz w:val="24"/>
                <w:szCs w:val="24"/>
                <w:lang w:val="en-GB" w:eastAsia="cs-CZ"/>
              </w:rPr>
              <w:t>(2)(a)</w:t>
            </w:r>
            <w:r w:rsidRPr="00C67FEB">
              <w:rPr>
                <w:rFonts w:ascii="Times New Roman" w:eastAsia="Times New Roman" w:hAnsi="Times New Roman" w:cs="Times New Roman"/>
                <w:sz w:val="24"/>
                <w:szCs w:val="24"/>
                <w:lang w:val="en-GB" w:eastAsia="cs-CZ"/>
              </w:rPr>
              <w:t xml:space="preserve"> or (e) in respect of investment instruments which are not simple investment instruments, sign a written declaration on its request that it will not invest more than 10% of the value of its assets consisting of cash and investment instruments in those investment instruments and of such investment instruments issued by one issuer more than 5% of the value of its assets consisting of cash and investment instruments.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semi-professional investor (</w:t>
            </w:r>
            <w:r w:rsidRPr="00C67FEB" w:rsidR="00BB69CF">
              <w:rPr>
                <w:rFonts w:ascii="Times New Roman" w:eastAsia="Times New Roman" w:hAnsi="Times New Roman" w:cs="Times New Roman"/>
                <w:sz w:val="24"/>
                <w:szCs w:val="24"/>
                <w:lang w:val="en-GB" w:eastAsia="cs-CZ"/>
              </w:rPr>
              <w:t>“wealthy investor”</w:t>
            </w:r>
            <w:r w:rsidRPr="00C67FEB">
              <w:rPr>
                <w:rFonts w:ascii="Times New Roman" w:eastAsia="Times New Roman" w:hAnsi="Times New Roman" w:cs="Times New Roman"/>
                <w:sz w:val="24"/>
                <w:szCs w:val="24"/>
                <w:lang w:val="en-GB" w:eastAsia="cs-CZ"/>
              </w:rPr>
              <w:t>) (</w:t>
            </w:r>
            <w:r w:rsidRPr="00C67FEB">
              <w:rPr>
                <w:rFonts w:ascii="Times New Roman" w:eastAsia="Times New Roman" w:hAnsi="Times New Roman" w:cs="Times New Roman"/>
                <w:sz w:val="24"/>
                <w:szCs w:val="24"/>
                <w:lang w:val="en-GB" w:eastAsia="cs-CZ"/>
              </w:rPr>
              <w:t>modeled</w:t>
            </w:r>
            <w:r w:rsidRPr="00C67FEB">
              <w:rPr>
                <w:rFonts w:ascii="Times New Roman" w:eastAsia="Times New Roman" w:hAnsi="Times New Roman" w:cs="Times New Roman"/>
                <w:sz w:val="24"/>
                <w:szCs w:val="24"/>
                <w:lang w:val="en-GB" w:eastAsia="cs-CZ"/>
              </w:rPr>
              <w:t xml:space="preserve"> on the British </w:t>
            </w:r>
            <w:r w:rsidRPr="00C67FEB" w:rsidR="00BB69C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high net worth individual</w:t>
            </w:r>
            <w:r w:rsidRPr="00C67FEB" w:rsidR="00BB69C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which should be defined as a person whose cash and investment property amounts to at least </w:t>
            </w:r>
            <w:r w:rsidRPr="00C67FEB" w:rsidR="00BB69CF">
              <w:rPr>
                <w:rFonts w:ascii="Times New Roman" w:eastAsia="Times New Roman" w:hAnsi="Times New Roman" w:cs="Times New Roman"/>
                <w:sz w:val="24"/>
                <w:szCs w:val="24"/>
                <w:lang w:val="en-GB" w:eastAsia="cs-CZ"/>
              </w:rPr>
              <w:t xml:space="preserve">CZK </w:t>
            </w:r>
            <w:r w:rsidRPr="00C67FEB">
              <w:rPr>
                <w:rFonts w:ascii="Times New Roman" w:eastAsia="Times New Roman" w:hAnsi="Times New Roman" w:cs="Times New Roman"/>
                <w:sz w:val="24"/>
                <w:szCs w:val="24"/>
                <w:lang w:val="en-GB" w:eastAsia="cs-CZ"/>
              </w:rPr>
              <w:t xml:space="preserve">2 500 000 </w:t>
            </w:r>
            <w:r w:rsidRPr="00C67FEB" w:rsidR="00BB69CF">
              <w:rPr>
                <w:rFonts w:ascii="Times New Roman" w:eastAsia="Times New Roman" w:hAnsi="Times New Roman" w:cs="Times New Roman"/>
                <w:sz w:val="24"/>
                <w:szCs w:val="24"/>
                <w:lang w:val="en-GB" w:eastAsia="cs-CZ"/>
              </w:rPr>
              <w:t>and w</w:t>
            </w:r>
            <w:r w:rsidRPr="00C67FEB">
              <w:rPr>
                <w:rFonts w:ascii="Times New Roman" w:eastAsia="Times New Roman" w:hAnsi="Times New Roman" w:cs="Times New Roman"/>
                <w:sz w:val="24"/>
                <w:szCs w:val="24"/>
                <w:lang w:val="en-GB" w:eastAsia="cs-CZ"/>
              </w:rPr>
              <w:t xml:space="preserve">hose gross income and profit before tax </w:t>
            </w:r>
            <w:r w:rsidRPr="00C67FEB" w:rsidR="00BB69CF">
              <w:rPr>
                <w:rFonts w:ascii="Times New Roman" w:eastAsia="Times New Roman" w:hAnsi="Times New Roman" w:cs="Times New Roman"/>
                <w:sz w:val="24"/>
                <w:szCs w:val="24"/>
                <w:lang w:val="en-GB" w:eastAsia="cs-CZ"/>
              </w:rPr>
              <w:t xml:space="preserve">in </w:t>
            </w:r>
            <w:r w:rsidRPr="00C67FEB">
              <w:rPr>
                <w:rFonts w:ascii="Times New Roman" w:eastAsia="Times New Roman" w:hAnsi="Times New Roman" w:cs="Times New Roman"/>
                <w:sz w:val="24"/>
                <w:szCs w:val="24"/>
                <w:lang w:val="en-GB" w:eastAsia="cs-CZ"/>
              </w:rPr>
              <w:t xml:space="preserve">last year corresponds to at least CZK 1,000,000, and such a person is obliged to self-certify only if the investment firm provides him </w:t>
            </w:r>
            <w:r w:rsidRPr="00C67FEB">
              <w:rPr>
                <w:rFonts w:ascii="Times New Roman" w:eastAsia="Times New Roman" w:hAnsi="Times New Roman" w:cs="Times New Roman"/>
                <w:sz w:val="24"/>
                <w:szCs w:val="24"/>
                <w:lang w:val="en-GB" w:eastAsia="cs-CZ"/>
              </w:rPr>
              <w:t xml:space="preserve">with the main investment services referred to in </w:t>
            </w:r>
            <w:r w:rsidRPr="00C67FEB" w:rsidR="00BB69CF">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4 (2) (a</w:t>
            </w:r>
            <w:r w:rsidRPr="00C67FEB" w:rsidR="00BB69C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or (e) in relation to investment instruments and should normally conduct a suitability and adequacy test - in which case the person shall certify as a ' </w:t>
            </w:r>
            <w:r w:rsidRPr="00C67FEB" w:rsidR="00BB69CF">
              <w:rPr>
                <w:rFonts w:ascii="Times New Roman" w:eastAsia="Times New Roman" w:hAnsi="Times New Roman" w:cs="Times New Roman"/>
                <w:sz w:val="24"/>
                <w:szCs w:val="24"/>
                <w:lang w:val="en-GB" w:eastAsia="cs-CZ"/>
              </w:rPr>
              <w:t>wealthy</w:t>
            </w:r>
            <w:r w:rsidRPr="00C67FEB">
              <w:rPr>
                <w:rFonts w:ascii="Times New Roman" w:eastAsia="Times New Roman" w:hAnsi="Times New Roman" w:cs="Times New Roman"/>
                <w:sz w:val="24"/>
                <w:szCs w:val="24"/>
                <w:lang w:val="en-GB" w:eastAsia="cs-CZ"/>
              </w:rPr>
              <w:t xml:space="preserve"> investor' by a written declaration .</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This</w:t>
            </w:r>
            <w:r w:rsidRPr="00C67FEB">
              <w:rPr>
                <w:rFonts w:ascii="Times New Roman" w:eastAsia="Times New Roman" w:hAnsi="Times New Roman" w:cs="Times New Roman"/>
                <w:sz w:val="24"/>
                <w:szCs w:val="24"/>
                <w:lang w:val="en-GB" w:eastAsia="cs-CZ"/>
              </w:rPr>
              <w:t xml:space="preserve"> option </w:t>
            </w:r>
            <w:r w:rsidRPr="00C67FEB">
              <w:rPr>
                <w:rFonts w:ascii="Times New Roman" w:eastAsia="Times New Roman" w:hAnsi="Times New Roman" w:cs="Times New Roman"/>
                <w:sz w:val="24"/>
                <w:szCs w:val="24"/>
                <w:lang w:val="en-GB" w:eastAsia="cs-CZ"/>
              </w:rPr>
              <w:t>needs</w:t>
            </w:r>
            <w:r w:rsidRPr="00C67FEB">
              <w:rPr>
                <w:rFonts w:ascii="Times New Roman" w:eastAsia="Times New Roman" w:hAnsi="Times New Roman" w:cs="Times New Roman"/>
                <w:sz w:val="24"/>
                <w:szCs w:val="24"/>
                <w:lang w:val="en-GB" w:eastAsia="cs-CZ"/>
              </w:rPr>
              <w:t xml:space="preserve"> changes in the legal framework</w:t>
            </w:r>
            <w:r w:rsidRPr="00C67FE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for investment firms need to adapt to the new legislation, the negative aspect can be a risk circumvention of the law by simply meeting the formal requirement of a </w:t>
            </w:r>
            <w:r w:rsidRPr="00C67FEB" w:rsidR="0027634B">
              <w:rPr>
                <w:rFonts w:ascii="Times New Roman" w:eastAsia="Times New Roman" w:hAnsi="Times New Roman" w:cs="Times New Roman"/>
                <w:sz w:val="24"/>
                <w:szCs w:val="24"/>
                <w:lang w:val="en-GB" w:eastAsia="cs-CZ"/>
              </w:rPr>
              <w:t>declaration that</w:t>
            </w:r>
            <w:r w:rsidRPr="00C67FEB">
              <w:rPr>
                <w:rFonts w:ascii="Times New Roman" w:eastAsia="Times New Roman" w:hAnsi="Times New Roman" w:cs="Times New Roman"/>
                <w:sz w:val="24"/>
                <w:szCs w:val="24"/>
                <w:lang w:val="en-GB" w:eastAsia="cs-CZ"/>
              </w:rPr>
              <w:t xml:space="preserve"> customer invests only a portion of their savings. A positive feature is the increased protection of retail investors.</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most suitable solution seems to be the option 2. A deeper analysis revealed that so-called business angels investors invest their funds without the need for the law to regulate their investment, albeit positively by explicit self-certification or </w:t>
            </w:r>
            <w:r w:rsidRPr="00C67FEB" w:rsidR="0027634B">
              <w:rPr>
                <w:rFonts w:ascii="Times New Roman" w:eastAsia="Times New Roman" w:hAnsi="Times New Roman" w:cs="Times New Roman"/>
                <w:sz w:val="24"/>
                <w:szCs w:val="24"/>
                <w:lang w:val="en-GB" w:eastAsia="cs-CZ"/>
              </w:rPr>
              <w:t>otherwise.</w:t>
            </w:r>
            <w:r w:rsidRPr="00C67FEB">
              <w:rPr>
                <w:rFonts w:ascii="Times New Roman" w:eastAsia="Times New Roman" w:hAnsi="Times New Roman" w:cs="Times New Roman"/>
                <w:sz w:val="24"/>
                <w:szCs w:val="24"/>
                <w:lang w:val="en-GB" w:eastAsia="cs-CZ"/>
              </w:rPr>
              <w:t xml:space="preserve"> As more necessary </w:t>
            </w:r>
            <w:r w:rsidRPr="00C67FEB" w:rsidR="0027634B">
              <w:rPr>
                <w:rFonts w:ascii="Times New Roman" w:eastAsia="Times New Roman" w:hAnsi="Times New Roman" w:cs="Times New Roman"/>
                <w:sz w:val="24"/>
                <w:szCs w:val="24"/>
                <w:lang w:val="en-GB" w:eastAsia="cs-CZ"/>
              </w:rPr>
              <w:t>appears the need</w:t>
            </w:r>
            <w:r w:rsidRPr="00C67FEB">
              <w:rPr>
                <w:rFonts w:ascii="Times New Roman" w:eastAsia="Times New Roman" w:hAnsi="Times New Roman" w:cs="Times New Roman"/>
                <w:sz w:val="24"/>
                <w:szCs w:val="24"/>
                <w:lang w:val="en-GB" w:eastAsia="cs-CZ"/>
              </w:rPr>
              <w:t xml:space="preserve"> to protect ordinary retail investors </w:t>
            </w:r>
            <w:r w:rsidRPr="00C67FEB" w:rsidR="0027634B">
              <w:rPr>
                <w:rFonts w:ascii="Times New Roman" w:eastAsia="Times New Roman" w:hAnsi="Times New Roman" w:cs="Times New Roman"/>
                <w:sz w:val="24"/>
                <w:szCs w:val="24"/>
                <w:lang w:val="en-GB" w:eastAsia="cs-CZ"/>
              </w:rPr>
              <w:t xml:space="preserve">so </w:t>
            </w:r>
            <w:r w:rsidRPr="00C67FEB">
              <w:rPr>
                <w:rFonts w:ascii="Times New Roman" w:eastAsia="Times New Roman" w:hAnsi="Times New Roman" w:cs="Times New Roman"/>
                <w:sz w:val="24"/>
                <w:szCs w:val="24"/>
                <w:lang w:val="en-GB" w:eastAsia="cs-CZ"/>
              </w:rPr>
              <w:t>that, before the investment decision</w:t>
            </w:r>
            <w:r w:rsidRPr="00C67FEB" w:rsidR="0027634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t>
            </w:r>
            <w:r w:rsidRPr="00C67FEB" w:rsidR="0027634B">
              <w:rPr>
                <w:rFonts w:ascii="Times New Roman" w:eastAsia="Times New Roman" w:hAnsi="Times New Roman" w:cs="Times New Roman"/>
                <w:sz w:val="24"/>
                <w:szCs w:val="24"/>
                <w:lang w:val="en-GB" w:eastAsia="cs-CZ"/>
              </w:rPr>
              <w:t xml:space="preserve">they </w:t>
            </w:r>
            <w:r w:rsidRPr="00C67FEB">
              <w:rPr>
                <w:rFonts w:ascii="Times New Roman" w:eastAsia="Times New Roman" w:hAnsi="Times New Roman" w:cs="Times New Roman"/>
                <w:sz w:val="24"/>
                <w:szCs w:val="24"/>
                <w:lang w:val="en-GB" w:eastAsia="cs-CZ"/>
              </w:rPr>
              <w:t xml:space="preserve">must declare in writing that </w:t>
            </w:r>
            <w:r w:rsidRPr="00C67FEB" w:rsidR="0027634B">
              <w:rPr>
                <w:rFonts w:ascii="Times New Roman" w:eastAsia="Times New Roman" w:hAnsi="Times New Roman" w:cs="Times New Roman"/>
                <w:sz w:val="24"/>
                <w:szCs w:val="24"/>
                <w:lang w:val="en-GB" w:eastAsia="cs-CZ"/>
              </w:rPr>
              <w:t>they do not invest most of their savings, and it is proposed to exclude from this obligation a person of a so-called wealthy investor who does not need increased protection, which also fulfils to a certain extent the definition of wealthy investors under Czech law (business angels investors). This option for investment firms entails the administrative costs of adapting to the new regulation and extending the supervisory duties of the authority</w:t>
            </w:r>
            <w:r w:rsidR="0087579E">
              <w:rPr>
                <w:rFonts w:ascii="Times New Roman" w:eastAsia="Times New Roman" w:hAnsi="Times New Roman" w:cs="Times New Roman"/>
                <w:sz w:val="24"/>
                <w:szCs w:val="24"/>
                <w:lang w:val="en-GB" w:eastAsia="cs-CZ"/>
              </w:rPr>
              <w:t xml:space="preserve"> </w:t>
            </w:r>
          </w:p>
          <w:p w:rsidR="00403DFA" w:rsidRPr="003B03B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Summary of the impact of the chosen </w:t>
            </w:r>
            <w:r w:rsidRPr="003B03B1" w:rsidR="003B03B1">
              <w:rPr>
                <w:rFonts w:ascii="Times New Roman" w:eastAsia="Times New Roman" w:hAnsi="Times New Roman" w:cs="Times New Roman"/>
                <w:b/>
                <w:bCs/>
                <w:sz w:val="24"/>
                <w:szCs w:val="24"/>
                <w:lang w:val="en-GB" w:eastAsia="cs-CZ"/>
              </w:rPr>
              <w:t>O</w:t>
            </w:r>
            <w:r w:rsidRPr="003B03B1">
              <w:rPr>
                <w:rFonts w:ascii="Times New Roman" w:eastAsia="Times New Roman" w:hAnsi="Times New Roman" w:cs="Times New Roman"/>
                <w:b/>
                <w:bCs/>
                <w:sz w:val="24"/>
                <w:szCs w:val="24"/>
                <w:lang w:val="en-GB" w:eastAsia="cs-CZ"/>
              </w:rPr>
              <w:t>ption 2</w:t>
            </w:r>
          </w:p>
          <w:tbl>
            <w:tblPr>
              <w:tblW w:w="0" w:type="auto"/>
              <w:tblCellMar>
                <w:left w:w="0" w:type="dxa"/>
                <w:right w:w="0" w:type="dxa"/>
              </w:tblCellMar>
              <w:tblLook w:val="04A0"/>
            </w:tblPr>
            <w:tblGrid>
              <w:gridCol w:w="4356"/>
              <w:gridCol w:w="4130"/>
            </w:tblGrid>
            <w:tr>
              <w:tblPrEx>
                <w:tblW w:w="0" w:type="auto"/>
                <w:tblCellMar>
                  <w:left w:w="0" w:type="dxa"/>
                  <w:right w:w="0" w:type="dxa"/>
                </w:tblCellMar>
                <w:tblLook w:val="04A0"/>
              </w:tblPrEx>
              <w:tc>
                <w:tcPr>
                  <w:tcW w:w="4356"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3B03B1"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3B03B1">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4130"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3B03B1"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color w:val="FFFFFF"/>
                      <w:sz w:val="24"/>
                      <w:szCs w:val="24"/>
                      <w:lang w:val="en-GB" w:eastAsia="cs-CZ"/>
                    </w:rPr>
                    <w:t>Costs / Negatives</w:t>
                  </w:r>
                </w:p>
              </w:tc>
            </w:tr>
            <w:tr>
              <w:tblPrEx>
                <w:tblW w:w="0" w:type="auto"/>
                <w:tblCellMar>
                  <w:left w:w="0" w:type="dxa"/>
                  <w:right w:w="0" w:type="dxa"/>
                </w:tblCellMar>
                <w:tblLook w:val="04A0"/>
              </w:tblPrEx>
              <w:tc>
                <w:tcPr>
                  <w:tcW w:w="4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protecting small investors from investing all their savings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non-imposition of investment restrictions for persons (wealthy investors) who do not need increased protection</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indirect support for </w:t>
                  </w:r>
                  <w:r w:rsidRPr="00C67FEB">
                    <w:rPr>
                      <w:rFonts w:ascii="Times New Roman" w:eastAsia="Times New Roman" w:hAnsi="Times New Roman" w:cs="Times New Roman"/>
                      <w:i/>
                      <w:iCs/>
                      <w:sz w:val="24"/>
                      <w:szCs w:val="24"/>
                      <w:lang w:val="en-GB" w:eastAsia="cs-CZ"/>
                    </w:rPr>
                    <w:t xml:space="preserve">business angels </w:t>
                  </w:r>
                  <w:r w:rsidRPr="00C67FEB">
                    <w:rPr>
                      <w:rFonts w:ascii="Times New Roman" w:eastAsia="Times New Roman" w:hAnsi="Times New Roman" w:cs="Times New Roman"/>
                      <w:sz w:val="24"/>
                      <w:szCs w:val="24"/>
                      <w:lang w:val="en-GB" w:eastAsia="cs-CZ"/>
                    </w:rPr>
                    <w:t xml:space="preserve">by </w:t>
                  </w:r>
                  <w:r w:rsidRPr="00C67FEB" w:rsidR="00E453DA">
                    <w:rPr>
                      <w:rFonts w:ascii="Times New Roman" w:eastAsia="Times New Roman" w:hAnsi="Times New Roman" w:cs="Times New Roman"/>
                      <w:sz w:val="24"/>
                      <w:szCs w:val="24"/>
                      <w:lang w:val="en-GB" w:eastAsia="cs-CZ"/>
                    </w:rPr>
                    <w:t>defining</w:t>
                  </w:r>
                  <w:r w:rsidRPr="00C67FEB">
                    <w:rPr>
                      <w:rFonts w:ascii="Times New Roman" w:eastAsia="Times New Roman" w:hAnsi="Times New Roman" w:cs="Times New Roman"/>
                      <w:sz w:val="24"/>
                      <w:szCs w:val="24"/>
                      <w:lang w:val="en-GB" w:eastAsia="cs-CZ"/>
                    </w:rPr>
                    <w:t xml:space="preserve"> the </w:t>
                  </w:r>
                  <w:r w:rsidRPr="00C67FEB" w:rsidR="00E453DA">
                    <w:rPr>
                      <w:rFonts w:ascii="Times New Roman" w:eastAsia="Times New Roman" w:hAnsi="Times New Roman" w:cs="Times New Roman"/>
                      <w:sz w:val="24"/>
                      <w:szCs w:val="24"/>
                      <w:lang w:val="en-GB" w:eastAsia="cs-CZ"/>
                    </w:rPr>
                    <w:t>wealthy</w:t>
                  </w:r>
                  <w:r w:rsidRPr="00C67FEB">
                    <w:rPr>
                      <w:rFonts w:ascii="Times New Roman" w:eastAsia="Times New Roman" w:hAnsi="Times New Roman" w:cs="Times New Roman"/>
                      <w:sz w:val="24"/>
                      <w:szCs w:val="24"/>
                      <w:lang w:val="en-GB" w:eastAsia="cs-CZ"/>
                    </w:rPr>
                    <w:t xml:space="preserve"> investor in the law </w:t>
                  </w:r>
                </w:p>
              </w:tc>
              <w:tc>
                <w:tcPr>
                  <w:tcW w:w="41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risk of a mere formal compliance with the retail investor statement</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amendment of a legal regulation and related obligations, especially for </w:t>
                  </w:r>
                  <w:r w:rsidRPr="00C67FEB" w:rsidR="00E453DA">
                    <w:rPr>
                      <w:rFonts w:ascii="Times New Roman" w:eastAsia="Times New Roman" w:hAnsi="Times New Roman" w:cs="Times New Roman"/>
                      <w:sz w:val="24"/>
                      <w:szCs w:val="24"/>
                      <w:lang w:val="en-GB" w:eastAsia="cs-CZ"/>
                    </w:rPr>
                    <w:t>investment firms</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7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E453D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 How do you view the World Bank's proposal for self-certification? </w:t>
                  </w:r>
                </w:p>
                <w:p w:rsidR="00E453D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2) Should the (self) certification also apply to exceptions other than those mentioned above (</w:t>
                  </w:r>
                  <w:r w:rsidRPr="00C67FEB" w:rsidR="0034242E">
                    <w:rPr>
                      <w:rFonts w:ascii="Times New Roman" w:eastAsia="Times New Roman" w:hAnsi="Times New Roman" w:cs="Times New Roman"/>
                      <w:color w:val="FFFFFF"/>
                      <w:sz w:val="24"/>
                      <w:szCs w:val="24"/>
                      <w:lang w:val="en-GB" w:eastAsia="cs-CZ"/>
                    </w:rPr>
                    <w:t>i.e.</w:t>
                  </w:r>
                  <w:r w:rsidRPr="00C67FEB">
                    <w:rPr>
                      <w:rFonts w:ascii="Times New Roman" w:eastAsia="Times New Roman" w:hAnsi="Times New Roman" w:cs="Times New Roman"/>
                      <w:color w:val="FFFFFF"/>
                      <w:sz w:val="24"/>
                      <w:szCs w:val="24"/>
                      <w:lang w:val="en-GB" w:eastAsia="cs-CZ"/>
                    </w:rPr>
                    <w:t xml:space="preserve"> protection related to the acceptance of investment offers)? </w:t>
                  </w:r>
                </w:p>
                <w:p w:rsidR="00E453D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3) In your opinion, who should certify those interested in Business Angel status? </w:t>
                  </w:r>
                </w:p>
                <w:p w:rsidR="00E453D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4) What do you think should be the key parameters that a business angel should meet, </w:t>
                  </w:r>
                  <w:r w:rsidRPr="00C67FEB" w:rsidR="0034242E">
                    <w:rPr>
                      <w:rFonts w:ascii="Times New Roman" w:eastAsia="Times New Roman" w:hAnsi="Times New Roman" w:cs="Times New Roman"/>
                      <w:color w:val="FFFFFF"/>
                      <w:sz w:val="24"/>
                      <w:szCs w:val="24"/>
                      <w:lang w:val="en-GB" w:eastAsia="cs-CZ"/>
                    </w:rPr>
                    <w:t>i.e.</w:t>
                  </w:r>
                  <w:r w:rsidRPr="00C67FEB">
                    <w:rPr>
                      <w:rFonts w:ascii="Times New Roman" w:eastAsia="Times New Roman" w:hAnsi="Times New Roman" w:cs="Times New Roman"/>
                      <w:color w:val="FFFFFF"/>
                      <w:sz w:val="24"/>
                      <w:szCs w:val="24"/>
                      <w:lang w:val="en-GB" w:eastAsia="cs-CZ"/>
                    </w:rPr>
                    <w:t xml:space="preserve"> it is only a question of property or other parameters? </w:t>
                  </w:r>
                </w:p>
                <w:p w:rsidR="00E453D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5) How much do you think the definition of a business angel and a qualified investor should blend in? Should the application of Section 272 (1) (h) or (</w:t>
                  </w:r>
                  <w:r w:rsidRPr="00C67FEB">
                    <w:rPr>
                      <w:rFonts w:ascii="Times New Roman" w:eastAsia="Times New Roman" w:hAnsi="Times New Roman" w:cs="Times New Roman"/>
                      <w:color w:val="FFFFFF"/>
                      <w:sz w:val="24"/>
                      <w:szCs w:val="24"/>
                      <w:lang w:val="en-GB" w:eastAsia="cs-CZ"/>
                    </w:rPr>
                    <w:t>i</w:t>
                  </w:r>
                  <w:r w:rsidRPr="00C67FEB">
                    <w:rPr>
                      <w:rFonts w:ascii="Times New Roman" w:eastAsia="Times New Roman" w:hAnsi="Times New Roman" w:cs="Times New Roman"/>
                      <w:color w:val="FFFFFF"/>
                      <w:sz w:val="24"/>
                      <w:szCs w:val="24"/>
                      <w:lang w:val="en-GB" w:eastAsia="cs-CZ"/>
                    </w:rPr>
                    <w:t xml:space="preserve">) of the Management Companies and Investment Funds Act extend similarly to business angels? </w:t>
                  </w:r>
                </w:p>
                <w:p w:rsidR="00403DF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6) Shall the 10% restriction be imposed on less experienced investors, as i</w:t>
                  </w:r>
                  <w:r w:rsidRPr="00C67FEB" w:rsidR="0034242E">
                    <w:rPr>
                      <w:rFonts w:ascii="Times New Roman" w:eastAsia="Times New Roman" w:hAnsi="Times New Roman" w:cs="Times New Roman"/>
                      <w:color w:val="FFFFFF"/>
                      <w:sz w:val="24"/>
                      <w:szCs w:val="24"/>
                      <w:lang w:val="en-GB" w:eastAsia="cs-CZ"/>
                    </w:rPr>
                    <w:t xml:space="preserve">t </w:t>
                  </w:r>
                  <w:r w:rsidRPr="00C67FEB">
                    <w:rPr>
                      <w:rFonts w:ascii="Times New Roman" w:eastAsia="Times New Roman" w:hAnsi="Times New Roman" w:cs="Times New Roman"/>
                      <w:color w:val="FFFFFF"/>
                      <w:sz w:val="24"/>
                      <w:szCs w:val="24"/>
                      <w:lang w:val="en-GB" w:eastAsia="cs-CZ"/>
                    </w:rPr>
                    <w:t xml:space="preserve">is in the UK? </w:t>
                  </w:r>
                </w:p>
              </w:tc>
            </w:tr>
          </w:tbl>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Results of the consultation</w:t>
            </w:r>
          </w:p>
          <w:p w:rsidR="00403DFA" w:rsidRPr="003B03B1" w:rsidP="0087579E">
            <w:pPr>
              <w:keepNext/>
              <w:spacing w:before="120" w:after="120" w:line="240" w:lineRule="auto"/>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u w:val="single"/>
                <w:lang w:val="en-GB" w:eastAsia="cs-CZ"/>
              </w:rPr>
              <w:t>In general:</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agree with the idea of ​​promoting business angels, but we are of the opinion that current legislation is sufficient and does not constitute an obstacle to investments of a similar type. We believe that </w:t>
            </w:r>
            <w:r w:rsidRPr="00C67FEB">
              <w:rPr>
                <w:rFonts w:ascii="Times New Roman" w:eastAsia="Times New Roman" w:hAnsi="Times New Roman" w:cs="Times New Roman"/>
                <w:i/>
                <w:iCs/>
                <w:sz w:val="24"/>
                <w:szCs w:val="24"/>
                <w:lang w:val="en-GB" w:eastAsia="cs-CZ"/>
              </w:rPr>
              <w:t xml:space="preserve">introducing another “type” of investor into legislation is not necessary. However, if a new type of investor is to be introduced, we propose to use an analogy with a “professional customer on request” pursuant to Section 2b of the </w:t>
            </w:r>
            <w:r w:rsidRPr="00C67FEB" w:rsidR="00E453DA">
              <w:rPr>
                <w:rFonts w:ascii="Times New Roman" w:eastAsia="Times New Roman" w:hAnsi="Times New Roman" w:cs="Times New Roman"/>
                <w:i/>
                <w:iCs/>
                <w:sz w:val="24"/>
                <w:szCs w:val="24"/>
                <w:lang w:val="en-GB" w:eastAsia="cs-CZ"/>
              </w:rPr>
              <w:t xml:space="preserve">Capital Market Business Act </w:t>
            </w:r>
            <w:r w:rsidRPr="00C67FEB">
              <w:rPr>
                <w:rFonts w:ascii="Times New Roman" w:eastAsia="Times New Roman" w:hAnsi="Times New Roman" w:cs="Times New Roman"/>
                <w:i/>
                <w:iCs/>
                <w:sz w:val="24"/>
                <w:szCs w:val="24"/>
                <w:lang w:val="en-GB" w:eastAsia="cs-CZ"/>
              </w:rPr>
              <w:t xml:space="preserve">or Section 272 of the </w:t>
            </w:r>
            <w:r w:rsidRPr="00C67FEB" w:rsidR="00E453DA">
              <w:rPr>
                <w:rFonts w:ascii="Times New Roman" w:eastAsia="Times New Roman" w:hAnsi="Times New Roman" w:cs="Times New Roman"/>
                <w:i/>
                <w:iCs/>
                <w:sz w:val="24"/>
                <w:szCs w:val="24"/>
                <w:lang w:val="en-GB" w:eastAsia="cs-CZ"/>
              </w:rPr>
              <w:t>Management Companies and Investment Funds Act</w:t>
            </w:r>
            <w:r w:rsidRPr="00C67FEB">
              <w:rPr>
                <w:rFonts w:ascii="Times New Roman" w:eastAsia="Times New Roman" w:hAnsi="Times New Roman" w:cs="Times New Roman"/>
                <w:i/>
                <w:iCs/>
                <w:sz w:val="24"/>
                <w:szCs w:val="24"/>
                <w:lang w:val="en-GB" w:eastAsia="cs-CZ"/>
              </w:rPr>
              <w:t xml:space="preserve">. Therefore, if an investor wishes, he may declare himself to be a professional </w:t>
            </w:r>
            <w:r w:rsidRPr="00C67FEB" w:rsidR="00E453DA">
              <w:rPr>
                <w:rFonts w:ascii="Times New Roman" w:eastAsia="Times New Roman" w:hAnsi="Times New Roman" w:cs="Times New Roman"/>
                <w:i/>
                <w:iCs/>
                <w:sz w:val="24"/>
                <w:szCs w:val="24"/>
                <w:lang w:val="en-GB" w:eastAsia="cs-CZ"/>
              </w:rPr>
              <w:t xml:space="preserve">customer under Capital Market Business Act </w:t>
            </w:r>
            <w:r w:rsidRPr="00C67FEB">
              <w:rPr>
                <w:rFonts w:ascii="Times New Roman" w:eastAsia="Times New Roman" w:hAnsi="Times New Roman" w:cs="Times New Roman"/>
                <w:i/>
                <w:iCs/>
                <w:sz w:val="24"/>
                <w:szCs w:val="24"/>
                <w:lang w:val="en-GB" w:eastAsia="cs-CZ"/>
              </w:rPr>
              <w:t xml:space="preserve">or a qualified </w:t>
            </w:r>
            <w:r w:rsidRPr="00C67FEB" w:rsidR="00E453DA">
              <w:rPr>
                <w:rFonts w:ascii="Times New Roman" w:eastAsia="Times New Roman" w:hAnsi="Times New Roman" w:cs="Times New Roman"/>
                <w:i/>
                <w:iCs/>
                <w:sz w:val="24"/>
                <w:szCs w:val="24"/>
                <w:lang w:val="en-GB" w:eastAsia="cs-CZ"/>
              </w:rPr>
              <w:t xml:space="preserve">investor under Management Companies and Investment Funds Act </w:t>
            </w:r>
            <w:r w:rsidRPr="00C67FEB">
              <w:rPr>
                <w:rFonts w:ascii="Times New Roman" w:eastAsia="Times New Roman" w:hAnsi="Times New Roman" w:cs="Times New Roman"/>
                <w:i/>
                <w:iCs/>
                <w:sz w:val="24"/>
                <w:szCs w:val="24"/>
                <w:lang w:val="en-GB" w:eastAsia="cs-CZ"/>
              </w:rPr>
              <w:t xml:space="preserve">investor and this declaration is deposited with the </w:t>
            </w:r>
            <w:r w:rsidRPr="00C67FEB" w:rsidR="00E453DA">
              <w:rPr>
                <w:rFonts w:ascii="Times New Roman" w:eastAsia="Times New Roman" w:hAnsi="Times New Roman" w:cs="Times New Roman"/>
                <w:i/>
                <w:iCs/>
                <w:sz w:val="24"/>
                <w:szCs w:val="24"/>
                <w:lang w:val="en-GB" w:eastAsia="cs-CZ"/>
              </w:rPr>
              <w:t>investment firm or manager</w:t>
            </w:r>
            <w:r w:rsidRPr="00C67FEB">
              <w:rPr>
                <w:rFonts w:ascii="Times New Roman" w:eastAsia="Times New Roman" w:hAnsi="Times New Roman" w:cs="Times New Roman"/>
                <w:i/>
                <w:iCs/>
                <w:sz w:val="24"/>
                <w:szCs w:val="24"/>
                <w:lang w:val="en-GB" w:eastAsia="cs-CZ"/>
              </w:rPr>
              <w:t xml:space="preserve">. We also believe that it should not be a certification granted by an institution or an equivalent </w:t>
            </w:r>
            <w:r w:rsidRPr="00C67FEB" w:rsidR="00E453DA">
              <w:rPr>
                <w:rFonts w:ascii="Times New Roman" w:eastAsia="Times New Roman" w:hAnsi="Times New Roman" w:cs="Times New Roman"/>
                <w:i/>
                <w:iCs/>
                <w:sz w:val="24"/>
                <w:szCs w:val="24"/>
                <w:lang w:val="en-GB" w:eastAsia="cs-CZ"/>
              </w:rPr>
              <w:t xml:space="preserve">to </w:t>
            </w:r>
            <w:r w:rsidRPr="00C67FEB">
              <w:rPr>
                <w:rFonts w:ascii="Times New Roman" w:eastAsia="Times New Roman" w:hAnsi="Times New Roman" w:cs="Times New Roman"/>
                <w:i/>
                <w:iCs/>
                <w:sz w:val="24"/>
                <w:szCs w:val="24"/>
                <w:lang w:val="en-GB" w:eastAsia="cs-CZ"/>
              </w:rPr>
              <w:t>list of certified investors. We believe that this could result in a counterproductive outcome, rather discouraging investors.</w:t>
            </w:r>
          </w:p>
          <w:p w:rsidR="00403DFA" w:rsidRPr="003B03B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3B03B1">
              <w:rPr>
                <w:rFonts w:ascii="Times New Roman" w:eastAsia="Times New Roman" w:hAnsi="Times New Roman" w:cs="Times New Roman"/>
                <w:b/>
                <w:bCs/>
                <w:sz w:val="24"/>
                <w:szCs w:val="24"/>
                <w:lang w:val="en-GB" w:eastAsia="cs-CZ"/>
              </w:rPr>
              <w:t xml:space="preserve">Market </w:t>
            </w:r>
            <w:r w:rsidRPr="003B03B1" w:rsidR="00E453DA">
              <w:rPr>
                <w:rFonts w:ascii="Times New Roman" w:eastAsia="Times New Roman" w:hAnsi="Times New Roman" w:cs="Times New Roman"/>
                <w:b/>
                <w:bCs/>
                <w:sz w:val="24"/>
                <w:szCs w:val="24"/>
                <w:lang w:val="en-GB" w:eastAsia="cs-CZ"/>
              </w:rPr>
              <w:t>a</w:t>
            </w:r>
            <w:r w:rsidRPr="003B03B1" w:rsidR="00413F41">
              <w:rPr>
                <w:rFonts w:ascii="Times New Roman" w:eastAsia="Times New Roman" w:hAnsi="Times New Roman" w:cs="Times New Roman"/>
                <w:b/>
                <w:bCs/>
                <w:sz w:val="24"/>
                <w:szCs w:val="24"/>
                <w:lang w:val="en-GB" w:eastAsia="cs-CZ"/>
              </w:rPr>
              <w:t>ssociation</w:t>
            </w:r>
            <w:r w:rsidRPr="003B03B1">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our opinion, the regulation of business angels would have a rather negative impact at the moment - some entities might be discouraged because of excessive administration. If self-certification is to be enforced, it should create a market advantage for certified investors, who could thus gain a more </w:t>
            </w:r>
            <w:r w:rsidRPr="00C67FEB" w:rsidR="00E453DA">
              <w:rPr>
                <w:rFonts w:ascii="Times New Roman" w:eastAsia="Times New Roman" w:hAnsi="Times New Roman" w:cs="Times New Roman"/>
                <w:i/>
                <w:iCs/>
                <w:sz w:val="24"/>
                <w:szCs w:val="24"/>
                <w:lang w:val="en-GB" w:eastAsia="cs-CZ"/>
              </w:rPr>
              <w:t>favourable</w:t>
            </w:r>
            <w:r w:rsidRPr="00C67FEB">
              <w:rPr>
                <w:rFonts w:ascii="Times New Roman" w:eastAsia="Times New Roman" w:hAnsi="Times New Roman" w:cs="Times New Roman"/>
                <w:i/>
                <w:iCs/>
                <w:sz w:val="24"/>
                <w:szCs w:val="24"/>
                <w:lang w:val="en-GB" w:eastAsia="cs-CZ"/>
              </w:rPr>
              <w:t xml:space="preserve"> status in negotiating their investments, while at the same time providing greater confidence and certainty for the investment beneficiary. We believe that a business angel and a qualified investor are two very different categories, because each of them basically invests in different assets with different risk profiles.</w:t>
            </w:r>
          </w:p>
          <w:p w:rsidR="00403DFA" w:rsidRPr="00905E0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u w:val="single"/>
                <w:lang w:val="en-GB" w:eastAsia="cs-CZ"/>
              </w:rPr>
              <w:t>Ad 1:</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our opinion, self-certification is not necessary. The current legislative framework provides ample opportunities for investment in start-ups. We do not see any obstacles in business angel</w:t>
            </w:r>
            <w:r w:rsidRPr="00C67FEB" w:rsidR="00E453DA">
              <w:rPr>
                <w:rFonts w:ascii="Times New Roman" w:eastAsia="Times New Roman" w:hAnsi="Times New Roman" w:cs="Times New Roman"/>
                <w:i/>
                <w:iCs/>
                <w:sz w:val="24"/>
                <w:szCs w:val="24"/>
                <w:lang w:val="en-GB" w:eastAsia="cs-CZ"/>
              </w:rPr>
              <w:t xml:space="preserve"> type of</w:t>
            </w:r>
            <w:r w:rsidRPr="00C67FEB">
              <w:rPr>
                <w:rFonts w:ascii="Times New Roman" w:eastAsia="Times New Roman" w:hAnsi="Times New Roman" w:cs="Times New Roman"/>
                <w:i/>
                <w:iCs/>
                <w:sz w:val="24"/>
                <w:szCs w:val="24"/>
                <w:lang w:val="en-GB" w:eastAsia="cs-CZ"/>
              </w:rPr>
              <w:t xml:space="preserve"> investment in current legislation.</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E453DA">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do not understand WB's recommendations very much. If self-certification was entirely voluntary, it would not matter. It should be noted that the corporate finance market in the Czech Republic works very well, all firms in the Czech Republic are under the scrutiny of private equity firms, venture capitalists and business angels.</w:t>
            </w:r>
            <w:r w:rsidR="0087579E">
              <w:rPr>
                <w:rFonts w:ascii="Times New Roman" w:eastAsia="Times New Roman" w:hAnsi="Times New Roman" w:cs="Times New Roman"/>
                <w:i/>
                <w:iCs/>
                <w:sz w:val="24"/>
                <w:szCs w:val="24"/>
                <w:lang w:val="en-GB" w:eastAsia="cs-CZ"/>
              </w:rPr>
              <w:t xml:space="preserve"> </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 consider the World Bank's proposal for self-</w:t>
            </w:r>
            <w:r w:rsidRPr="00C67FEB" w:rsidR="00C21ED6">
              <w:rPr>
                <w:rFonts w:ascii="Times New Roman" w:eastAsia="Times New Roman" w:hAnsi="Times New Roman" w:cs="Times New Roman"/>
                <w:i/>
                <w:iCs/>
                <w:sz w:val="24"/>
                <w:szCs w:val="24"/>
                <w:lang w:val="en-GB" w:eastAsia="cs-CZ"/>
              </w:rPr>
              <w:t>certification</w:t>
            </w:r>
            <w:r w:rsidRPr="00C67FEB">
              <w:rPr>
                <w:rFonts w:ascii="Times New Roman" w:eastAsia="Times New Roman" w:hAnsi="Times New Roman" w:cs="Times New Roman"/>
                <w:i/>
                <w:iCs/>
                <w:sz w:val="24"/>
                <w:szCs w:val="24"/>
                <w:lang w:val="en-GB" w:eastAsia="cs-CZ"/>
              </w:rPr>
              <w:t xml:space="preserve"> unnecessary.</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Positively.</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 agree.</w:t>
            </w:r>
          </w:p>
          <w:p w:rsidR="00403DFA" w:rsidRPr="00905E0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u w:val="single"/>
                <w:lang w:val="en-GB" w:eastAsia="cs-CZ"/>
              </w:rPr>
              <w:t>Ad 2:</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as mentioned above, in our opinion, self-certification is not necessary.</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413F41">
              <w:rPr>
                <w:rFonts w:ascii="Times New Roman" w:eastAsia="Times New Roman" w:hAnsi="Times New Roman" w:cs="Times New Roman"/>
                <w:b/>
                <w:bCs/>
                <w:sz w:val="24"/>
                <w:szCs w:val="24"/>
                <w:lang w:val="en-GB" w:eastAsia="cs-CZ"/>
              </w:rPr>
              <w:t>Association</w:t>
            </w:r>
            <w:r w:rsidRPr="00905E0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413F41">
              <w:rPr>
                <w:rFonts w:ascii="Times New Roman" w:eastAsia="Times New Roman" w:hAnsi="Times New Roman" w:cs="Times New Roman"/>
                <w:b/>
                <w:bCs/>
                <w:sz w:val="24"/>
                <w:szCs w:val="24"/>
                <w:lang w:val="en-GB" w:eastAsia="cs-CZ"/>
              </w:rPr>
              <w:t>Association</w:t>
            </w:r>
            <w:r w:rsidRPr="00905E0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 am not sure. It should apply to everything that is otherwise mandatory (all </w:t>
            </w:r>
            <w:r w:rsidRPr="00C67FEB" w:rsidR="00C21ED6">
              <w:rPr>
                <w:rFonts w:ascii="Times New Roman" w:eastAsia="Times New Roman" w:hAnsi="Times New Roman" w:cs="Times New Roman"/>
                <w:i/>
                <w:iCs/>
                <w:sz w:val="24"/>
                <w:szCs w:val="24"/>
                <w:lang w:val="en-GB" w:eastAsia="cs-CZ"/>
              </w:rPr>
              <w:t>bureaucracy</w:t>
            </w:r>
            <w:r w:rsidRPr="00C67FEB">
              <w:rPr>
                <w:rFonts w:ascii="Times New Roman" w:eastAsia="Times New Roman" w:hAnsi="Times New Roman" w:cs="Times New Roman"/>
                <w:i/>
                <w:iCs/>
                <w:sz w:val="24"/>
                <w:szCs w:val="24"/>
                <w:lang w:val="en-GB" w:eastAsia="cs-CZ"/>
              </w:rPr>
              <w:t>).</w:t>
            </w:r>
          </w:p>
          <w:p w:rsidR="00403DFA" w:rsidRPr="00905E0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u w:val="single"/>
                <w:lang w:val="en-GB" w:eastAsia="cs-CZ"/>
              </w:rPr>
              <w:t>Ad 3:</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Certification should not be </w:t>
            </w:r>
            <w:r w:rsidRPr="00C67FEB" w:rsidR="00C21ED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public status</w:t>
            </w:r>
            <w:r w:rsidRPr="00C67FEB" w:rsidR="00C21ED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If we consider a</w:t>
            </w:r>
            <w:r w:rsidRPr="00C67FEB" w:rsidR="00C21ED6">
              <w:rPr>
                <w:rFonts w:ascii="Times New Roman" w:eastAsia="Times New Roman" w:hAnsi="Times New Roman" w:cs="Times New Roman"/>
                <w:i/>
                <w:iCs/>
                <w:sz w:val="24"/>
                <w:szCs w:val="24"/>
                <w:lang w:val="en-GB" w:eastAsia="cs-CZ"/>
              </w:rPr>
              <w:t>n</w:t>
            </w:r>
            <w:r w:rsidRPr="00C67FEB">
              <w:rPr>
                <w:rFonts w:ascii="Times New Roman" w:eastAsia="Times New Roman" w:hAnsi="Times New Roman" w:cs="Times New Roman"/>
                <w:i/>
                <w:iCs/>
                <w:sz w:val="24"/>
                <w:szCs w:val="24"/>
                <w:lang w:val="en-GB" w:eastAsia="cs-CZ"/>
              </w:rPr>
              <w:t xml:space="preserve"> </w:t>
            </w:r>
            <w:r w:rsidRPr="00C67FEB" w:rsidR="00C21ED6">
              <w:rPr>
                <w:rFonts w:ascii="Times New Roman" w:eastAsia="Times New Roman" w:hAnsi="Times New Roman" w:cs="Times New Roman"/>
                <w:i/>
                <w:iCs/>
                <w:sz w:val="24"/>
                <w:szCs w:val="24"/>
                <w:lang w:val="en-GB" w:eastAsia="cs-CZ"/>
              </w:rPr>
              <w:t>analogy</w:t>
            </w:r>
            <w:r w:rsidRPr="00C67FEB">
              <w:rPr>
                <w:rFonts w:ascii="Times New Roman" w:eastAsia="Times New Roman" w:hAnsi="Times New Roman" w:cs="Times New Roman"/>
                <w:i/>
                <w:iCs/>
                <w:sz w:val="24"/>
                <w:szCs w:val="24"/>
                <w:lang w:val="en-GB" w:eastAsia="cs-CZ"/>
              </w:rPr>
              <w:t xml:space="preserve"> of voluntary certification, it should be offered by the </w:t>
            </w:r>
            <w:r w:rsidRPr="00C67FEB" w:rsidR="00C21ED6">
              <w:rPr>
                <w:rFonts w:ascii="Times New Roman" w:eastAsia="Times New Roman" w:hAnsi="Times New Roman" w:cs="Times New Roman"/>
                <w:i/>
                <w:iCs/>
                <w:sz w:val="24"/>
                <w:szCs w:val="24"/>
                <w:lang w:val="en-GB" w:eastAsia="cs-CZ"/>
              </w:rPr>
              <w:t xml:space="preserve">Czech </w:t>
            </w:r>
            <w:r w:rsidRPr="00C67FEB">
              <w:rPr>
                <w:rFonts w:ascii="Times New Roman" w:eastAsia="Times New Roman" w:hAnsi="Times New Roman" w:cs="Times New Roman"/>
                <w:i/>
                <w:iCs/>
                <w:sz w:val="24"/>
                <w:szCs w:val="24"/>
                <w:lang w:val="en-GB" w:eastAsia="cs-CZ"/>
              </w:rPr>
              <w:t xml:space="preserve">Capital Market </w:t>
            </w:r>
            <w:r w:rsidRPr="00C67FEB" w:rsidR="00413F41">
              <w:rPr>
                <w:rFonts w:ascii="Times New Roman" w:eastAsia="Times New Roman" w:hAnsi="Times New Roman" w:cs="Times New Roman"/>
                <w:i/>
                <w:iCs/>
                <w:sz w:val="24"/>
                <w:szCs w:val="24"/>
                <w:lang w:val="en-GB" w:eastAsia="cs-CZ"/>
              </w:rPr>
              <w:t>Association</w:t>
            </w:r>
            <w:r w:rsidRPr="00C67FEB">
              <w:rPr>
                <w:rFonts w:ascii="Times New Roman" w:eastAsia="Times New Roman" w:hAnsi="Times New Roman" w:cs="Times New Roman"/>
                <w:i/>
                <w:iCs/>
                <w:sz w:val="24"/>
                <w:szCs w:val="24"/>
                <w:lang w:val="en-GB" w:eastAsia="cs-CZ"/>
              </w:rPr>
              <w:t xml:space="preserve"> (AKAT).</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There should be fixed rules for this and there is no need for BA certification. In the UK, a financial advisor must ask the investor to sign the HNW and SI certificate. If the state does not intend to </w:t>
            </w:r>
            <w:r w:rsidRPr="00C67FEB" w:rsidR="00C21ED6">
              <w:rPr>
                <w:rFonts w:ascii="Times New Roman" w:eastAsia="Times New Roman" w:hAnsi="Times New Roman" w:cs="Times New Roman"/>
                <w:i/>
                <w:iCs/>
                <w:sz w:val="24"/>
                <w:szCs w:val="24"/>
                <w:lang w:val="en-GB" w:eastAsia="cs-CZ"/>
              </w:rPr>
              <w:t>favour</w:t>
            </w:r>
            <w:r w:rsidRPr="00C67FEB">
              <w:rPr>
                <w:rFonts w:ascii="Times New Roman" w:eastAsia="Times New Roman" w:hAnsi="Times New Roman" w:cs="Times New Roman"/>
                <w:i/>
                <w:iCs/>
                <w:sz w:val="24"/>
                <w:szCs w:val="24"/>
                <w:lang w:val="en-GB" w:eastAsia="cs-CZ"/>
              </w:rPr>
              <w:t xml:space="preserve"> BA in some way, for example by taxation, certification is unnecessary administration. Moreover, many investors act as BAs without calling or perceiving themselves this way. They simply provide money and advice to a business they know they think is promising. The relationship between BA and the firm in which they invest is bilateral, the role of the state in this respect is not essential or even desirable. </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Nobody.</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candidate himself by his statement.</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 agree with WB's view that the certification process should not be linked to the decision-making of the authorities or </w:t>
            </w:r>
            <w:r w:rsidRPr="00C67FEB" w:rsidR="00C21ED6">
              <w:rPr>
                <w:rFonts w:ascii="Times New Roman" w:eastAsia="Times New Roman" w:hAnsi="Times New Roman" w:cs="Times New Roman"/>
                <w:i/>
                <w:iCs/>
                <w:sz w:val="24"/>
                <w:szCs w:val="24"/>
                <w:lang w:val="en-GB" w:eastAsia="cs-CZ"/>
              </w:rPr>
              <w:t>institutions but</w:t>
            </w:r>
            <w:r w:rsidRPr="00C67FEB">
              <w:rPr>
                <w:rFonts w:ascii="Times New Roman" w:eastAsia="Times New Roman" w:hAnsi="Times New Roman" w:cs="Times New Roman"/>
                <w:i/>
                <w:iCs/>
                <w:sz w:val="24"/>
                <w:szCs w:val="24"/>
                <w:lang w:val="en-GB" w:eastAsia="cs-CZ"/>
              </w:rPr>
              <w:t xml:space="preserve"> would be a self-certification of the candidate. The need to go through qualification procedures would not contribute to increasing the investment activity of citizens.</w:t>
            </w:r>
          </w:p>
          <w:p w:rsidR="00403DFA" w:rsidRPr="00905E0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u w:val="single"/>
                <w:lang w:val="en-GB" w:eastAsia="cs-CZ"/>
              </w:rPr>
              <w:t>Ad 4:</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 qualified investor or professional customer on request should meet requirements in areas such as: property, investment experience, regularity of investment, ability to bear high risk. </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 consider the proposal to be superfluous.</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r w:rsidRPr="00C67FEB">
              <w:rPr>
                <w:rFonts w:ascii="Times New Roman" w:eastAsia="Times New Roman" w:hAnsi="Times New Roman" w:cs="Times New Roman"/>
                <w:i/>
                <w:iCs/>
                <w:sz w:val="24"/>
                <w:szCs w:val="24"/>
                <w:lang w:val="en-GB" w:eastAsia="cs-CZ"/>
              </w:rPr>
              <w:t>, respectively</w:t>
            </w:r>
            <w:r w:rsidRPr="00C67FE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just your decision.</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Assets and experience, but e</w:t>
            </w:r>
            <w:r w:rsidRPr="00C67FEB">
              <w:rPr>
                <w:rFonts w:ascii="Times New Roman" w:eastAsia="Times New Roman" w:hAnsi="Times New Roman" w:cs="Times New Roman"/>
                <w:i/>
                <w:iCs/>
                <w:sz w:val="24"/>
                <w:szCs w:val="24"/>
                <w:lang w:val="en-GB" w:eastAsia="cs-CZ"/>
              </w:rPr>
              <w:t xml:space="preserve">veryone </w:t>
            </w:r>
            <w:r w:rsidRPr="00C67FEB">
              <w:rPr>
                <w:rFonts w:ascii="Times New Roman" w:eastAsia="Times New Roman" w:hAnsi="Times New Roman" w:cs="Times New Roman"/>
                <w:i/>
                <w:iCs/>
                <w:sz w:val="24"/>
                <w:szCs w:val="24"/>
                <w:lang w:val="en-GB" w:eastAsia="cs-CZ"/>
              </w:rPr>
              <w:t xml:space="preserve">should </w:t>
            </w:r>
            <w:r w:rsidRPr="00C67FEB">
              <w:rPr>
                <w:rFonts w:ascii="Times New Roman" w:eastAsia="Times New Roman" w:hAnsi="Times New Roman" w:cs="Times New Roman"/>
                <w:i/>
                <w:iCs/>
                <w:sz w:val="24"/>
                <w:szCs w:val="24"/>
                <w:lang w:val="en-GB" w:eastAsia="cs-CZ"/>
              </w:rPr>
              <w:t>decide for himself or herself about their qualifications for this activity.</w:t>
            </w:r>
          </w:p>
          <w:p w:rsidR="00403DFA" w:rsidRPr="00905E0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u w:val="single"/>
                <w:lang w:val="en-GB" w:eastAsia="cs-CZ"/>
              </w:rPr>
              <w:t>Ad 5:</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Supervisory </w:t>
            </w:r>
            <w:r w:rsidRPr="00905E01" w:rsidR="00C21ED6">
              <w:rPr>
                <w:rFonts w:ascii="Times New Roman" w:eastAsia="Times New Roman" w:hAnsi="Times New Roman" w:cs="Times New Roman"/>
                <w:b/>
                <w:bCs/>
                <w:sz w:val="24"/>
                <w:szCs w:val="24"/>
                <w:lang w:val="en-GB" w:eastAsia="cs-CZ"/>
              </w:rPr>
              <w:t>a</w:t>
            </w:r>
            <w:r w:rsidRPr="00905E01">
              <w:rPr>
                <w:rFonts w:ascii="Times New Roman" w:eastAsia="Times New Roman" w:hAnsi="Times New Roman" w:cs="Times New Roman"/>
                <w:b/>
                <w:bCs/>
                <w:sz w:val="24"/>
                <w:szCs w:val="24"/>
                <w:lang w:val="en-GB" w:eastAsia="cs-CZ"/>
              </w:rPr>
              <w:t>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propose not to introduce the term “business angel” into the legislation, see also the CNB's general opinion above.</w:t>
            </w:r>
            <w:r w:rsidRPr="00C67FEB">
              <w:rPr>
                <w:rFonts w:ascii="Times New Roman" w:eastAsia="Times New Roman" w:hAnsi="Times New Roman" w:cs="Times New Roman"/>
                <w:sz w:val="24"/>
                <w:szCs w:val="24"/>
                <w:lang w:val="en-GB" w:eastAsia="cs-CZ"/>
              </w:rPr>
              <w:t xml:space="preserve"> </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C21ED6">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 business angel should be </w:t>
            </w:r>
            <w:r w:rsidRPr="00C67FEB" w:rsidR="00C21ED6">
              <w:rPr>
                <w:rFonts w:ascii="Times New Roman" w:eastAsia="Times New Roman" w:hAnsi="Times New Roman" w:cs="Times New Roman"/>
                <w:i/>
                <w:iCs/>
                <w:sz w:val="24"/>
                <w:szCs w:val="24"/>
                <w:lang w:val="en-GB" w:eastAsia="cs-CZ"/>
              </w:rPr>
              <w:t>more open</w:t>
            </w:r>
            <w:r w:rsidRPr="00C67FEB">
              <w:rPr>
                <w:rFonts w:ascii="Times New Roman" w:eastAsia="Times New Roman" w:hAnsi="Times New Roman" w:cs="Times New Roman"/>
                <w:i/>
                <w:iCs/>
                <w:sz w:val="24"/>
                <w:szCs w:val="24"/>
                <w:lang w:val="en-GB" w:eastAsia="cs-CZ"/>
              </w:rPr>
              <w:t xml:space="preserve"> than a qualified investor.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905E0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u w:val="single"/>
                <w:lang w:val="en-GB" w:eastAsia="cs-CZ"/>
              </w:rPr>
              <w:t>Ad 6:</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With the current definition of a qualified investor </w:t>
            </w:r>
            <w:r w:rsidRPr="00C67FEB" w:rsidR="00C21ED6">
              <w:rPr>
                <w:rFonts w:ascii="Times New Roman" w:eastAsia="Times New Roman" w:hAnsi="Times New Roman" w:cs="Times New Roman"/>
                <w:i/>
                <w:iCs/>
                <w:sz w:val="24"/>
                <w:szCs w:val="24"/>
                <w:lang w:val="en-GB" w:eastAsia="cs-CZ"/>
              </w:rPr>
              <w:t>under the</w:t>
            </w:r>
            <w:r w:rsidRPr="00C67FEB">
              <w:rPr>
                <w:rFonts w:ascii="Times New Roman" w:eastAsia="Times New Roman" w:hAnsi="Times New Roman" w:cs="Times New Roman"/>
                <w:i/>
                <w:iCs/>
                <w:sz w:val="24"/>
                <w:szCs w:val="24"/>
                <w:lang w:val="en-GB" w:eastAsia="cs-CZ"/>
              </w:rPr>
              <w:t xml:space="preserve"> </w:t>
            </w:r>
            <w:r w:rsidRPr="00C67FEB" w:rsidR="00C21ED6">
              <w:rPr>
                <w:rFonts w:ascii="Times New Roman" w:eastAsia="Times New Roman" w:hAnsi="Times New Roman" w:cs="Times New Roman"/>
                <w:i/>
                <w:iCs/>
                <w:sz w:val="24"/>
                <w:szCs w:val="24"/>
                <w:lang w:val="en-GB" w:eastAsia="cs-CZ"/>
              </w:rPr>
              <w:t>Management Companies and Investment Funds Act</w:t>
            </w:r>
            <w:r w:rsidRPr="00C67FEB">
              <w:rPr>
                <w:rFonts w:ascii="Times New Roman" w:eastAsia="Times New Roman" w:hAnsi="Times New Roman" w:cs="Times New Roman"/>
                <w:i/>
                <w:iCs/>
                <w:sz w:val="24"/>
                <w:szCs w:val="24"/>
                <w:lang w:val="en-GB" w:eastAsia="cs-CZ"/>
              </w:rPr>
              <w:t xml:space="preserve"> and a professional customer upon request under the </w:t>
            </w:r>
            <w:r w:rsidRPr="00C67FEB" w:rsidR="00C21ED6">
              <w:rPr>
                <w:rFonts w:ascii="Times New Roman" w:eastAsia="Times New Roman" w:hAnsi="Times New Roman" w:cs="Times New Roman"/>
                <w:i/>
                <w:iCs/>
                <w:sz w:val="24"/>
                <w:szCs w:val="24"/>
                <w:lang w:val="en-GB" w:eastAsia="cs-CZ"/>
              </w:rPr>
              <w:t>Capital Market Business Act</w:t>
            </w:r>
            <w:r w:rsidRPr="00C67FEB">
              <w:rPr>
                <w:rFonts w:ascii="Times New Roman" w:eastAsia="Times New Roman" w:hAnsi="Times New Roman" w:cs="Times New Roman"/>
                <w:i/>
                <w:iCs/>
                <w:sz w:val="24"/>
                <w:szCs w:val="24"/>
                <w:lang w:val="en-GB" w:eastAsia="cs-CZ"/>
              </w:rPr>
              <w:t>, such a restriction is not necessary.</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BE0FBE">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 xml:space="preserve">Market </w:t>
            </w:r>
            <w:r w:rsidRPr="00905E01" w:rsidR="00BE0FBE">
              <w:rPr>
                <w:rFonts w:ascii="Times New Roman" w:eastAsia="Times New Roman" w:hAnsi="Times New Roman" w:cs="Times New Roman"/>
                <w:b/>
                <w:bCs/>
                <w:sz w:val="24"/>
                <w:szCs w:val="24"/>
                <w:lang w:val="en-GB" w:eastAsia="cs-CZ"/>
              </w:rPr>
              <w:t>a</w:t>
            </w:r>
            <w:r w:rsidRPr="00905E01" w:rsidR="00413F41">
              <w:rPr>
                <w:rFonts w:ascii="Times New Roman" w:eastAsia="Times New Roman" w:hAnsi="Times New Roman" w:cs="Times New Roman"/>
                <w:b/>
                <w:bCs/>
                <w:sz w:val="24"/>
                <w:szCs w:val="24"/>
                <w:lang w:val="en-GB" w:eastAsia="cs-CZ"/>
              </w:rPr>
              <w:t>ssociation</w:t>
            </w:r>
            <w:r w:rsidRPr="00905E0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You</w:t>
            </w:r>
            <w:r w:rsidRPr="00C67FEB" w:rsidR="00BE0FBE">
              <w:rPr>
                <w:rFonts w:ascii="Times New Roman" w:eastAsia="Times New Roman" w:hAnsi="Times New Roman" w:cs="Times New Roman"/>
                <w:i/>
                <w:iCs/>
                <w:sz w:val="24"/>
                <w:szCs w:val="24"/>
                <w:lang w:val="en-GB" w:eastAsia="cs-CZ"/>
              </w:rPr>
              <w:t xml:space="preserve"> (we)</w:t>
            </w:r>
            <w:r w:rsidRPr="00C67FEB">
              <w:rPr>
                <w:rFonts w:ascii="Times New Roman" w:eastAsia="Times New Roman" w:hAnsi="Times New Roman" w:cs="Times New Roman"/>
                <w:i/>
                <w:iCs/>
                <w:sz w:val="24"/>
                <w:szCs w:val="24"/>
                <w:lang w:val="en-GB" w:eastAsia="cs-CZ"/>
              </w:rPr>
              <w:t xml:space="preserve"> will never protect everyone. It would be another condition that someone will try to circumvent - the principle will probably come up quickly. We live in the Czech Republic. Restrictions will prevent some people who are willing to bear a higher risk, evaluate their assets and protect +/- a similar number of individuals who would invest more of their assets in a product that is not suitable for them. The result will never correspond to the effort and work done. It should be noted that you </w:t>
            </w:r>
            <w:r w:rsidRPr="00C67FEB">
              <w:rPr>
                <w:rFonts w:ascii="Times New Roman" w:eastAsia="Times New Roman" w:hAnsi="Times New Roman" w:cs="Times New Roman"/>
                <w:i/>
                <w:iCs/>
                <w:sz w:val="24"/>
                <w:szCs w:val="24"/>
                <w:lang w:val="en-GB" w:eastAsia="cs-CZ"/>
              </w:rPr>
              <w:t>will never protect everyone, always</w:t>
            </w:r>
            <w:r w:rsidRPr="00C67FEB" w:rsidR="00BE0FBE">
              <w:rPr>
                <w:rFonts w:ascii="Times New Roman" w:eastAsia="Times New Roman" w:hAnsi="Times New Roman" w:cs="Times New Roman"/>
                <w:i/>
                <w:iCs/>
                <w:sz w:val="24"/>
                <w:szCs w:val="24"/>
                <w:lang w:val="en-GB" w:eastAsia="cs-CZ"/>
              </w:rPr>
              <w:t xml:space="preserve"> there will</w:t>
            </w:r>
            <w:r w:rsidRPr="00C67FEB">
              <w:rPr>
                <w:rFonts w:ascii="Times New Roman" w:eastAsia="Times New Roman" w:hAnsi="Times New Roman" w:cs="Times New Roman"/>
                <w:i/>
                <w:iCs/>
                <w:sz w:val="24"/>
                <w:szCs w:val="24"/>
                <w:lang w:val="en-GB" w:eastAsia="cs-CZ"/>
              </w:rPr>
              <w:t xml:space="preserve"> be angry</w:t>
            </w:r>
            <w:r w:rsidRPr="00C67FEB" w:rsidR="00BE0FBE">
              <w:rPr>
                <w:rFonts w:ascii="Times New Roman" w:eastAsia="Times New Roman" w:hAnsi="Times New Roman" w:cs="Times New Roman"/>
                <w:i/>
                <w:iCs/>
                <w:sz w:val="24"/>
                <w:szCs w:val="24"/>
                <w:lang w:val="en-GB" w:eastAsia="cs-CZ"/>
              </w:rPr>
              <w:t xml:space="preserve"> people,</w:t>
            </w:r>
            <w:r w:rsidRPr="00C67FEB">
              <w:rPr>
                <w:rFonts w:ascii="Times New Roman" w:eastAsia="Times New Roman" w:hAnsi="Times New Roman" w:cs="Times New Roman"/>
                <w:i/>
                <w:iCs/>
                <w:sz w:val="24"/>
                <w:szCs w:val="24"/>
                <w:lang w:val="en-GB" w:eastAsia="cs-CZ"/>
              </w:rPr>
              <w:t xml:space="preserve"> and no one will admit their mistake. May people prefer to be educated from </w:t>
            </w:r>
            <w:r w:rsidRPr="00C67FEB" w:rsidR="00BE0FBE">
              <w:rPr>
                <w:rFonts w:ascii="Times New Roman" w:eastAsia="Times New Roman" w:hAnsi="Times New Roman" w:cs="Times New Roman"/>
                <w:i/>
                <w:iCs/>
                <w:sz w:val="24"/>
                <w:szCs w:val="24"/>
                <w:lang w:val="en-GB" w:eastAsia="cs-CZ"/>
              </w:rPr>
              <w:t>young age</w:t>
            </w:r>
            <w:r w:rsidRPr="00C67FEB">
              <w:rPr>
                <w:rFonts w:ascii="Times New Roman" w:eastAsia="Times New Roman" w:hAnsi="Times New Roman" w:cs="Times New Roman"/>
                <w:i/>
                <w:iCs/>
                <w:sz w:val="24"/>
                <w:szCs w:val="24"/>
                <w:lang w:val="en-GB" w:eastAsia="cs-CZ"/>
              </w:rPr>
              <w:t xml:space="preserve"> to retirement and take care of their </w:t>
            </w:r>
            <w:r w:rsidRPr="00C67FEB">
              <w:rPr>
                <w:rFonts w:ascii="Times New Roman" w:eastAsia="Times New Roman" w:hAnsi="Times New Roman" w:cs="Times New Roman"/>
                <w:i/>
                <w:iCs/>
                <w:sz w:val="24"/>
                <w:szCs w:val="24"/>
                <w:lang w:val="en-GB" w:eastAsia="cs-CZ"/>
              </w:rPr>
              <w:t>money.</w:t>
            </w:r>
            <w:r w:rsidRPr="00C67FEB">
              <w:rPr>
                <w:rFonts w:ascii="Times New Roman" w:eastAsia="Times New Roman" w:hAnsi="Times New Roman" w:cs="Times New Roman"/>
                <w:i/>
                <w:iCs/>
                <w:sz w:val="24"/>
                <w:szCs w:val="24"/>
                <w:lang w:val="en-GB" w:eastAsia="cs-CZ"/>
              </w:rPr>
              <w:t xml:space="preserve"> Only then will it make sense. When </w:t>
            </w:r>
            <w:r w:rsidRPr="00C67FEB" w:rsidR="00BE0FBE">
              <w:rPr>
                <w:rFonts w:ascii="Times New Roman" w:eastAsia="Times New Roman" w:hAnsi="Times New Roman" w:cs="Times New Roman"/>
                <w:i/>
                <w:iCs/>
                <w:sz w:val="24"/>
                <w:szCs w:val="24"/>
                <w:lang w:val="en-GB" w:eastAsia="cs-CZ"/>
              </w:rPr>
              <w:t>“hands of people are</w:t>
            </w:r>
            <w:r w:rsidRPr="00C67FEB">
              <w:rPr>
                <w:rFonts w:ascii="Times New Roman" w:eastAsia="Times New Roman" w:hAnsi="Times New Roman" w:cs="Times New Roman"/>
                <w:i/>
                <w:iCs/>
                <w:sz w:val="24"/>
                <w:szCs w:val="24"/>
                <w:lang w:val="en-GB" w:eastAsia="cs-CZ"/>
              </w:rPr>
              <w:t xml:space="preserve"> constantly </w:t>
            </w:r>
            <w:r w:rsidRPr="00C67FEB" w:rsidR="00BE0FBE">
              <w:rPr>
                <w:rFonts w:ascii="Times New Roman" w:eastAsia="Times New Roman" w:hAnsi="Times New Roman" w:cs="Times New Roman"/>
                <w:i/>
                <w:iCs/>
                <w:sz w:val="24"/>
                <w:szCs w:val="24"/>
                <w:lang w:val="en-GB" w:eastAsia="cs-CZ"/>
              </w:rPr>
              <w:t>being led”</w:t>
            </w:r>
            <w:r w:rsidRPr="00C67FEB">
              <w:rPr>
                <w:rFonts w:ascii="Times New Roman" w:eastAsia="Times New Roman" w:hAnsi="Times New Roman" w:cs="Times New Roman"/>
                <w:i/>
                <w:iCs/>
                <w:sz w:val="24"/>
                <w:szCs w:val="24"/>
                <w:lang w:val="en-GB" w:eastAsia="cs-CZ"/>
              </w:rPr>
              <w:t>, they will never be independent, responsible and think. And the state will only endlessly invent their protection, which will never be effective enough.</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At least for the beginning yes, </w:t>
            </w:r>
            <w:r w:rsidRPr="00C67FEB" w:rsidR="00BE0FBE">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for the first 10-20 years of such a law.</w:t>
            </w:r>
          </w:p>
          <w:p w:rsidR="00403DFA" w:rsidRPr="00905E0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905E0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492D91" w:rsidP="0087579E">
            <w:pPr>
              <w:pStyle w:val="Heading1"/>
              <w:keepLines w:val="0"/>
              <w:jc w:val="center"/>
              <w:rPr>
                <w:rFonts w:ascii="Times New Roman" w:hAnsi="Times New Roman" w:cs="Times New Roman"/>
                <w:b/>
                <w:bCs/>
                <w:sz w:val="24"/>
                <w:szCs w:val="24"/>
              </w:rPr>
            </w:pPr>
            <w:bookmarkStart w:id="52" w:name="_Toc38555310"/>
            <w:bookmarkStart w:id="53" w:name="_Toc36479376"/>
            <w:r w:rsidRPr="00492D91">
              <w:rPr>
                <w:rFonts w:ascii="Times New Roman" w:eastAsia="Times New Roman" w:hAnsi="Times New Roman" w:cs="Times New Roman"/>
                <w:b/>
                <w:bCs/>
                <w:color w:val="000000" w:themeColor="text1"/>
                <w:sz w:val="24"/>
                <w:szCs w:val="24"/>
                <w:bdr w:val="single" w:sz="4" w:space="0" w:color="auto"/>
                <w:lang w:val="en-GB"/>
              </w:rPr>
              <w:t>2</w:t>
            </w:r>
            <w:r w:rsidRPr="00492D91" w:rsidR="007B2C6E">
              <w:rPr>
                <w:rFonts w:ascii="Times New Roman" w:hAnsi="Times New Roman" w:cs="Times New Roman"/>
                <w:b/>
                <w:bCs/>
                <w:color w:val="000000" w:themeColor="text1"/>
                <w:sz w:val="24"/>
                <w:szCs w:val="24"/>
                <w:bdr w:val="single" w:sz="4" w:space="0" w:color="auto"/>
                <w:lang w:val="en-GB"/>
              </w:rPr>
              <w:t>.</w:t>
            </w:r>
            <w:r w:rsidRPr="00492D91">
              <w:rPr>
                <w:rFonts w:ascii="Times New Roman" w:hAnsi="Times New Roman" w:cs="Times New Roman"/>
                <w:b/>
                <w:bCs/>
                <w:color w:val="000000" w:themeColor="text1"/>
                <w:sz w:val="24"/>
                <w:szCs w:val="24"/>
                <w:bdr w:val="single" w:sz="4" w:space="0" w:color="auto"/>
                <w:lang w:val="en-GB"/>
              </w:rPr>
              <w:t xml:space="preserve">4 </w:t>
            </w:r>
            <w:r w:rsidRPr="00492D91" w:rsidR="007B2C6E">
              <w:rPr>
                <w:rFonts w:ascii="Times New Roman" w:hAnsi="Times New Roman" w:cs="Times New Roman"/>
                <w:b/>
                <w:bCs/>
                <w:color w:val="000000" w:themeColor="text1"/>
                <w:sz w:val="24"/>
                <w:szCs w:val="24"/>
                <w:bdr w:val="single" w:sz="4" w:space="0" w:color="auto"/>
                <w:lang w:val="en-GB"/>
              </w:rPr>
              <w:t>Regulation of crowdfunding platforms marketing bonds</w:t>
            </w:r>
            <w:bookmarkEnd w:id="52"/>
            <w:bookmarkEnd w:id="53"/>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For the capital market, priority is given to investment crowdfunding, the development of which is also discussed in the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sz w:val="24"/>
                <w:szCs w:val="24"/>
                <w:lang w:val="en-GB" w:eastAsia="cs-CZ"/>
              </w:rPr>
              <w:t xml:space="preserve">. However, it should be noted that the concept of investment crowdfunding has expanded to bond offering platforms since the adoption of the </w:t>
            </w:r>
            <w:r w:rsidRPr="00C67FEB" w:rsidR="007B2C6E">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taking into account the CNB's FAQ on </w:t>
            </w:r>
            <w:r w:rsidRPr="00C67FEB" w:rsidR="007B2C6E">
              <w:rPr>
                <w:rFonts w:ascii="Times New Roman" w:eastAsia="Times New Roman" w:hAnsi="Times New Roman" w:cs="Times New Roman"/>
                <w:sz w:val="24"/>
                <w:szCs w:val="24"/>
                <w:lang w:val="en-GB" w:eastAsia="cs-CZ"/>
              </w:rPr>
              <w:t>marketing</w:t>
            </w:r>
            <w:r w:rsidRPr="00C67FEB">
              <w:rPr>
                <w:rFonts w:ascii="Times New Roman" w:eastAsia="Times New Roman" w:hAnsi="Times New Roman" w:cs="Times New Roman"/>
                <w:sz w:val="24"/>
                <w:szCs w:val="24"/>
                <w:lang w:val="en-GB" w:eastAsia="cs-CZ"/>
              </w:rPr>
              <w:t xml:space="preserve"> bond issues on </w:t>
            </w:r>
            <w:r w:rsidRPr="00C67FEB" w:rsidR="007B2C6E">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nternet platforms.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above CNB document distinguishes three types of bond platforms, and in the case of the first two types of bond platforms, according to the CNB's interpretation, the features of providing the main investment services are fulfilled, whether accepting and transmitting orders, placing investment instruments or investment advice.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largest scope for reflection on the potential regulatory adjustment is provided by the so-called pure advertising platforms, where the platform also acts as a service provider (but not an investment provider) and the issuer (</w:t>
            </w:r>
            <w:r w:rsidRPr="00C67FEB" w:rsidR="007B2C6E">
              <w:rPr>
                <w:rFonts w:ascii="Times New Roman" w:eastAsia="Times New Roman" w:hAnsi="Times New Roman" w:cs="Times New Roman"/>
                <w:sz w:val="24"/>
                <w:szCs w:val="24"/>
                <w:lang w:val="en-GB" w:eastAsia="cs-CZ"/>
              </w:rPr>
              <w:t>natural person</w:t>
            </w:r>
            <w:r w:rsidRPr="00C67FEB">
              <w:rPr>
                <w:rFonts w:ascii="Times New Roman" w:eastAsia="Times New Roman" w:hAnsi="Times New Roman" w:cs="Times New Roman"/>
                <w:sz w:val="24"/>
                <w:szCs w:val="24"/>
                <w:lang w:val="en-GB" w:eastAsia="cs-CZ"/>
              </w:rPr>
              <w:t xml:space="preserve">) and investors are consumers. The fact that the platform does not provide investment services means that it is not subject to CNB supervision and is not otherwise regulated (like the issuer) - as compared to regulated platforms, it is not obliged to </w:t>
            </w:r>
            <w:r w:rsidRPr="00C67FEB" w:rsidR="007B2C6E">
              <w:rPr>
                <w:rFonts w:ascii="Times New Roman" w:eastAsia="Times New Roman" w:hAnsi="Times New Roman" w:cs="Times New Roman"/>
                <w:sz w:val="24"/>
                <w:szCs w:val="24"/>
                <w:lang w:val="en-GB" w:eastAsia="cs-CZ"/>
              </w:rPr>
              <w:t>fulfil</w:t>
            </w:r>
            <w:r w:rsidRPr="00C67FEB">
              <w:rPr>
                <w:rFonts w:ascii="Times New Roman" w:eastAsia="Times New Roman" w:hAnsi="Times New Roman" w:cs="Times New Roman"/>
                <w:sz w:val="24"/>
                <w:szCs w:val="24"/>
                <w:lang w:val="en-GB" w:eastAsia="cs-CZ"/>
              </w:rPr>
              <w:t xml:space="preserve"> </w:t>
            </w:r>
            <w:r w:rsidRPr="00C67FEB" w:rsidR="007B2C6E">
              <w:rPr>
                <w:rFonts w:ascii="Times New Roman" w:eastAsia="Times New Roman" w:hAnsi="Times New Roman" w:cs="Times New Roman"/>
                <w:sz w:val="24"/>
                <w:szCs w:val="24"/>
                <w:lang w:val="en-GB" w:eastAsia="cs-CZ"/>
              </w:rPr>
              <w:t>e.g.</w:t>
            </w:r>
            <w:r w:rsidRPr="00C67FEB">
              <w:rPr>
                <w:rFonts w:ascii="Times New Roman" w:eastAsia="Times New Roman" w:hAnsi="Times New Roman" w:cs="Times New Roman"/>
                <w:sz w:val="24"/>
                <w:szCs w:val="24"/>
                <w:lang w:val="en-GB" w:eastAsia="cs-CZ"/>
              </w:rPr>
              <w:t xml:space="preserve"> obligations arising from EU </w:t>
            </w:r>
            <w:r w:rsidRPr="00C67FEB" w:rsidR="007B2C6E">
              <w:rPr>
                <w:rFonts w:ascii="Times New Roman" w:eastAsia="Times New Roman" w:hAnsi="Times New Roman" w:cs="Times New Roman"/>
                <w:sz w:val="24"/>
                <w:szCs w:val="24"/>
                <w:lang w:val="en-GB" w:eastAsia="cs-CZ"/>
              </w:rPr>
              <w:t>directives.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current legislation in force does not regulate crowdfunding or internet platforms </w:t>
            </w:r>
            <w:r w:rsidRPr="00C67FEB" w:rsidR="007B2C6E">
              <w:rPr>
                <w:rFonts w:ascii="Times New Roman" w:eastAsia="Times New Roman" w:hAnsi="Times New Roman" w:cs="Times New Roman"/>
                <w:sz w:val="24"/>
                <w:szCs w:val="24"/>
                <w:lang w:val="en-GB" w:eastAsia="cs-CZ"/>
              </w:rPr>
              <w:t>marketing</w:t>
            </w:r>
            <w:r w:rsidRPr="00C67FEB">
              <w:rPr>
                <w:rFonts w:ascii="Times New Roman" w:eastAsia="Times New Roman" w:hAnsi="Times New Roman" w:cs="Times New Roman"/>
                <w:sz w:val="24"/>
                <w:szCs w:val="24"/>
                <w:lang w:val="en-GB" w:eastAsia="cs-CZ"/>
              </w:rPr>
              <w:t xml:space="preserve"> bonds.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For the above reasons, it should be considered whether it would be appropriate to introduce regulation of these platforms. </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Three variants are </w:t>
            </w:r>
            <w:r w:rsidRPr="00C67FEB" w:rsidR="007B2C6E">
              <w:rPr>
                <w:rFonts w:ascii="Times New Roman" w:eastAsia="Times New Roman" w:hAnsi="Times New Roman" w:cs="Times New Roman"/>
                <w:sz w:val="24"/>
                <w:szCs w:val="24"/>
                <w:lang w:val="en-GB" w:eastAsia="cs-CZ"/>
              </w:rPr>
              <w:t>considered:</w:t>
            </w:r>
          </w:p>
          <w:p w:rsidR="00403DFA" w:rsidRPr="00C67FEB" w:rsidP="0087579E">
            <w:pPr>
              <w:keepNext/>
              <w:numPr>
                <w:ilvl w:val="0"/>
                <w:numId w:val="14"/>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7B2C6E">
              <w:rPr>
                <w:rFonts w:ascii="Times New Roman" w:eastAsia="Times New Roman" w:hAnsi="Times New Roman" w:cs="Times New Roman"/>
                <w:sz w:val="24"/>
                <w:szCs w:val="24"/>
                <w:lang w:val="en-GB" w:eastAsia="cs-CZ"/>
              </w:rPr>
              <w:t>k</w:t>
            </w:r>
            <w:r w:rsidRPr="00C67FEB">
              <w:rPr>
                <w:rFonts w:ascii="Times New Roman" w:eastAsia="Times New Roman" w:hAnsi="Times New Roman" w:cs="Times New Roman"/>
                <w:sz w:val="24"/>
                <w:szCs w:val="24"/>
                <w:lang w:val="en-GB" w:eastAsia="cs-CZ"/>
              </w:rPr>
              <w:t>eep the current status</w:t>
            </w:r>
          </w:p>
          <w:p w:rsidR="00403DFA" w:rsidRPr="00C67FEB" w:rsidP="0087579E">
            <w:pPr>
              <w:keepNext/>
              <w:numPr>
                <w:ilvl w:val="0"/>
                <w:numId w:val="14"/>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it is proposed that the advertising platforms explicitly state on their website that they are not subject to CNB </w:t>
            </w:r>
            <w:r w:rsidRPr="00C67FEB" w:rsidR="007B2C6E">
              <w:rPr>
                <w:rFonts w:ascii="Times New Roman" w:eastAsia="Times New Roman" w:hAnsi="Times New Roman" w:cs="Times New Roman"/>
                <w:sz w:val="24"/>
                <w:szCs w:val="24"/>
                <w:lang w:val="en-GB" w:eastAsia="cs-CZ"/>
              </w:rPr>
              <w:t>supervision,</w:t>
            </w:r>
            <w:r w:rsidRPr="00C67FEB">
              <w:rPr>
                <w:rFonts w:ascii="Times New Roman" w:eastAsia="Times New Roman" w:hAnsi="Times New Roman" w:cs="Times New Roman"/>
                <w:sz w:val="24"/>
                <w:szCs w:val="24"/>
                <w:lang w:val="en-GB" w:eastAsia="cs-CZ"/>
              </w:rPr>
              <w:t xml:space="preserve"> but to the extent of this declaratory obligation they will nevertheless be subject to CNB supervision and for this purpose will also be listed in the CNB's list</w:t>
            </w:r>
          </w:p>
          <w:p w:rsidR="00403DFA" w:rsidRPr="00C67FEB" w:rsidP="0087579E">
            <w:pPr>
              <w:keepNext/>
              <w:numPr>
                <w:ilvl w:val="0"/>
                <w:numId w:val="14"/>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2 - regulation of advertising for investment instruments with the supervision of regional trade licensing offices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At present, there is a lack of legislation in the Czech Republic that would result in a </w:t>
            </w:r>
            <w:r w:rsidRPr="00C67FEB" w:rsidR="00DF269A">
              <w:rPr>
                <w:rFonts w:ascii="Times New Roman" w:eastAsia="Times New Roman" w:hAnsi="Times New Roman" w:cs="Times New Roman"/>
                <w:sz w:val="24"/>
                <w:szCs w:val="24"/>
                <w:lang w:val="en-GB" w:eastAsia="cs-CZ"/>
              </w:rPr>
              <w:t xml:space="preserve">“disclaimer“ </w:t>
            </w:r>
            <w:r w:rsidRPr="00C67FEB">
              <w:rPr>
                <w:rFonts w:ascii="Times New Roman" w:eastAsia="Times New Roman" w:hAnsi="Times New Roman" w:cs="Times New Roman"/>
                <w:sz w:val="24"/>
                <w:szCs w:val="24"/>
                <w:lang w:val="en-GB" w:eastAsia="cs-CZ"/>
              </w:rPr>
              <w:t>obligation for advertising platforms that would provide greater investor protection, while at the same time there is no regulation of advertising for investment instruments. This reduces the protection of investors in these bonds. Maintaining this situation is a risk for the growth of trading in fraudulent bonds promising unrealistic returns.</w:t>
            </w:r>
            <w:r w:rsidR="0087579E">
              <w:rPr>
                <w:rFonts w:ascii="Times New Roman" w:eastAsia="Times New Roman" w:hAnsi="Times New Roman" w:cs="Times New Roman"/>
                <w:sz w:val="24"/>
                <w:szCs w:val="24"/>
                <w:lang w:val="en-GB" w:eastAsia="cs-CZ"/>
              </w:rPr>
              <w:t xml:space="preserve"> </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Option 1 - listing of advertising platforms in a list maintained and supervised by the CNB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w:t>
            </w:r>
            <w:r w:rsidRPr="00C67FEB" w:rsidR="00DF269A">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 xml:space="preserve">ption 1, it was considered that the advertising platforms should explicitly state on their website that they are not subject to CNB </w:t>
            </w:r>
            <w:r w:rsidRPr="00C67FEB" w:rsidR="00DF269A">
              <w:rPr>
                <w:rFonts w:ascii="Times New Roman" w:eastAsia="Times New Roman" w:hAnsi="Times New Roman" w:cs="Times New Roman"/>
                <w:sz w:val="24"/>
                <w:szCs w:val="24"/>
                <w:lang w:val="en-GB" w:eastAsia="cs-CZ"/>
              </w:rPr>
              <w:t>supervision,</w:t>
            </w:r>
            <w:r w:rsidRPr="00C67FEB">
              <w:rPr>
                <w:rFonts w:ascii="Times New Roman" w:eastAsia="Times New Roman" w:hAnsi="Times New Roman" w:cs="Times New Roman"/>
                <w:sz w:val="24"/>
                <w:szCs w:val="24"/>
                <w:lang w:val="en-GB" w:eastAsia="cs-CZ"/>
              </w:rPr>
              <w:t xml:space="preserve"> but to the extent of this declaratory obligation they would be subject to CNB supervision and would also be listed for that purpose. This option increases investor protection and increases the costs for the supervisor by imposing a new obligation. The downside to this option may be whether the list of advertising platforms addresses the problem of fraudulent bonds.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Option 2 - regulation of advertising for investment instruments with the supervision of regional trade licensing offices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considers regulating advertising for all investment instruments primarily in order to ensure at least a minimum level of regulation of advertising portals that are not subject to CNB supervision but nevertheless offer investment instruments to retail clients on their sites. It is contemplated that advertising should warn that no investment is risk </w:t>
            </w:r>
            <w:r w:rsidRPr="00C67FEB" w:rsidR="00DF269A">
              <w:rPr>
                <w:rFonts w:ascii="Times New Roman" w:eastAsia="Times New Roman" w:hAnsi="Times New Roman" w:cs="Times New Roman"/>
                <w:sz w:val="24"/>
                <w:szCs w:val="24"/>
                <w:lang w:val="en-GB" w:eastAsia="cs-CZ"/>
              </w:rPr>
              <w:t>free.</w:t>
            </w:r>
            <w:r w:rsidRPr="00C67FEB">
              <w:rPr>
                <w:rFonts w:ascii="Times New Roman" w:eastAsia="Times New Roman" w:hAnsi="Times New Roman" w:cs="Times New Roman"/>
                <w:sz w:val="24"/>
                <w:szCs w:val="24"/>
                <w:lang w:val="en-GB" w:eastAsia="cs-CZ"/>
              </w:rPr>
              <w:t xml:space="preserve"> Supervision of advertising for investment instruments should be performed by regional trade licensing offices. </w:t>
            </w:r>
            <w:r w:rsidRPr="00C67FEB" w:rsidR="00DF269A">
              <w:rPr>
                <w:rFonts w:ascii="Times New Roman" w:eastAsia="Times New Roman" w:hAnsi="Times New Roman" w:cs="Times New Roman"/>
                <w:sz w:val="24"/>
                <w:szCs w:val="24"/>
                <w:lang w:val="en-GB" w:eastAsia="cs-CZ"/>
              </w:rPr>
              <w:t>This option represents an increase in the protection of investors in investment instruments, an increase in the costs of regional trade licensing offices with regard to the need for a new supervisory obligation.</w:t>
            </w:r>
            <w:r w:rsidRPr="00C67FEB">
              <w:rPr>
                <w:rFonts w:ascii="Times New Roman" w:eastAsia="Times New Roman" w:hAnsi="Times New Roman" w:cs="Times New Roman"/>
                <w:sz w:val="24"/>
                <w:szCs w:val="24"/>
                <w:lang w:val="en-GB" w:eastAsia="cs-CZ"/>
              </w:rPr>
              <w:t> </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Given the negative of option 1, </w:t>
            </w:r>
            <w:r w:rsidRPr="00C67FEB" w:rsidR="00DF269A">
              <w:rPr>
                <w:rFonts w:ascii="Times New Roman" w:eastAsia="Times New Roman" w:hAnsi="Times New Roman" w:cs="Times New Roman"/>
                <w:sz w:val="24"/>
                <w:szCs w:val="24"/>
                <w:lang w:val="en-GB" w:eastAsia="cs-CZ"/>
              </w:rPr>
              <w:t>i.e.</w:t>
            </w:r>
            <w:r w:rsidRPr="00C67FEB">
              <w:rPr>
                <w:rFonts w:ascii="Times New Roman" w:eastAsia="Times New Roman" w:hAnsi="Times New Roman" w:cs="Times New Roman"/>
                <w:sz w:val="24"/>
                <w:szCs w:val="24"/>
                <w:lang w:val="en-GB" w:eastAsia="cs-CZ"/>
              </w:rPr>
              <w:t xml:space="preserve"> whether the list of advertising platforms addresses the problem of fraudulent bonds and the added value of CNB supervision, it seems more appropriate to regulate the advertising of advertising platforms of all investment instruments similar to regulation of gambling advertising and regional trade licensing offices. The positive aspect of this option is an increase in investor protection. A negative factor is the need to adapt to the new legislation and the negative costs of regional trade licensing offices, which will be accompanied by a new supervision obligation. However, their burden appears to be less than that of the CNB in ​​</w:t>
            </w:r>
            <w:r w:rsidRPr="00C67FEB" w:rsidR="00DF269A">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ption 1, because the regional trade licensing offices are already supervising advertising and there is no need for specialized supervision by the CNB. For this reason, option 2 seems to be the most appropriate.</w:t>
            </w:r>
            <w:r w:rsidR="0087579E">
              <w:rPr>
                <w:rFonts w:ascii="Times New Roman" w:eastAsia="Times New Roman" w:hAnsi="Times New Roman" w:cs="Times New Roman"/>
                <w:sz w:val="24"/>
                <w:szCs w:val="24"/>
                <w:lang w:val="en-GB" w:eastAsia="cs-CZ"/>
              </w:rPr>
              <w:t xml:space="preserve"> </w:t>
            </w:r>
          </w:p>
          <w:p w:rsidR="00403DFA" w:rsidRPr="00492D9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Summary of impacts of the chosen </w:t>
            </w:r>
            <w:r w:rsidRPr="00492D91" w:rsidR="00492D91">
              <w:rPr>
                <w:rFonts w:ascii="Times New Roman" w:eastAsia="Times New Roman" w:hAnsi="Times New Roman" w:cs="Times New Roman"/>
                <w:b/>
                <w:bCs/>
                <w:sz w:val="24"/>
                <w:szCs w:val="24"/>
                <w:lang w:val="en-GB" w:eastAsia="cs-CZ"/>
              </w:rPr>
              <w:t>Option 2</w:t>
            </w:r>
          </w:p>
          <w:tbl>
            <w:tblPr>
              <w:tblW w:w="0" w:type="auto"/>
              <w:tblCellMar>
                <w:left w:w="0" w:type="dxa"/>
                <w:right w:w="0" w:type="dxa"/>
              </w:tblCellMar>
              <w:tblLook w:val="04A0"/>
            </w:tblPr>
            <w:tblGrid>
              <w:gridCol w:w="4606"/>
              <w:gridCol w:w="4606"/>
            </w:tblGrid>
            <w:tr>
              <w:tblPrEx>
                <w:tblW w:w="0" w:type="auto"/>
                <w:tblCellMar>
                  <w:left w:w="0" w:type="dxa"/>
                  <w:right w:w="0" w:type="dxa"/>
                </w:tblCellMar>
                <w:tblLook w:val="04A0"/>
              </w:tblPrEx>
              <w:tc>
                <w:tcPr>
                  <w:tcW w:w="4606"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492D91"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492D91">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4606"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492D91"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color w:val="FFFFFF"/>
                      <w:sz w:val="24"/>
                      <w:szCs w:val="24"/>
                      <w:lang w:val="en-GB" w:eastAsia="cs-CZ"/>
                    </w:rPr>
                    <w:t>Costs / negatives</w:t>
                  </w:r>
                </w:p>
              </w:tc>
            </w:tr>
            <w:tr>
              <w:tblPrEx>
                <w:tblW w:w="0" w:type="auto"/>
                <w:tblCellMar>
                  <w:left w:w="0" w:type="dxa"/>
                  <w:right w:w="0" w:type="dxa"/>
                </w:tblCellMar>
                <w:tblLook w:val="04A0"/>
              </w:tblPrEx>
              <w:tc>
                <w:tcPr>
                  <w:tcW w:w="4606"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investor protection</w:t>
                  </w:r>
                </w:p>
              </w:tc>
              <w:tc>
                <w:tcPr>
                  <w:tcW w:w="4606"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costs of regional trade licensing offices</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7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r>
              <w:tblPrEx>
                <w:tblW w:w="0" w:type="auto"/>
                <w:tblCellMar>
                  <w:left w:w="0" w:type="dxa"/>
                  <w:right w:w="0" w:type="dxa"/>
                </w:tblCellMar>
                <w:tblLook w:val="04A0"/>
              </w:tblPrEx>
              <w:tc>
                <w:tcPr>
                  <w:tcW w:w="4606"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c>
                <w:tcPr>
                  <w:tcW w:w="4606"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DF269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 Do you consider it a problem, in terms of consumer protection, that the advertising platforms are not supervised by the Czech National Bank? </w:t>
                  </w:r>
                </w:p>
                <w:p w:rsidR="00403DFA" w:rsidRPr="00C67FEB" w:rsidP="0087579E">
                  <w:pPr>
                    <w:keepNext/>
                    <w:spacing w:after="0" w:line="240" w:lineRule="auto"/>
                    <w:jc w:val="both"/>
                    <w:rPr>
                      <w:rFonts w:ascii="Times New Roman" w:eastAsia="Times New Roman" w:hAnsi="Times New Roman" w:cs="Times New Roman"/>
                      <w:color w:val="FFFFFF"/>
                      <w:sz w:val="24"/>
                      <w:szCs w:val="24"/>
                      <w:lang w:eastAsia="cs-CZ"/>
                    </w:rPr>
                  </w:pPr>
                  <w:r w:rsidRPr="00C67FEB">
                    <w:rPr>
                      <w:rFonts w:ascii="Times New Roman" w:eastAsia="Times New Roman" w:hAnsi="Times New Roman" w:cs="Times New Roman"/>
                      <w:color w:val="FFFFFF"/>
                      <w:sz w:val="24"/>
                      <w:szCs w:val="24"/>
                      <w:lang w:val="en-GB" w:eastAsia="cs-CZ"/>
                    </w:rPr>
                    <w:t>2</w:t>
                  </w:r>
                  <w:r w:rsidRPr="00C67FEB" w:rsidR="0034242E">
                    <w:rPr>
                      <w:rFonts w:ascii="Times New Roman" w:eastAsia="Times New Roman" w:hAnsi="Times New Roman" w:cs="Times New Roman"/>
                      <w:color w:val="FFFFFF"/>
                      <w:sz w:val="24"/>
                      <w:szCs w:val="24"/>
                      <w:lang w:val="en-GB" w:eastAsia="cs-CZ"/>
                    </w:rPr>
                    <w:t>)</w:t>
                  </w:r>
                  <w:r w:rsidRPr="00C67FEB">
                    <w:rPr>
                      <w:rFonts w:ascii="Times New Roman" w:eastAsia="Times New Roman" w:hAnsi="Times New Roman" w:cs="Times New Roman"/>
                      <w:color w:val="FFFFFF"/>
                      <w:sz w:val="24"/>
                      <w:szCs w:val="24"/>
                      <w:lang w:val="en-GB" w:eastAsia="cs-CZ"/>
                    </w:rPr>
                    <w:t xml:space="preserve"> Is regulation of advertisement an appropriate way to regulate these platforms, considering that these entities are not subject to regulation related to the provision of investment services?</w:t>
                  </w:r>
                  <w:r w:rsidRPr="00C67FEB">
                    <w:rPr>
                      <w:rFonts w:ascii="Times New Roman" w:eastAsia="Times New Roman" w:hAnsi="Times New Roman" w:cs="Times New Roman"/>
                      <w:color w:val="FFFFFF"/>
                      <w:sz w:val="24"/>
                      <w:szCs w:val="24"/>
                      <w:lang w:eastAsia="cs-CZ"/>
                    </w:rPr>
                    <w:t xml:space="preserve"> </w:t>
                  </w:r>
                </w:p>
              </w:tc>
            </w:tr>
          </w:tbl>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Results of the consultation</w:t>
            </w:r>
          </w:p>
          <w:p w:rsidR="00403DFA" w:rsidRPr="00492D91" w:rsidP="0087579E">
            <w:pPr>
              <w:keepNext/>
              <w:spacing w:before="120" w:after="120" w:line="240" w:lineRule="auto"/>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u w:val="single"/>
                <w:lang w:val="en-GB" w:eastAsia="cs-CZ"/>
              </w:rPr>
              <w:t>In general:</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CNB has recently published a FAQ on internet platforms </w:t>
            </w:r>
            <w:r w:rsidRPr="00C67FEB" w:rsidR="0034242E">
              <w:rPr>
                <w:rFonts w:ascii="Times New Roman" w:eastAsia="Times New Roman" w:hAnsi="Times New Roman" w:cs="Times New Roman"/>
                <w:i/>
                <w:iCs/>
                <w:sz w:val="24"/>
                <w:szCs w:val="24"/>
                <w:lang w:val="en-GB" w:eastAsia="cs-CZ"/>
              </w:rPr>
              <w:t>marketing</w:t>
            </w:r>
            <w:r w:rsidRPr="00C67FEB">
              <w:rPr>
                <w:rFonts w:ascii="Times New Roman" w:eastAsia="Times New Roman" w:hAnsi="Times New Roman" w:cs="Times New Roman"/>
                <w:i/>
                <w:iCs/>
                <w:sz w:val="24"/>
                <w:szCs w:val="24"/>
                <w:lang w:val="en-GB" w:eastAsia="cs-CZ"/>
              </w:rPr>
              <w:t xml:space="preserve"> bonds. This material is intended primarily for platform operators to consider a possible application for a license to perform core investment services under the </w:t>
            </w:r>
            <w:r w:rsidRPr="00C67FEB" w:rsidR="0034242E">
              <w:rPr>
                <w:rFonts w:ascii="Times New Roman" w:eastAsia="Times New Roman" w:hAnsi="Times New Roman" w:cs="Times New Roman"/>
                <w:i/>
                <w:iCs/>
                <w:sz w:val="24"/>
                <w:szCs w:val="24"/>
                <w:lang w:val="en-GB" w:eastAsia="cs-CZ"/>
              </w:rPr>
              <w:t>Capital Market Business Act</w:t>
            </w:r>
            <w:r w:rsidRPr="00C67FEB">
              <w:rPr>
                <w:rFonts w:ascii="Times New Roman" w:eastAsia="Times New Roman" w:hAnsi="Times New Roman" w:cs="Times New Roman"/>
                <w:i/>
                <w:iCs/>
                <w:sz w:val="24"/>
                <w:szCs w:val="24"/>
                <w:lang w:val="en-GB" w:eastAsia="cs-CZ"/>
              </w:rPr>
              <w:t xml:space="preserve">. Therefore, we believe that mandatory information on whether or not a platform operator is an investment firm authorized under </w:t>
            </w:r>
            <w:r w:rsidRPr="00C67FEB" w:rsidR="0034242E">
              <w:rPr>
                <w:rFonts w:ascii="Times New Roman" w:eastAsia="Times New Roman" w:hAnsi="Times New Roman" w:cs="Times New Roman"/>
                <w:i/>
                <w:iCs/>
                <w:sz w:val="24"/>
                <w:szCs w:val="24"/>
                <w:lang w:val="en-GB" w:eastAsia="cs-CZ"/>
              </w:rPr>
              <w:t>Section</w:t>
            </w:r>
            <w:r w:rsidRPr="00C67FEB">
              <w:rPr>
                <w:rFonts w:ascii="Times New Roman" w:eastAsia="Times New Roman" w:hAnsi="Times New Roman" w:cs="Times New Roman"/>
                <w:i/>
                <w:iCs/>
                <w:sz w:val="24"/>
                <w:szCs w:val="24"/>
                <w:lang w:val="en-GB" w:eastAsia="cs-CZ"/>
              </w:rPr>
              <w:t xml:space="preserve"> 5 of the </w:t>
            </w:r>
            <w:r w:rsidRPr="00C67FEB" w:rsidR="0034242E">
              <w:rPr>
                <w:rFonts w:ascii="Times New Roman" w:eastAsia="Times New Roman" w:hAnsi="Times New Roman" w:cs="Times New Roman"/>
                <w:i/>
                <w:iCs/>
                <w:sz w:val="24"/>
                <w:szCs w:val="24"/>
                <w:lang w:val="en-GB" w:eastAsia="cs-CZ"/>
              </w:rPr>
              <w:t>Capital Market Business Act</w:t>
            </w:r>
            <w:r w:rsidRPr="00C67FEB">
              <w:rPr>
                <w:rFonts w:ascii="Times New Roman" w:eastAsia="Times New Roman" w:hAnsi="Times New Roman" w:cs="Times New Roman"/>
                <w:i/>
                <w:iCs/>
                <w:sz w:val="24"/>
                <w:szCs w:val="24"/>
                <w:lang w:val="en-GB" w:eastAsia="cs-CZ"/>
              </w:rPr>
              <w:t xml:space="preserve"> would be sufficient to inform investors using platform services. We consider the introduction of the list of online advertising platforms offering bonds maintained by the CNB to be superfluous.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34242E">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Although we realize that in some cases the boundaries of providing investment services may not be quite clear (especially for investment advisory), and without at the same time undermining the importance of ad hoc assessment of a particular entity, we tend to believe that these types of platforms </w:t>
            </w:r>
            <w:r w:rsidRPr="00C67FEB" w:rsidR="0034242E">
              <w:rPr>
                <w:rFonts w:ascii="Times New Roman" w:eastAsia="Times New Roman" w:hAnsi="Times New Roman" w:cs="Times New Roman"/>
                <w:i/>
                <w:iCs/>
                <w:sz w:val="24"/>
                <w:szCs w:val="24"/>
                <w:lang w:val="en-GB" w:eastAsia="cs-CZ"/>
              </w:rPr>
              <w:t>usually provide investment services</w:t>
            </w:r>
            <w:r w:rsidRPr="00C67FEB">
              <w:rPr>
                <w:rFonts w:ascii="Times New Roman" w:eastAsia="Times New Roman" w:hAnsi="Times New Roman" w:cs="Times New Roman"/>
                <w:i/>
                <w:iCs/>
                <w:sz w:val="24"/>
                <w:szCs w:val="24"/>
                <w:lang w:val="en-GB" w:eastAsia="cs-CZ"/>
              </w:rPr>
              <w:t xml:space="preserve">. In these circumstances, we see no reason not to be subject to the relevant public regulation of the Capital Market </w:t>
            </w:r>
            <w:r w:rsidRPr="00C67FEB" w:rsidR="0034242E">
              <w:rPr>
                <w:rFonts w:ascii="Times New Roman" w:eastAsia="Times New Roman" w:hAnsi="Times New Roman" w:cs="Times New Roman"/>
                <w:i/>
                <w:iCs/>
                <w:sz w:val="24"/>
                <w:szCs w:val="24"/>
                <w:lang w:val="en-GB" w:eastAsia="cs-CZ"/>
              </w:rPr>
              <w:t>Business</w:t>
            </w:r>
            <w:r w:rsidRPr="00C67FEB">
              <w:rPr>
                <w:rFonts w:ascii="Times New Roman" w:eastAsia="Times New Roman" w:hAnsi="Times New Roman" w:cs="Times New Roman"/>
                <w:i/>
                <w:iCs/>
                <w:sz w:val="24"/>
                <w:szCs w:val="24"/>
                <w:lang w:val="en-GB" w:eastAsia="cs-CZ"/>
              </w:rPr>
              <w:t xml:space="preserve"> Act. In this respect, we warn against the current legal situation, leaving room for such a qualification of their activities that completely excludes them from the CNB's supervisory powers. Even if no investment services were identified in a specific case, in line with the current CNB trends towards increased protection of retail investors (cf. CNB Supervision Benchmark No 2/2019), we perceive their vulnerability to the bond issues of some issuers with dubious business models. For this reason, we see a certain degree of at least the minimum involvement of the CNB (as a capital market regulator</w:t>
            </w:r>
            <w:r w:rsidRPr="00C67FEB" w:rsidR="0034242E">
              <w:rPr>
                <w:rFonts w:ascii="Times New Roman" w:eastAsia="Times New Roman" w:hAnsi="Times New Roman" w:cs="Times New Roman"/>
                <w:i/>
                <w:iCs/>
                <w:sz w:val="24"/>
                <w:szCs w:val="24"/>
                <w:lang w:val="en-GB" w:eastAsia="cs-CZ"/>
              </w:rPr>
              <w:t>/supervisor</w:t>
            </w:r>
            <w:r w:rsidRPr="00C67FEB">
              <w:rPr>
                <w:rFonts w:ascii="Times New Roman" w:eastAsia="Times New Roman" w:hAnsi="Times New Roman" w:cs="Times New Roman"/>
                <w:i/>
                <w:iCs/>
                <w:sz w:val="24"/>
                <w:szCs w:val="24"/>
                <w:lang w:val="en-GB" w:eastAsia="cs-CZ"/>
              </w:rPr>
              <w:t xml:space="preserve">) in the operation of Internet platforms solely </w:t>
            </w:r>
            <w:r w:rsidRPr="00C67FEB" w:rsidR="0034242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advertising</w:t>
            </w:r>
            <w:r w:rsidRPr="00C67FEB" w:rsidR="0034242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w:t>
            </w:r>
            <w:r w:rsidRPr="00C67FEB" w:rsidR="0034242E">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de facto intermediating) relevant investment instruments, albeit subject to general advertising regulation rules. We consider the proposed measure of mandatory registration and reporting of the CNB's role in the supervision of these entities to be potentially beneficial. We even believe that stricter regulation would probably be envisaged.</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Concerning the text: </w:t>
            </w:r>
            <w:r w:rsidRPr="00C67FEB" w:rsidR="0034242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With regard to the fact… in its list</w:t>
            </w:r>
            <w:r w:rsidRPr="00C67FEB" w:rsidR="0034242E">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on this text we would like to remark that investors know this very well. Most of them can find it themselves. But they only know about it until something goes wrong. That is, if they choose a title that goes well, they knew about it and they didn't mind the risk. However, if there is a problem, then they did not know anything (and are able to deny the information they have </w:t>
            </w:r>
            <w:r w:rsidRPr="00C67FEB" w:rsidR="0034242E">
              <w:rPr>
                <w:rFonts w:ascii="Times New Roman" w:eastAsia="Times New Roman" w:hAnsi="Times New Roman" w:cs="Times New Roman"/>
                <w:i/>
                <w:iCs/>
                <w:sz w:val="24"/>
                <w:szCs w:val="24"/>
                <w:lang w:val="en-GB" w:eastAsia="cs-CZ"/>
              </w:rPr>
              <w:t xml:space="preserve">verifiably </w:t>
            </w:r>
            <w:r w:rsidRPr="00C67FEB">
              <w:rPr>
                <w:rFonts w:ascii="Times New Roman" w:eastAsia="Times New Roman" w:hAnsi="Times New Roman" w:cs="Times New Roman"/>
                <w:i/>
                <w:iCs/>
                <w:sz w:val="24"/>
                <w:szCs w:val="24"/>
                <w:lang w:val="en-GB" w:eastAsia="cs-CZ"/>
              </w:rPr>
              <w:t xml:space="preserve">at their disposal) and try to put their responsibility on someone else. </w:t>
            </w:r>
          </w:p>
          <w:p w:rsidR="00403DFA" w:rsidRPr="00492D9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u w:val="single"/>
                <w:lang w:val="en-GB" w:eastAsia="cs-CZ"/>
              </w:rPr>
              <w:t>Ad 1:</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From a consumer protection point of view, we do not consider it a problem that internet platforms offering bonds that operate only services of a purely advertising nature are not supervised by the CNB. We believe that the introduction of a list of advertising platforms would not benefit consumer protection. If there were a requirement to maintain such a CNB list, we believe that it would be necessary to introduce a sanction for entities that would not be included in the list. This would mean some form of CNB supervision. The disclaimer that the activities of operators of such platforms is not subject to CNB supervision is meaningless. At the same time, we are concerned that mere entry into </w:t>
            </w:r>
            <w:r w:rsidRPr="00C67FEB">
              <w:rPr>
                <w:rFonts w:ascii="Times New Roman" w:eastAsia="Times New Roman" w:hAnsi="Times New Roman" w:cs="Times New Roman"/>
                <w:i/>
                <w:iCs/>
                <w:sz w:val="24"/>
                <w:szCs w:val="24"/>
                <w:lang w:val="en-GB" w:eastAsia="cs-CZ"/>
              </w:rPr>
              <w:t>the list kept by the CNB should not be misused</w:t>
            </w:r>
            <w:r w:rsidRPr="00C67FEB" w:rsidR="00E4527B">
              <w:rPr>
                <w:rFonts w:ascii="Times New Roman" w:eastAsia="Times New Roman" w:hAnsi="Times New Roman" w:cs="Times New Roman"/>
                <w:i/>
                <w:iCs/>
                <w:sz w:val="24"/>
                <w:szCs w:val="24"/>
                <w:lang w:val="en-GB" w:eastAsia="cs-CZ"/>
              </w:rPr>
              <w:t xml:space="preserve"> in marketing materials</w:t>
            </w:r>
            <w:r w:rsidRPr="00C67FEB">
              <w:rPr>
                <w:rFonts w:ascii="Times New Roman" w:eastAsia="Times New Roman" w:hAnsi="Times New Roman" w:cs="Times New Roman"/>
                <w:i/>
                <w:iCs/>
                <w:sz w:val="24"/>
                <w:szCs w:val="24"/>
                <w:lang w:val="en-GB" w:eastAsia="cs-CZ"/>
              </w:rPr>
              <w:t xml:space="preserve"> by the entities concerned. Moreover, if the CNB kept such a list, this would have no significance in terms of consumer protection. The list would serve practically only for registration purposes. It can also be assumed that advertising websites may also apply for registration, where investment instruments may be offered, but which primarily serve for the sale of other items (</w:t>
            </w:r>
            <w:r w:rsidRPr="00C67FEB">
              <w:rPr>
                <w:rFonts w:ascii="Times New Roman" w:eastAsia="Times New Roman" w:hAnsi="Times New Roman" w:cs="Times New Roman"/>
                <w:i/>
                <w:iCs/>
                <w:sz w:val="24"/>
                <w:szCs w:val="24"/>
                <w:lang w:val="en-GB" w:eastAsia="cs-CZ"/>
              </w:rPr>
              <w:t>Aukro</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Sbazar</w:t>
            </w:r>
            <w:r w:rsidRPr="00C67FEB">
              <w:rPr>
                <w:rFonts w:ascii="Times New Roman" w:eastAsia="Times New Roman" w:hAnsi="Times New Roman" w:cs="Times New Roman"/>
                <w:i/>
                <w:iCs/>
                <w:sz w:val="24"/>
                <w:szCs w:val="24"/>
                <w:lang w:val="en-GB" w:eastAsia="cs-CZ"/>
              </w:rPr>
              <w:t xml:space="preserve">). In our opinion, the analogy with the lists kept by the CNB pursuant to </w:t>
            </w:r>
            <w:r w:rsidRPr="00C67FEB" w:rsidR="00E4527B">
              <w:rPr>
                <w:rFonts w:ascii="Times New Roman" w:eastAsia="Times New Roman" w:hAnsi="Times New Roman" w:cs="Times New Roman"/>
                <w:i/>
                <w:iCs/>
                <w:sz w:val="24"/>
                <w:szCs w:val="24"/>
                <w:lang w:val="en-GB" w:eastAsia="cs-CZ"/>
              </w:rPr>
              <w:t>Section</w:t>
            </w:r>
            <w:r w:rsidRPr="00C67FEB">
              <w:rPr>
                <w:rFonts w:ascii="Times New Roman" w:eastAsia="Times New Roman" w:hAnsi="Times New Roman" w:cs="Times New Roman"/>
                <w:i/>
                <w:iCs/>
                <w:sz w:val="24"/>
                <w:szCs w:val="24"/>
                <w:lang w:val="en-GB" w:eastAsia="cs-CZ"/>
              </w:rPr>
              <w:t xml:space="preserve"> 596 of the </w:t>
            </w:r>
            <w:r w:rsidRPr="00C67FEB" w:rsidR="00E4527B">
              <w:rPr>
                <w:rFonts w:ascii="Times New Roman" w:eastAsia="Times New Roman" w:hAnsi="Times New Roman" w:cs="Times New Roman"/>
                <w:i/>
                <w:iCs/>
                <w:sz w:val="24"/>
                <w:szCs w:val="24"/>
                <w:lang w:val="en-GB" w:eastAsia="cs-CZ"/>
              </w:rPr>
              <w:t xml:space="preserve">Management Companies and Investment Funds Act </w:t>
            </w:r>
            <w:r w:rsidRPr="00C67FEB">
              <w:rPr>
                <w:rFonts w:ascii="Times New Roman" w:eastAsia="Times New Roman" w:hAnsi="Times New Roman" w:cs="Times New Roman"/>
                <w:i/>
                <w:iCs/>
                <w:sz w:val="24"/>
                <w:szCs w:val="24"/>
                <w:lang w:val="en-GB" w:eastAsia="cs-CZ"/>
              </w:rPr>
              <w:t>cannot be used, for example, for advertising internet platforms offering bonds. Entities included in these lists perform any of the regulated services (</w:t>
            </w:r>
            <w:r w:rsidRPr="00C67FEB" w:rsidR="00E4527B">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managers, administrators, investment fund depositories) or other activities (</w:t>
            </w:r>
            <w:r w:rsidRPr="00C67FEB" w:rsidR="00E4527B">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liquidator</w:t>
            </w:r>
            <w:r w:rsidRPr="00C67FEB" w:rsidR="00E4527B">
              <w:rPr>
                <w:rFonts w:ascii="Times New Roman" w:eastAsia="Times New Roman" w:hAnsi="Times New Roman" w:cs="Times New Roman"/>
                <w:i/>
                <w:iCs/>
                <w:sz w:val="24"/>
                <w:szCs w:val="24"/>
                <w:lang w:val="en-GB" w:eastAsia="cs-CZ"/>
              </w:rPr>
              <w:t>, trustee</w:t>
            </w:r>
            <w:r w:rsidRPr="00C67FEB">
              <w:rPr>
                <w:rFonts w:ascii="Times New Roman" w:eastAsia="Times New Roman" w:hAnsi="Times New Roman" w:cs="Times New Roman"/>
                <w:i/>
                <w:iCs/>
                <w:sz w:val="24"/>
                <w:szCs w:val="24"/>
                <w:lang w:val="en-GB" w:eastAsia="cs-CZ"/>
              </w:rPr>
              <w:t>).</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E4527B">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the interest of consumer protection, we tend </w:t>
            </w:r>
            <w:r w:rsidR="00492D91">
              <w:rPr>
                <w:rFonts w:ascii="Times New Roman" w:eastAsia="Times New Roman" w:hAnsi="Times New Roman" w:cs="Times New Roman"/>
                <w:i/>
                <w:iCs/>
                <w:sz w:val="24"/>
                <w:szCs w:val="24"/>
                <w:lang w:val="en-GB" w:eastAsia="cs-CZ"/>
              </w:rPr>
              <w:t xml:space="preserve">to prefer </w:t>
            </w:r>
            <w:r w:rsidRPr="00C67FEB">
              <w:rPr>
                <w:rFonts w:ascii="Times New Roman" w:eastAsia="Times New Roman" w:hAnsi="Times New Roman" w:cs="Times New Roman"/>
                <w:i/>
                <w:iCs/>
                <w:sz w:val="24"/>
                <w:szCs w:val="24"/>
                <w:lang w:val="en-GB" w:eastAsia="cs-CZ"/>
              </w:rPr>
              <w:t>to have the CNB supervise these platforms.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Conversely, if they were somehow supervised and regulated, it would give them the appearance of legitimacy. In principle, we do not mind the action </w:t>
            </w:r>
            <w:r w:rsidRPr="00C67FEB" w:rsidR="00E4527B">
              <w:rPr>
                <w:rFonts w:ascii="Times New Roman" w:eastAsia="Times New Roman" w:hAnsi="Times New Roman" w:cs="Times New Roman"/>
                <w:i/>
                <w:iCs/>
                <w:sz w:val="24"/>
                <w:szCs w:val="24"/>
                <w:lang w:val="en-GB" w:eastAsia="cs-CZ"/>
              </w:rPr>
              <w:t>crowdfunding</w:t>
            </w:r>
            <w:r w:rsidRPr="00C67FEB">
              <w:rPr>
                <w:rFonts w:ascii="Times New Roman" w:eastAsia="Times New Roman" w:hAnsi="Times New Roman" w:cs="Times New Roman"/>
                <w:i/>
                <w:iCs/>
                <w:sz w:val="24"/>
                <w:szCs w:val="24"/>
                <w:lang w:val="en-GB" w:eastAsia="cs-CZ"/>
              </w:rPr>
              <w:t xml:space="preserve"> platforms, but </w:t>
            </w:r>
            <w:r w:rsidRPr="00C67FEB" w:rsidR="00E4527B">
              <w:rPr>
                <w:rFonts w:ascii="Times New Roman" w:eastAsia="Times New Roman" w:hAnsi="Times New Roman" w:cs="Times New Roman"/>
                <w:i/>
                <w:iCs/>
                <w:sz w:val="24"/>
                <w:szCs w:val="24"/>
                <w:lang w:val="en-GB" w:eastAsia="cs-CZ"/>
              </w:rPr>
              <w:t xml:space="preserve">it </w:t>
            </w:r>
            <w:r w:rsidRPr="00C67FEB">
              <w:rPr>
                <w:rFonts w:ascii="Times New Roman" w:eastAsia="Times New Roman" w:hAnsi="Times New Roman" w:cs="Times New Roman"/>
                <w:i/>
                <w:iCs/>
                <w:sz w:val="24"/>
                <w:szCs w:val="24"/>
                <w:lang w:val="en-GB" w:eastAsia="cs-CZ"/>
              </w:rPr>
              <w:t xml:space="preserve">should </w:t>
            </w:r>
            <w:r w:rsidRPr="00C67FEB" w:rsidR="00E4527B">
              <w:rPr>
                <w:rFonts w:ascii="Times New Roman" w:eastAsia="Times New Roman" w:hAnsi="Times New Roman" w:cs="Times New Roman"/>
                <w:i/>
                <w:iCs/>
                <w:sz w:val="24"/>
                <w:szCs w:val="24"/>
                <w:lang w:val="en-GB" w:eastAsia="cs-CZ"/>
              </w:rPr>
              <w:t xml:space="preserve">be </w:t>
            </w:r>
            <w:r w:rsidRPr="00C67FEB">
              <w:rPr>
                <w:rFonts w:ascii="Times New Roman" w:eastAsia="Times New Roman" w:hAnsi="Times New Roman" w:cs="Times New Roman"/>
                <w:i/>
                <w:iCs/>
                <w:sz w:val="24"/>
                <w:szCs w:val="24"/>
                <w:lang w:val="en-GB" w:eastAsia="cs-CZ"/>
              </w:rPr>
              <w:t>clearly indicate</w:t>
            </w:r>
            <w:r w:rsidRPr="00C67FEB" w:rsidR="00E4527B">
              <w:rPr>
                <w:rFonts w:ascii="Times New Roman" w:eastAsia="Times New Roman" w:hAnsi="Times New Roman" w:cs="Times New Roman"/>
                <w:i/>
                <w:iCs/>
                <w:sz w:val="24"/>
                <w:szCs w:val="24"/>
                <w:lang w:val="en-GB" w:eastAsia="cs-CZ"/>
              </w:rPr>
              <w:t>d</w:t>
            </w:r>
            <w:r w:rsidRPr="00C67FEB">
              <w:rPr>
                <w:rFonts w:ascii="Times New Roman" w:eastAsia="Times New Roman" w:hAnsi="Times New Roman" w:cs="Times New Roman"/>
                <w:i/>
                <w:iCs/>
                <w:sz w:val="24"/>
                <w:szCs w:val="24"/>
                <w:lang w:val="en-GB" w:eastAsia="cs-CZ"/>
              </w:rPr>
              <w:t xml:space="preserve"> that they are not licensed and are not, as well as corporate bonds without a prospectus, intended for the public offering of investment instruments to retail investors. We do not recommend </w:t>
            </w:r>
            <w:r w:rsidRPr="00C67FEB" w:rsidR="00E4527B">
              <w:rPr>
                <w:rFonts w:ascii="Times New Roman" w:eastAsia="Times New Roman" w:hAnsi="Times New Roman" w:cs="Times New Roman"/>
                <w:i/>
                <w:iCs/>
                <w:sz w:val="24"/>
                <w:szCs w:val="24"/>
                <w:lang w:val="en-GB" w:eastAsia="cs-CZ"/>
              </w:rPr>
              <w:t>raising putting off</w:t>
            </w:r>
            <w:r w:rsidRPr="00C67FEB">
              <w:rPr>
                <w:rFonts w:ascii="Times New Roman" w:eastAsia="Times New Roman" w:hAnsi="Times New Roman" w:cs="Times New Roman"/>
                <w:i/>
                <w:iCs/>
                <w:sz w:val="24"/>
                <w:szCs w:val="24"/>
                <w:lang w:val="en-GB" w:eastAsia="cs-CZ"/>
              </w:rPr>
              <w:t xml:space="preserve"> </w:t>
            </w:r>
            <w:r w:rsidRPr="00C67FEB" w:rsidR="00E4527B">
              <w:rPr>
                <w:rFonts w:ascii="Times New Roman" w:eastAsia="Times New Roman" w:hAnsi="Times New Roman" w:cs="Times New Roman"/>
                <w:i/>
                <w:iCs/>
                <w:sz w:val="24"/>
                <w:szCs w:val="24"/>
                <w:lang w:val="en-GB" w:eastAsia="cs-CZ"/>
              </w:rPr>
              <w:t>of</w:t>
            </w:r>
            <w:r w:rsidRPr="00C67FEB">
              <w:rPr>
                <w:rFonts w:ascii="Times New Roman" w:eastAsia="Times New Roman" w:hAnsi="Times New Roman" w:cs="Times New Roman"/>
                <w:i/>
                <w:iCs/>
                <w:sz w:val="24"/>
                <w:szCs w:val="24"/>
                <w:lang w:val="en-GB" w:eastAsia="cs-CZ"/>
              </w:rPr>
              <w:t xml:space="preserve"> regulatory obligations over EUR 1 million, as allowed by EU legislation in the context of gold-plating by Member States.</w:t>
            </w:r>
            <w:r w:rsidR="0087579E">
              <w:rPr>
                <w:rFonts w:ascii="Times New Roman" w:eastAsia="Times New Roman" w:hAnsi="Times New Roman" w:cs="Times New Roman"/>
                <w:i/>
                <w:iCs/>
                <w:sz w:val="24"/>
                <w:szCs w:val="24"/>
                <w:lang w:val="en-GB" w:eastAsia="cs-CZ"/>
              </w:rPr>
              <w:t xml:space="preserve"> </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E4527B">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the interest of consumer protection, we tend to have the CNB supervise these platforms.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E4527B">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don't.</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are the operator of </w:t>
            </w:r>
            <w:r w:rsidRPr="00C67FEB" w:rsidR="00E4527B">
              <w:rPr>
                <w:rFonts w:ascii="Times New Roman" w:eastAsia="Times New Roman" w:hAnsi="Times New Roman" w:cs="Times New Roman"/>
                <w:i/>
                <w:iCs/>
                <w:sz w:val="24"/>
                <w:szCs w:val="24"/>
                <w:lang w:val="en-GB" w:eastAsia="cs-CZ"/>
              </w:rPr>
              <w:t>such</w:t>
            </w:r>
            <w:r w:rsidRPr="00C67FEB">
              <w:rPr>
                <w:rFonts w:ascii="Times New Roman" w:eastAsia="Times New Roman" w:hAnsi="Times New Roman" w:cs="Times New Roman"/>
                <w:i/>
                <w:iCs/>
                <w:sz w:val="24"/>
                <w:szCs w:val="24"/>
                <w:lang w:val="en-GB" w:eastAsia="cs-CZ"/>
              </w:rPr>
              <w:t xml:space="preserve"> platform. As the operator of this platform, we logically cannot see a problem in this, we do everything to do business within the framework of the applicable legislation. Since, unlike many similar and competitive platforms, we are not dependent on selling our own </w:t>
            </w:r>
            <w:r w:rsidRPr="00C67FEB" w:rsidR="00E4527B">
              <w:rPr>
                <w:rFonts w:ascii="Times New Roman" w:eastAsia="Times New Roman" w:hAnsi="Times New Roman" w:cs="Times New Roman"/>
                <w:i/>
                <w:iCs/>
                <w:sz w:val="24"/>
                <w:szCs w:val="24"/>
                <w:lang w:val="en-GB" w:eastAsia="cs-CZ"/>
              </w:rPr>
              <w:t>titles,</w:t>
            </w:r>
            <w:r w:rsidRPr="00C67FEB">
              <w:rPr>
                <w:rFonts w:ascii="Times New Roman" w:eastAsia="Times New Roman" w:hAnsi="Times New Roman" w:cs="Times New Roman"/>
                <w:i/>
                <w:iCs/>
                <w:sz w:val="24"/>
                <w:szCs w:val="24"/>
                <w:lang w:val="en-GB" w:eastAsia="cs-CZ"/>
              </w:rPr>
              <w:t xml:space="preserve"> we can cope with some form of regulation. However, we do not want to provide investment advice and facilitate the sale of investments. We do not operate and do not plan to operate</w:t>
            </w:r>
            <w:r w:rsidRPr="00C67FEB" w:rsidR="00E4527B">
              <w:rPr>
                <w:rFonts w:ascii="Times New Roman" w:eastAsia="Times New Roman" w:hAnsi="Times New Roman" w:cs="Times New Roman"/>
                <w:i/>
                <w:iCs/>
                <w:sz w:val="24"/>
                <w:szCs w:val="24"/>
                <w:lang w:val="en-GB" w:eastAsia="cs-CZ"/>
              </w:rPr>
              <w:t xml:space="preserve"> such activities.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Private person </w:t>
            </w:r>
            <w:r w:rsidRPr="00492D91" w:rsidR="00E4527B">
              <w:rPr>
                <w:rFonts w:ascii="Times New Roman" w:eastAsia="Times New Roman" w:hAnsi="Times New Roman" w:cs="Times New Roman"/>
                <w:b/>
                <w:bCs/>
                <w:sz w:val="24"/>
                <w:szCs w:val="24"/>
                <w:lang w:val="en-GB" w:eastAsia="cs-CZ"/>
              </w:rPr>
              <w:t xml:space="preserve">No </w:t>
            </w:r>
            <w:r w:rsidRPr="00492D91">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Given the large development of such platforms, the high proportion of consumers investing on such platforms, and the high proportion of high-risk bonds distributed through these platforms, it seems that the stricter regulation and supervision </w:t>
            </w:r>
            <w:r w:rsidRPr="00C67FEB" w:rsidR="007F1A1D">
              <w:rPr>
                <w:rFonts w:ascii="Times New Roman" w:eastAsia="Times New Roman" w:hAnsi="Times New Roman" w:cs="Times New Roman"/>
                <w:i/>
                <w:iCs/>
                <w:sz w:val="24"/>
                <w:szCs w:val="24"/>
                <w:lang w:val="en-GB" w:eastAsia="cs-CZ"/>
              </w:rPr>
              <w:t>shall be performed</w:t>
            </w:r>
            <w:r w:rsidRPr="00C67FEB">
              <w:rPr>
                <w:rFonts w:ascii="Times New Roman" w:eastAsia="Times New Roman" w:hAnsi="Times New Roman" w:cs="Times New Roman"/>
                <w:i/>
                <w:iCs/>
                <w:sz w:val="24"/>
                <w:szCs w:val="24"/>
                <w:lang w:val="en-GB" w:eastAsia="cs-CZ"/>
              </w:rPr>
              <w:t>.</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on the contrary.</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492D9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u w:val="single"/>
                <w:lang w:val="en-GB" w:eastAsia="cs-CZ"/>
              </w:rPr>
              <w:t>Ad 2:</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believe that platform operators of a purely advertising nature are subject to advertising regulation. In terms of the capital market, however, their regulation has no practical benefits. The distribution of primary issues involves two basic areas from the point of view of the investor (consumer) and its protection. The first is enough information. In this area, we consider as a step in the right direction the proposal to add further mandatory information to the </w:t>
            </w:r>
            <w:r w:rsidRPr="00C67FEB" w:rsidR="002D2088">
              <w:rPr>
                <w:rFonts w:ascii="Times New Roman" w:eastAsia="Times New Roman" w:hAnsi="Times New Roman" w:cs="Times New Roman"/>
                <w:i/>
                <w:iCs/>
                <w:sz w:val="24"/>
                <w:szCs w:val="24"/>
                <w:lang w:val="en-GB" w:eastAsia="cs-CZ"/>
              </w:rPr>
              <w:t>terms of issue</w:t>
            </w:r>
            <w:r w:rsidRPr="00C67FEB">
              <w:rPr>
                <w:rFonts w:ascii="Times New Roman" w:eastAsia="Times New Roman" w:hAnsi="Times New Roman" w:cs="Times New Roman"/>
                <w:i/>
                <w:iCs/>
                <w:sz w:val="24"/>
                <w:szCs w:val="24"/>
                <w:lang w:val="en-GB" w:eastAsia="cs-CZ"/>
              </w:rPr>
              <w:t>, as stated in the next consultation measure. The second area is the expertise of the distributor</w:t>
            </w:r>
            <w:r w:rsidRPr="00C67FEB" w:rsidR="002D2088">
              <w:rPr>
                <w:rFonts w:ascii="Times New Roman" w:eastAsia="Times New Roman" w:hAnsi="Times New Roman" w:cs="Times New Roman"/>
                <w:i/>
                <w:iCs/>
                <w:sz w:val="24"/>
                <w:szCs w:val="24"/>
                <w:lang w:val="en-GB" w:eastAsia="cs-CZ"/>
              </w:rPr>
              <w:t xml:space="preserve"> of issue</w:t>
            </w:r>
            <w:r w:rsidRPr="00C67FEB">
              <w:rPr>
                <w:rFonts w:ascii="Times New Roman" w:eastAsia="Times New Roman" w:hAnsi="Times New Roman" w:cs="Times New Roman"/>
                <w:i/>
                <w:iCs/>
                <w:sz w:val="24"/>
                <w:szCs w:val="24"/>
                <w:lang w:val="en-GB" w:eastAsia="cs-CZ"/>
              </w:rPr>
              <w:t xml:space="preserve"> and the rules for dealing with the investor, </w:t>
            </w:r>
            <w:r w:rsidRPr="00C67FEB" w:rsidR="002D2088">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in this case the operator of the sales (internet) platform and the quality of his services. In this area, the issue of limiting the distribution of primary issues to persons regulated by the </w:t>
            </w:r>
            <w:r w:rsidRPr="00C67FEB" w:rsidR="002D2088">
              <w:rPr>
                <w:rFonts w:ascii="Times New Roman" w:eastAsia="Times New Roman" w:hAnsi="Times New Roman" w:cs="Times New Roman"/>
                <w:i/>
                <w:iCs/>
                <w:sz w:val="24"/>
                <w:szCs w:val="24"/>
                <w:lang w:val="en-GB" w:eastAsia="cs-CZ"/>
              </w:rPr>
              <w:t>Capital Market Business Act</w:t>
            </w:r>
            <w:r w:rsidRPr="00C67FEB">
              <w:rPr>
                <w:rFonts w:ascii="Times New Roman" w:eastAsia="Times New Roman" w:hAnsi="Times New Roman" w:cs="Times New Roman"/>
                <w:i/>
                <w:iCs/>
                <w:sz w:val="24"/>
                <w:szCs w:val="24"/>
                <w:lang w:val="en-GB" w:eastAsia="cs-CZ"/>
              </w:rPr>
              <w:t xml:space="preserve"> may be discussed in this area, where the issue of primary bonds could only be offered by issuers through investment firms.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2D2088">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r w:rsidRPr="00C67FEB">
              <w:rPr>
                <w:rFonts w:ascii="Times New Roman" w:eastAsia="Times New Roman" w:hAnsi="Times New Roman" w:cs="Times New Roman"/>
                <w:i/>
                <w:iCs/>
                <w:sz w:val="24"/>
                <w:szCs w:val="24"/>
                <w:lang w:val="en-GB" w:eastAsia="cs-CZ"/>
              </w:rPr>
              <w:t>. We consider this to be the key.</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2D2088">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Market </w:t>
            </w:r>
            <w:r w:rsidRPr="00492D91" w:rsidR="002D2088">
              <w:rPr>
                <w:rFonts w:ascii="Times New Roman" w:eastAsia="Times New Roman" w:hAnsi="Times New Roman" w:cs="Times New Roman"/>
                <w:b/>
                <w:bCs/>
                <w:sz w:val="24"/>
                <w:szCs w:val="24"/>
                <w:lang w:val="en-GB" w:eastAsia="cs-CZ"/>
              </w:rPr>
              <w:t>a</w:t>
            </w:r>
            <w:r w:rsidRPr="00492D91" w:rsidR="00413F41">
              <w:rPr>
                <w:rFonts w:ascii="Times New Roman" w:eastAsia="Times New Roman" w:hAnsi="Times New Roman" w:cs="Times New Roman"/>
                <w:b/>
                <w:bCs/>
                <w:sz w:val="24"/>
                <w:szCs w:val="24"/>
                <w:lang w:val="en-GB" w:eastAsia="cs-CZ"/>
              </w:rPr>
              <w:t>ssociation</w:t>
            </w:r>
            <w:r w:rsidRPr="00492D91">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propose to wait for European legislation. We can imagine regulations aiming at greater transparency of platforms for the public, </w:t>
            </w:r>
            <w:r w:rsidRPr="00C67FEB" w:rsidR="002D2088">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that the </w:t>
            </w:r>
            <w:r w:rsidRPr="00C67FEB" w:rsidR="002D2088">
              <w:rPr>
                <w:rFonts w:ascii="Times New Roman" w:eastAsia="Times New Roman" w:hAnsi="Times New Roman" w:cs="Times New Roman"/>
                <w:i/>
                <w:iCs/>
                <w:sz w:val="24"/>
                <w:szCs w:val="24"/>
                <w:lang w:val="en-GB" w:eastAsia="cs-CZ"/>
              </w:rPr>
              <w:t>crowdfunding</w:t>
            </w:r>
            <w:r w:rsidRPr="00C67FEB">
              <w:rPr>
                <w:rFonts w:ascii="Times New Roman" w:eastAsia="Times New Roman" w:hAnsi="Times New Roman" w:cs="Times New Roman"/>
                <w:i/>
                <w:iCs/>
                <w:sz w:val="24"/>
                <w:szCs w:val="24"/>
                <w:lang w:val="en-GB" w:eastAsia="cs-CZ"/>
              </w:rPr>
              <w:t xml:space="preserve"> platforms can be </w:t>
            </w:r>
            <w:r w:rsidRPr="00C67FEB" w:rsidR="002D2088">
              <w:rPr>
                <w:rFonts w:ascii="Times New Roman" w:eastAsia="Times New Roman" w:hAnsi="Times New Roman" w:cs="Times New Roman"/>
                <w:i/>
                <w:iCs/>
                <w:sz w:val="24"/>
                <w:szCs w:val="24"/>
                <w:lang w:val="en-GB" w:eastAsia="cs-CZ"/>
              </w:rPr>
              <w:t>labelled</w:t>
            </w:r>
            <w:r w:rsidRPr="00C67FEB">
              <w:rPr>
                <w:rFonts w:ascii="Times New Roman" w:eastAsia="Times New Roman" w:hAnsi="Times New Roman" w:cs="Times New Roman"/>
                <w:i/>
                <w:iCs/>
                <w:sz w:val="24"/>
                <w:szCs w:val="24"/>
                <w:lang w:val="en-GB" w:eastAsia="cs-CZ"/>
              </w:rPr>
              <w:t xml:space="preserve"> in a uniform way and the consumer can easily verify in what </w:t>
            </w:r>
            <w:r w:rsidRPr="00C67FEB" w:rsidR="002D2088">
              <w:rPr>
                <w:rFonts w:ascii="Times New Roman" w:eastAsia="Times New Roman" w:hAnsi="Times New Roman" w:cs="Times New Roman"/>
                <w:i/>
                <w:iCs/>
                <w:sz w:val="24"/>
                <w:szCs w:val="24"/>
                <w:lang w:val="en-GB" w:eastAsia="cs-CZ"/>
              </w:rPr>
              <w:t>regime</w:t>
            </w:r>
            <w:r w:rsidRPr="00C67FEB">
              <w:rPr>
                <w:rFonts w:ascii="Times New Roman" w:eastAsia="Times New Roman" w:hAnsi="Times New Roman" w:cs="Times New Roman"/>
                <w:i/>
                <w:iCs/>
                <w:sz w:val="24"/>
                <w:szCs w:val="24"/>
                <w:lang w:val="en-GB" w:eastAsia="cs-CZ"/>
              </w:rPr>
              <w:t xml:space="preserve"> they invest their money.</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It depends how the control is set. This, of course, depends very much on how such advertising regulation should be set up. Already, we are spending quite a lot of money on creating proper marketing campaigns. We strive not to use any misleading statements and if we are unsure, we always consult with an experienced </w:t>
            </w:r>
            <w:r w:rsidRPr="00C67FEB" w:rsidR="00C232A2">
              <w:rPr>
                <w:rFonts w:ascii="Times New Roman" w:eastAsia="Times New Roman" w:hAnsi="Times New Roman" w:cs="Times New Roman"/>
                <w:i/>
                <w:iCs/>
                <w:sz w:val="24"/>
                <w:szCs w:val="24"/>
                <w:lang w:val="en-GB" w:eastAsia="cs-CZ"/>
              </w:rPr>
              <w:t>l</w:t>
            </w:r>
            <w:r w:rsidRPr="00C67FEB">
              <w:rPr>
                <w:rFonts w:ascii="Times New Roman" w:eastAsia="Times New Roman" w:hAnsi="Times New Roman" w:cs="Times New Roman"/>
                <w:i/>
                <w:iCs/>
                <w:sz w:val="24"/>
                <w:szCs w:val="24"/>
                <w:lang w:val="en-GB" w:eastAsia="cs-CZ"/>
              </w:rPr>
              <w:t xml:space="preserve">aw </w:t>
            </w:r>
            <w:r w:rsidRPr="00C67FEB" w:rsidR="00C232A2">
              <w:rPr>
                <w:rFonts w:ascii="Times New Roman" w:eastAsia="Times New Roman" w:hAnsi="Times New Roman" w:cs="Times New Roman"/>
                <w:i/>
                <w:iCs/>
                <w:sz w:val="24"/>
                <w:szCs w:val="24"/>
                <w:lang w:val="en-GB" w:eastAsia="cs-CZ"/>
              </w:rPr>
              <w:t>f</w:t>
            </w:r>
            <w:r w:rsidRPr="00C67FEB">
              <w:rPr>
                <w:rFonts w:ascii="Times New Roman" w:eastAsia="Times New Roman" w:hAnsi="Times New Roman" w:cs="Times New Roman"/>
                <w:i/>
                <w:iCs/>
                <w:sz w:val="24"/>
                <w:szCs w:val="24"/>
                <w:lang w:val="en-GB" w:eastAsia="cs-CZ"/>
              </w:rPr>
              <w:t xml:space="preserve">irm (on financial and investment law). We know in the market that there are misleading ads that no longer meet current standards and legislation. E.g. “Secured bonds”, “risk-free investments” etc. Wouldn't it be easier to start enforcing the current law first? This will lead to the first cultivation of the market, discourage other unfair advertisers, and then come up with another regulation, law or norm. We may find that it will not be needed. If such regulation starts to come up, will it only apply to bonds? Or will it also affect similar products - such as </w:t>
            </w:r>
            <w:r w:rsidRPr="00C67FEB" w:rsidR="00C232A2">
              <w:rPr>
                <w:rFonts w:ascii="Times New Roman" w:eastAsia="Times New Roman" w:hAnsi="Times New Roman" w:cs="Times New Roman"/>
                <w:i/>
                <w:iCs/>
                <w:sz w:val="24"/>
                <w:szCs w:val="24"/>
                <w:lang w:val="en-GB" w:eastAsia="cs-CZ"/>
              </w:rPr>
              <w:t>b</w:t>
            </w:r>
            <w:r w:rsidRPr="00C67FEB">
              <w:rPr>
                <w:rFonts w:ascii="Times New Roman" w:eastAsia="Times New Roman" w:hAnsi="Times New Roman" w:cs="Times New Roman"/>
                <w:i/>
                <w:iCs/>
                <w:sz w:val="24"/>
                <w:szCs w:val="24"/>
                <w:lang w:val="en-GB" w:eastAsia="cs-CZ"/>
              </w:rPr>
              <w:t xml:space="preserve">ills of </w:t>
            </w:r>
            <w:r w:rsidRPr="00C67FEB" w:rsidR="00C232A2">
              <w:rPr>
                <w:rFonts w:ascii="Times New Roman" w:eastAsia="Times New Roman" w:hAnsi="Times New Roman" w:cs="Times New Roman"/>
                <w:i/>
                <w:iCs/>
                <w:sz w:val="24"/>
                <w:szCs w:val="24"/>
                <w:lang w:val="en-GB" w:eastAsia="cs-CZ"/>
              </w:rPr>
              <w:t>e</w:t>
            </w:r>
            <w:r w:rsidRPr="00C67FEB">
              <w:rPr>
                <w:rFonts w:ascii="Times New Roman" w:eastAsia="Times New Roman" w:hAnsi="Times New Roman" w:cs="Times New Roman"/>
                <w:i/>
                <w:iCs/>
                <w:sz w:val="24"/>
                <w:szCs w:val="24"/>
                <w:lang w:val="en-GB" w:eastAsia="cs-CZ"/>
              </w:rPr>
              <w:t xml:space="preserve">xchange that are traded on a far larger scale than bonds? Without public registers, records in the central depository and </w:t>
            </w:r>
            <w:r w:rsidRPr="00C67FEB" w:rsidR="00C232A2">
              <w:rPr>
                <w:rFonts w:ascii="Times New Roman" w:eastAsia="Times New Roman" w:hAnsi="Times New Roman" w:cs="Times New Roman"/>
                <w:i/>
                <w:iCs/>
                <w:sz w:val="24"/>
                <w:szCs w:val="24"/>
                <w:lang w:val="en-GB" w:eastAsia="cs-CZ"/>
              </w:rPr>
              <w:t>them not being subject</w:t>
            </w:r>
            <w:r w:rsidRPr="00C67FEB">
              <w:rPr>
                <w:rFonts w:ascii="Times New Roman" w:eastAsia="Times New Roman" w:hAnsi="Times New Roman" w:cs="Times New Roman"/>
                <w:i/>
                <w:iCs/>
                <w:sz w:val="24"/>
                <w:szCs w:val="24"/>
                <w:lang w:val="en-GB" w:eastAsia="cs-CZ"/>
              </w:rPr>
              <w:t xml:space="preserve"> to any regulation at all. Not to mention the quality and method of public sale.</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Private person </w:t>
            </w:r>
            <w:r w:rsidRPr="00492D91" w:rsidR="00492D91">
              <w:rPr>
                <w:rFonts w:ascii="Times New Roman" w:eastAsia="Times New Roman" w:hAnsi="Times New Roman" w:cs="Times New Roman"/>
                <w:b/>
                <w:bCs/>
                <w:sz w:val="24"/>
                <w:szCs w:val="24"/>
                <w:lang w:val="en-GB" w:eastAsia="cs-CZ"/>
              </w:rPr>
              <w:t xml:space="preserve">No </w:t>
            </w:r>
            <w:r w:rsidRPr="00492D91">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Especially inappropriate is the practice where platforms often use in their promotion the fact that the prospectuses of the </w:t>
            </w:r>
            <w:r w:rsidRPr="00C67FEB" w:rsidR="00C232A2">
              <w:rPr>
                <w:rFonts w:ascii="Times New Roman" w:eastAsia="Times New Roman" w:hAnsi="Times New Roman" w:cs="Times New Roman"/>
                <w:i/>
                <w:iCs/>
                <w:sz w:val="24"/>
                <w:szCs w:val="24"/>
                <w:lang w:val="en-GB" w:eastAsia="cs-CZ"/>
              </w:rPr>
              <w:t>bonds,</w:t>
            </w:r>
            <w:r w:rsidRPr="00C67FEB">
              <w:rPr>
                <w:rFonts w:ascii="Times New Roman" w:eastAsia="Times New Roman" w:hAnsi="Times New Roman" w:cs="Times New Roman"/>
                <w:i/>
                <w:iCs/>
                <w:sz w:val="24"/>
                <w:szCs w:val="24"/>
                <w:lang w:val="en-GB" w:eastAsia="cs-CZ"/>
              </w:rPr>
              <w:t xml:space="preserve"> they offer have been approved by the CNB, thus giving less experienced consumers the feeling that there is no risk associated with investing in such bonds. Information about the CNB's approved prospectus should not be used for promotion.</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 is appropriate, but in my opinion inadequate.</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492D91" w:rsidP="0087579E">
            <w:pPr>
              <w:pStyle w:val="Heading1"/>
              <w:keepLines w:val="0"/>
              <w:jc w:val="center"/>
              <w:rPr>
                <w:rFonts w:ascii="Times New Roman" w:hAnsi="Times New Roman" w:cs="Times New Roman"/>
                <w:b/>
                <w:bCs/>
                <w:color w:val="000000" w:themeColor="text1"/>
                <w:sz w:val="24"/>
                <w:szCs w:val="24"/>
                <w:bdr w:val="single" w:sz="4" w:space="0" w:color="auto"/>
                <w:lang w:val="en-GB" w:eastAsia="cs-CZ"/>
              </w:rPr>
            </w:pPr>
            <w:bookmarkStart w:id="54" w:name="_Toc36479377"/>
            <w:bookmarkStart w:id="55" w:name="_Toc38555311"/>
            <w:r w:rsidRPr="00492D91">
              <w:rPr>
                <w:rFonts w:ascii="Times New Roman" w:hAnsi="Times New Roman" w:cs="Times New Roman"/>
                <w:b/>
                <w:bCs/>
                <w:color w:val="000000" w:themeColor="text1"/>
                <w:sz w:val="24"/>
                <w:szCs w:val="24"/>
                <w:bdr w:val="single" w:sz="4" w:space="0" w:color="auto"/>
                <w:lang w:val="en-GB" w:eastAsia="cs-CZ"/>
              </w:rPr>
              <w:t>2.5</w:t>
            </w:r>
            <w:r w:rsidRPr="00492D91">
              <w:rPr>
                <w:rFonts w:ascii="Times New Roman" w:hAnsi="Times New Roman" w:cs="Times New Roman"/>
                <w:b/>
                <w:bCs/>
                <w:color w:val="000000" w:themeColor="text1"/>
                <w:sz w:val="24"/>
                <w:szCs w:val="24"/>
                <w:bdr w:val="single" w:sz="4" w:space="0" w:color="auto"/>
                <w:lang w:val="en-GB" w:eastAsia="cs-CZ"/>
              </w:rPr>
              <w:t xml:space="preserve"> Alternative participat</w:t>
            </w:r>
            <w:r w:rsidRPr="00492D91">
              <w:rPr>
                <w:rFonts w:ascii="Times New Roman" w:hAnsi="Times New Roman" w:cs="Times New Roman"/>
                <w:b/>
                <w:bCs/>
                <w:color w:val="000000" w:themeColor="text1"/>
                <w:sz w:val="24"/>
                <w:szCs w:val="24"/>
                <w:bdr w:val="single" w:sz="4" w:space="0" w:color="auto"/>
                <w:lang w:val="en-GB" w:eastAsia="cs-CZ"/>
              </w:rPr>
              <w:t>ion</w:t>
            </w:r>
            <w:r w:rsidRPr="00492D91">
              <w:rPr>
                <w:rFonts w:ascii="Times New Roman" w:hAnsi="Times New Roman" w:cs="Times New Roman"/>
                <w:b/>
                <w:bCs/>
                <w:color w:val="000000" w:themeColor="text1"/>
                <w:sz w:val="24"/>
                <w:szCs w:val="24"/>
                <w:bdr w:val="single" w:sz="4" w:space="0" w:color="auto"/>
                <w:lang w:val="en-GB" w:eastAsia="cs-CZ"/>
              </w:rPr>
              <w:t xml:space="preserve"> </w:t>
            </w:r>
            <w:r w:rsidRPr="00492D91">
              <w:rPr>
                <w:rFonts w:ascii="Times New Roman" w:hAnsi="Times New Roman" w:cs="Times New Roman"/>
                <w:b/>
                <w:bCs/>
                <w:color w:val="000000" w:themeColor="text1"/>
                <w:sz w:val="24"/>
                <w:szCs w:val="24"/>
                <w:bdr w:val="single" w:sz="4" w:space="0" w:color="auto"/>
                <w:lang w:val="en-GB" w:eastAsia="cs-CZ"/>
              </w:rPr>
              <w:t>f</w:t>
            </w:r>
            <w:r w:rsidRPr="00492D91">
              <w:rPr>
                <w:rFonts w:ascii="Times New Roman" w:hAnsi="Times New Roman" w:cs="Times New Roman"/>
                <w:b/>
                <w:bCs/>
                <w:color w:val="000000" w:themeColor="text1"/>
                <w:sz w:val="24"/>
                <w:szCs w:val="24"/>
                <w:bdr w:val="single" w:sz="4" w:space="0" w:color="auto"/>
                <w:lang w:val="en-GB" w:eastAsia="cs-CZ"/>
              </w:rPr>
              <w:t>und</w:t>
            </w:r>
            <w:bookmarkEnd w:id="54"/>
            <w:bookmarkEnd w:id="55"/>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general, the capital market in the long run (which is typical </w:t>
            </w:r>
            <w:r w:rsidRPr="00C67FEB" w:rsidR="00D309EB">
              <w:rPr>
                <w:rFonts w:ascii="Times New Roman" w:eastAsia="Times New Roman" w:hAnsi="Times New Roman" w:cs="Times New Roman"/>
                <w:sz w:val="24"/>
                <w:szCs w:val="24"/>
                <w:lang w:val="en-GB" w:eastAsia="cs-CZ"/>
              </w:rPr>
              <w:t>for</w:t>
            </w:r>
            <w:r w:rsidRPr="00C67FEB">
              <w:rPr>
                <w:rFonts w:ascii="Times New Roman" w:eastAsia="Times New Roman" w:hAnsi="Times New Roman" w:cs="Times New Roman"/>
                <w:sz w:val="24"/>
                <w:szCs w:val="24"/>
                <w:lang w:val="en-GB" w:eastAsia="cs-CZ"/>
              </w:rPr>
              <w:t xml:space="preserve"> investment</w:t>
            </w:r>
            <w:r w:rsidRPr="00C67FEB" w:rsidR="00D309EB">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 in pension products) can offer investors a relatively high return. In the Czech Republic, particip</w:t>
            </w:r>
            <w:r w:rsidRPr="00C67FEB" w:rsidR="00D309EB">
              <w:rPr>
                <w:rFonts w:ascii="Times New Roman" w:eastAsia="Times New Roman" w:hAnsi="Times New Roman" w:cs="Times New Roman"/>
                <w:sz w:val="24"/>
                <w:szCs w:val="24"/>
                <w:lang w:val="en-GB" w:eastAsia="cs-CZ"/>
              </w:rPr>
              <w:t>ation</w:t>
            </w:r>
            <w:r w:rsidRPr="00C67FEB">
              <w:rPr>
                <w:rFonts w:ascii="Times New Roman" w:eastAsia="Times New Roman" w:hAnsi="Times New Roman" w:cs="Times New Roman"/>
                <w:sz w:val="24"/>
                <w:szCs w:val="24"/>
                <w:lang w:val="en-GB" w:eastAsia="cs-CZ"/>
              </w:rPr>
              <w:t xml:space="preserve"> funds act as ordinary investment funds and do not have to guarantee any appreciation. They usually offer a so-called dynamic fund (usually investing in shares) and a so-called balanced fund within other participati</w:t>
            </w:r>
            <w:r w:rsidRPr="00C67FEB" w:rsidR="00D309EB">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 xml:space="preserve"> </w:t>
            </w:r>
            <w:r w:rsidRPr="00C67FEB" w:rsidR="00D309EB">
              <w:rPr>
                <w:rFonts w:ascii="Times New Roman" w:eastAsia="Times New Roman" w:hAnsi="Times New Roman" w:cs="Times New Roman"/>
                <w:sz w:val="24"/>
                <w:szCs w:val="24"/>
                <w:lang w:val="en-GB" w:eastAsia="cs-CZ"/>
              </w:rPr>
              <w:t>funds.</w:t>
            </w:r>
            <w:r w:rsidRPr="00C67FEB">
              <w:rPr>
                <w:rFonts w:ascii="Times New Roman" w:eastAsia="Times New Roman" w:hAnsi="Times New Roman" w:cs="Times New Roman"/>
                <w:sz w:val="24"/>
                <w:szCs w:val="24"/>
                <w:lang w:val="en-GB" w:eastAsia="cs-CZ"/>
              </w:rPr>
              <w:t xml:space="preserve"> In the long term, the value is achieved mainly by dynamic participation funds (see above)</w:t>
            </w:r>
            <w:r>
              <w:rPr>
                <w:rStyle w:val="FootnoteReference"/>
                <w:rFonts w:ascii="Times New Roman" w:eastAsia="Times New Roman" w:hAnsi="Times New Roman" w:cs="Times New Roman"/>
                <w:sz w:val="24"/>
                <w:szCs w:val="24"/>
                <w:lang w:val="en-GB" w:eastAsia="cs-CZ"/>
              </w:rPr>
              <w:footnoteReference w:id="4"/>
            </w:r>
            <w:r w:rsidRPr="00C67FEB" w:rsidR="00D309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bookmarkStart w:id="56" w:name="_ftnref3"/>
            <w:bookmarkEnd w:id="56"/>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Participati</w:t>
            </w:r>
            <w:r w:rsidRPr="00C67FEB" w:rsidR="00D309EB">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 xml:space="preserve"> pension funds with a dynamic strategy, however, do not invest in </w:t>
            </w:r>
            <w:r w:rsidRPr="00C67FEB">
              <w:rPr>
                <w:rFonts w:ascii="Times New Roman" w:eastAsia="Times New Roman" w:hAnsi="Times New Roman" w:cs="Times New Roman"/>
                <w:i/>
                <w:iCs/>
                <w:sz w:val="24"/>
                <w:szCs w:val="24"/>
                <w:lang w:val="en-GB" w:eastAsia="cs-CZ"/>
              </w:rPr>
              <w:t xml:space="preserve">private equity </w:t>
            </w:r>
            <w:r w:rsidRPr="00C67FEB">
              <w:rPr>
                <w:rFonts w:ascii="Times New Roman" w:eastAsia="Times New Roman" w:hAnsi="Times New Roman" w:cs="Times New Roman"/>
                <w:sz w:val="24"/>
                <w:szCs w:val="24"/>
                <w:lang w:val="en-GB" w:eastAsia="cs-CZ"/>
              </w:rPr>
              <w:t xml:space="preserve">funds, as they are limited in investment by regulatory fee adjustment and investment in </w:t>
            </w:r>
            <w:r w:rsidRPr="00C67FEB">
              <w:rPr>
                <w:rFonts w:ascii="Times New Roman" w:eastAsia="Times New Roman" w:hAnsi="Times New Roman" w:cs="Times New Roman"/>
                <w:i/>
                <w:iCs/>
                <w:sz w:val="24"/>
                <w:szCs w:val="24"/>
                <w:lang w:val="en-GB" w:eastAsia="cs-CZ"/>
              </w:rPr>
              <w:t xml:space="preserve">private equity </w:t>
            </w:r>
            <w:r w:rsidRPr="00C67FEB">
              <w:rPr>
                <w:rFonts w:ascii="Times New Roman" w:eastAsia="Times New Roman" w:hAnsi="Times New Roman" w:cs="Times New Roman"/>
                <w:sz w:val="24"/>
                <w:szCs w:val="24"/>
                <w:lang w:val="en-GB" w:eastAsia="cs-CZ"/>
              </w:rPr>
              <w:t xml:space="preserve">funds is </w:t>
            </w:r>
            <w:r w:rsidRPr="00C67FEB" w:rsidR="00D309EB">
              <w:rPr>
                <w:rFonts w:ascii="Times New Roman" w:eastAsia="Times New Roman" w:hAnsi="Times New Roman" w:cs="Times New Roman"/>
                <w:sz w:val="24"/>
                <w:szCs w:val="24"/>
                <w:lang w:val="en-GB" w:eastAsia="cs-CZ"/>
              </w:rPr>
              <w:t>fee intensive</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fee structure of pension funds is determined by law and an </w:t>
            </w:r>
            <w:r w:rsidRPr="00C67FEB">
              <w:rPr>
                <w:rFonts w:ascii="Times New Roman" w:eastAsia="Times New Roman" w:hAnsi="Times New Roman" w:cs="Times New Roman"/>
                <w:i/>
                <w:iCs/>
                <w:sz w:val="24"/>
                <w:szCs w:val="24"/>
                <w:lang w:val="en-GB" w:eastAsia="cs-CZ"/>
              </w:rPr>
              <w:t xml:space="preserve">all-in-one </w:t>
            </w:r>
            <w:r w:rsidRPr="00C67FEB">
              <w:rPr>
                <w:rFonts w:ascii="Times New Roman" w:eastAsia="Times New Roman" w:hAnsi="Times New Roman" w:cs="Times New Roman"/>
                <w:sz w:val="24"/>
                <w:szCs w:val="24"/>
                <w:lang w:val="en-GB" w:eastAsia="cs-CZ"/>
              </w:rPr>
              <w:t>model</w:t>
            </w:r>
            <w:r>
              <w:rPr>
                <w:rStyle w:val="FootnoteReference"/>
                <w:rFonts w:ascii="Times New Roman" w:eastAsia="Times New Roman" w:hAnsi="Times New Roman" w:cs="Times New Roman"/>
                <w:sz w:val="24"/>
                <w:szCs w:val="24"/>
                <w:lang w:val="en-GB" w:eastAsia="cs-CZ"/>
              </w:rPr>
              <w:footnoteReference w:id="5"/>
            </w:r>
            <w:r w:rsidRPr="00C67FEB">
              <w:rPr>
                <w:rFonts w:ascii="Times New Roman" w:eastAsia="Times New Roman" w:hAnsi="Times New Roman" w:cs="Times New Roman"/>
                <w:sz w:val="24"/>
                <w:szCs w:val="24"/>
                <w:lang w:val="en-GB" w:eastAsia="cs-CZ"/>
              </w:rPr>
              <w:t xml:space="preserve"> was chosen</w:t>
            </w:r>
            <w:bookmarkStart w:id="57" w:name="_ftnref4"/>
            <w:bookmarkEnd w:id="57"/>
            <w:r w:rsidRPr="00C67FEB" w:rsidR="00D309EB">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Fees consist of two components - management fees and appreciation</w:t>
            </w:r>
            <w:r w:rsidRPr="00C67FEB" w:rsidR="00D309EB">
              <w:rPr>
                <w:rFonts w:ascii="Times New Roman" w:eastAsia="Times New Roman" w:hAnsi="Times New Roman" w:cs="Times New Roman"/>
                <w:sz w:val="24"/>
                <w:szCs w:val="24"/>
                <w:lang w:val="en-GB" w:eastAsia="cs-CZ"/>
              </w:rPr>
              <w:t xml:space="preserve"> fees</w:t>
            </w:r>
            <w:r w:rsidRPr="00C67FEB">
              <w:rPr>
                <w:rFonts w:ascii="Times New Roman" w:eastAsia="Times New Roman" w:hAnsi="Times New Roman" w:cs="Times New Roman"/>
                <w:sz w:val="24"/>
                <w:szCs w:val="24"/>
                <w:lang w:val="en-GB" w:eastAsia="cs-CZ"/>
              </w:rPr>
              <w:t>. The legislator proceeded to regulate fees in an effort to protect participants from too high fees in a situation where it is difficult to withdraw from pension funds without suffering a loss.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Pension companies may charge a management fee of 1% of the assets under management and a </w:t>
            </w:r>
            <w:r w:rsidRPr="00C67FEB" w:rsidR="00D309EB">
              <w:rPr>
                <w:rFonts w:ascii="Times New Roman" w:eastAsia="Times New Roman" w:hAnsi="Times New Roman" w:cs="Times New Roman"/>
                <w:sz w:val="24"/>
                <w:szCs w:val="24"/>
                <w:lang w:val="en-GB" w:eastAsia="cs-CZ"/>
              </w:rPr>
              <w:t>fee</w:t>
            </w:r>
            <w:r w:rsidRPr="00C67FEB">
              <w:rPr>
                <w:rFonts w:ascii="Times New Roman" w:eastAsia="Times New Roman" w:hAnsi="Times New Roman" w:cs="Times New Roman"/>
                <w:sz w:val="24"/>
                <w:szCs w:val="24"/>
                <w:lang w:val="en-GB" w:eastAsia="cs-CZ"/>
              </w:rPr>
              <w:t xml:space="preserve"> on appreciation of 15% of their return for the participation funds other than mandatory conservative (</w:t>
            </w:r>
            <w:r w:rsidRPr="00C67FEB" w:rsidR="00D309EB">
              <w:rPr>
                <w:rFonts w:ascii="Times New Roman" w:eastAsia="Times New Roman" w:hAnsi="Times New Roman" w:cs="Times New Roman"/>
                <w:sz w:val="24"/>
                <w:szCs w:val="24"/>
                <w:lang w:val="en-GB" w:eastAsia="cs-CZ"/>
              </w:rPr>
              <w:t>i.e.</w:t>
            </w:r>
            <w:r w:rsidRPr="00C67FEB">
              <w:rPr>
                <w:rFonts w:ascii="Times New Roman" w:eastAsia="Times New Roman" w:hAnsi="Times New Roman" w:cs="Times New Roman"/>
                <w:sz w:val="24"/>
                <w:szCs w:val="24"/>
                <w:lang w:val="en-GB" w:eastAsia="cs-CZ"/>
              </w:rPr>
              <w:t xml:space="preserve"> </w:t>
            </w:r>
            <w:r w:rsidRPr="00C67FEB" w:rsidR="00D309EB">
              <w:rPr>
                <w:rFonts w:ascii="Times New Roman" w:eastAsia="Times New Roman" w:hAnsi="Times New Roman" w:cs="Times New Roman"/>
                <w:sz w:val="24"/>
                <w:szCs w:val="24"/>
                <w:lang w:val="en-GB" w:eastAsia="cs-CZ"/>
              </w:rPr>
              <w:t>funds with</w:t>
            </w:r>
            <w:r w:rsidRPr="00C67FEB">
              <w:rPr>
                <w:rFonts w:ascii="Times New Roman" w:eastAsia="Times New Roman" w:hAnsi="Times New Roman" w:cs="Times New Roman"/>
                <w:sz w:val="24"/>
                <w:szCs w:val="24"/>
                <w:lang w:val="en-GB" w:eastAsia="cs-CZ"/>
              </w:rPr>
              <w:t xml:space="preserve"> a dynamic strategy).</w:t>
            </w:r>
            <w:r w:rsidR="0087579E">
              <w:rPr>
                <w:rFonts w:ascii="Times New Roman" w:eastAsia="Times New Roman" w:hAnsi="Times New Roman" w:cs="Times New Roman"/>
                <w:sz w:val="24"/>
                <w:szCs w:val="24"/>
                <w:lang w:val="en-GB" w:eastAsia="cs-CZ"/>
              </w:rPr>
              <w:t xml:space="preserve"> </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Two variants are considered:</w:t>
            </w:r>
          </w:p>
          <w:p w:rsidR="00403DFA" w:rsidRPr="00C67FEB" w:rsidP="0087579E">
            <w:pPr>
              <w:pStyle w:val="ListParagraph"/>
              <w:keepNext/>
              <w:numPr>
                <w:ilvl w:val="0"/>
                <w:numId w:val="27"/>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CF6F44">
              <w:rPr>
                <w:rFonts w:ascii="Times New Roman" w:eastAsia="Times New Roman" w:hAnsi="Times New Roman" w:cs="Times New Roman"/>
                <w:sz w:val="24"/>
                <w:szCs w:val="24"/>
                <w:lang w:val="en-GB" w:eastAsia="cs-CZ"/>
              </w:rPr>
              <w:t>maintaining</w:t>
            </w:r>
            <w:r w:rsidRPr="00C67FEB">
              <w:rPr>
                <w:rFonts w:ascii="Times New Roman" w:eastAsia="Times New Roman" w:hAnsi="Times New Roman" w:cs="Times New Roman"/>
                <w:sz w:val="24"/>
                <w:szCs w:val="24"/>
                <w:lang w:val="en-GB" w:eastAsia="cs-CZ"/>
              </w:rPr>
              <w:t xml:space="preserve"> the current status</w:t>
            </w:r>
          </w:p>
          <w:p w:rsidR="00403DFA" w:rsidRPr="00C67FEB" w:rsidP="0087579E">
            <w:pPr>
              <w:pStyle w:val="ListParagraph"/>
              <w:keepNext/>
              <w:numPr>
                <w:ilvl w:val="0"/>
                <w:numId w:val="27"/>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expand the possibilities of pension companies to offer a new type of alternative participation fund, respectively to provide similar type of state support </w:t>
            </w:r>
            <w:r w:rsidRPr="00C67FEB" w:rsidR="00CF6F44">
              <w:rPr>
                <w:rFonts w:ascii="Times New Roman" w:eastAsia="Times New Roman" w:hAnsi="Times New Roman" w:cs="Times New Roman"/>
                <w:sz w:val="24"/>
                <w:szCs w:val="24"/>
                <w:lang w:val="en-GB" w:eastAsia="cs-CZ"/>
              </w:rPr>
              <w:t xml:space="preserve">as </w:t>
            </w:r>
            <w:r w:rsidRPr="00C67FEB">
              <w:rPr>
                <w:rFonts w:ascii="Times New Roman" w:eastAsia="Times New Roman" w:hAnsi="Times New Roman" w:cs="Times New Roman"/>
                <w:sz w:val="24"/>
                <w:szCs w:val="24"/>
                <w:lang w:val="en-GB" w:eastAsia="cs-CZ"/>
              </w:rPr>
              <w:t>to transformed or participati</w:t>
            </w:r>
            <w:r w:rsidRPr="00C67FEB" w:rsidR="00CF6F44">
              <w:rPr>
                <w:rFonts w:ascii="Times New Roman" w:eastAsia="Times New Roman" w:hAnsi="Times New Roman" w:cs="Times New Roman"/>
                <w:sz w:val="24"/>
                <w:szCs w:val="24"/>
                <w:lang w:val="en-GB" w:eastAsia="cs-CZ"/>
              </w:rPr>
              <w:t>on</w:t>
            </w:r>
            <w:r w:rsidRPr="00C67FEB">
              <w:rPr>
                <w:rFonts w:ascii="Times New Roman" w:eastAsia="Times New Roman" w:hAnsi="Times New Roman" w:cs="Times New Roman"/>
                <w:sz w:val="24"/>
                <w:szCs w:val="24"/>
                <w:lang w:val="en-GB" w:eastAsia="cs-CZ"/>
              </w:rPr>
              <w:t xml:space="preserve"> funds to such type of fund</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fee regulation of pension funds affects the assets in which pension companies can invest so that they cannot invest in some financial products, as they would not financially cover such an investment. At the same time, the maximum amount of fees is determined by law, </w:t>
            </w:r>
            <w:r w:rsidRPr="00C67FEB" w:rsidR="00CF6F44">
              <w:rPr>
                <w:rFonts w:ascii="Times New Roman" w:eastAsia="Times New Roman" w:hAnsi="Times New Roman" w:cs="Times New Roman"/>
                <w:sz w:val="24"/>
                <w:szCs w:val="24"/>
                <w:lang w:val="en-GB" w:eastAsia="cs-CZ"/>
              </w:rPr>
              <w:t>i.e.</w:t>
            </w:r>
            <w:r w:rsidRPr="00C67FEB">
              <w:rPr>
                <w:rFonts w:ascii="Times New Roman" w:eastAsia="Times New Roman" w:hAnsi="Times New Roman" w:cs="Times New Roman"/>
                <w:sz w:val="24"/>
                <w:szCs w:val="24"/>
                <w:lang w:val="en-GB" w:eastAsia="cs-CZ"/>
              </w:rPr>
              <w:t xml:space="preserve"> the client is protected by law from too high fees. Thus, the current offer is intended rather for conservative investors who prefer investment security. Option 0 </w:t>
            </w:r>
            <w:r w:rsidRPr="00C67FEB" w:rsidR="00CF6F44">
              <w:rPr>
                <w:rFonts w:ascii="Times New Roman" w:eastAsia="Times New Roman" w:hAnsi="Times New Roman" w:cs="Times New Roman"/>
                <w:sz w:val="24"/>
                <w:szCs w:val="24"/>
                <w:lang w:val="en-GB" w:eastAsia="cs-CZ"/>
              </w:rPr>
              <w:t>means</w:t>
            </w:r>
            <w:r w:rsidRPr="00C67FEB">
              <w:rPr>
                <w:rFonts w:ascii="Times New Roman" w:eastAsia="Times New Roman" w:hAnsi="Times New Roman" w:cs="Times New Roman"/>
                <w:sz w:val="24"/>
                <w:szCs w:val="24"/>
                <w:lang w:val="en-GB" w:eastAsia="cs-CZ"/>
              </w:rPr>
              <w:t xml:space="preserve"> a zero capital market development, because it does not allow more </w:t>
            </w:r>
            <w:r w:rsidRPr="00C67FEB" w:rsidR="00CF6F44">
              <w:rPr>
                <w:rFonts w:ascii="Times New Roman" w:eastAsia="Times New Roman" w:hAnsi="Times New Roman" w:cs="Times New Roman"/>
                <w:sz w:val="24"/>
                <w:szCs w:val="24"/>
                <w:lang w:val="en-GB" w:eastAsia="cs-CZ"/>
              </w:rPr>
              <w:t>dynamic,</w:t>
            </w:r>
            <w:r w:rsidRPr="00C67FEB">
              <w:rPr>
                <w:rFonts w:ascii="Times New Roman" w:eastAsia="Times New Roman" w:hAnsi="Times New Roman" w:cs="Times New Roman"/>
                <w:sz w:val="24"/>
                <w:szCs w:val="24"/>
                <w:lang w:val="en-GB" w:eastAsia="cs-CZ"/>
              </w:rPr>
              <w:t xml:space="preserve"> and thus more profitable investing.</w:t>
            </w:r>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492D91">
              <w:rPr>
                <w:rFonts w:ascii="Times New Roman" w:eastAsia="Times New Roman" w:hAnsi="Times New Roman" w:cs="Times New Roman"/>
                <w:b/>
                <w:bCs/>
                <w:sz w:val="24"/>
                <w:szCs w:val="24"/>
                <w:lang w:val="en-GB" w:eastAsia="cs-CZ"/>
              </w:rPr>
              <w:t>Option 1 - to extend the offer by a new type of alternative participation fund, resp</w:t>
            </w:r>
            <w:r w:rsidRPr="00492D91" w:rsidR="00CF6F44">
              <w:rPr>
                <w:rFonts w:ascii="Times New Roman" w:eastAsia="Times New Roman" w:hAnsi="Times New Roman" w:cs="Times New Roman"/>
                <w:b/>
                <w:bCs/>
                <w:sz w:val="24"/>
                <w:szCs w:val="24"/>
                <w:lang w:val="en-GB" w:eastAsia="cs-CZ"/>
              </w:rPr>
              <w:t>ectively</w:t>
            </w:r>
            <w:r w:rsidRPr="00492D91">
              <w:rPr>
                <w:rFonts w:ascii="Times New Roman" w:eastAsia="Times New Roman" w:hAnsi="Times New Roman" w:cs="Times New Roman"/>
                <w:b/>
                <w:bCs/>
                <w:sz w:val="24"/>
                <w:szCs w:val="24"/>
                <w:lang w:val="en-GB" w:eastAsia="cs-CZ"/>
              </w:rPr>
              <w:t xml:space="preserve"> to provide similar type of state support </w:t>
            </w:r>
            <w:r w:rsidRPr="00492D91" w:rsidR="00CF6F44">
              <w:rPr>
                <w:rFonts w:ascii="Times New Roman" w:eastAsia="Times New Roman" w:hAnsi="Times New Roman" w:cs="Times New Roman"/>
                <w:b/>
                <w:bCs/>
                <w:sz w:val="24"/>
                <w:szCs w:val="24"/>
                <w:lang w:val="en-GB" w:eastAsia="cs-CZ"/>
              </w:rPr>
              <w:t xml:space="preserve">as </w:t>
            </w:r>
            <w:r w:rsidRPr="00492D91">
              <w:rPr>
                <w:rFonts w:ascii="Times New Roman" w:eastAsia="Times New Roman" w:hAnsi="Times New Roman" w:cs="Times New Roman"/>
                <w:b/>
                <w:bCs/>
                <w:sz w:val="24"/>
                <w:szCs w:val="24"/>
                <w:lang w:val="en-GB" w:eastAsia="cs-CZ"/>
              </w:rPr>
              <w:t>to transformed or participati</w:t>
            </w:r>
            <w:r w:rsidRPr="00492D91" w:rsidR="00CF6F44">
              <w:rPr>
                <w:rFonts w:ascii="Times New Roman" w:eastAsia="Times New Roman" w:hAnsi="Times New Roman" w:cs="Times New Roman"/>
                <w:b/>
                <w:bCs/>
                <w:sz w:val="24"/>
                <w:szCs w:val="24"/>
                <w:lang w:val="en-GB" w:eastAsia="cs-CZ"/>
              </w:rPr>
              <w:t>on</w:t>
            </w:r>
            <w:r w:rsidRPr="00492D91">
              <w:rPr>
                <w:rFonts w:ascii="Times New Roman" w:eastAsia="Times New Roman" w:hAnsi="Times New Roman" w:cs="Times New Roman"/>
                <w:b/>
                <w:bCs/>
                <w:sz w:val="24"/>
                <w:szCs w:val="24"/>
                <w:lang w:val="en-GB" w:eastAsia="cs-CZ"/>
              </w:rPr>
              <w:t xml:space="preserve"> funds to such type of fund</w:t>
            </w:r>
          </w:p>
          <w:p w:rsidR="00403DFA" w:rsidRPr="00C67FEB" w:rsidP="0087579E">
            <w:p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current offer of pension funds focus is significantly limited by the fee policy and does not allow investments in potentially very profitable assets, albeit at the </w:t>
            </w:r>
            <w:r w:rsidRPr="00C67FEB" w:rsidR="00CF6F44">
              <w:rPr>
                <w:rFonts w:ascii="Times New Roman" w:eastAsia="Times New Roman" w:hAnsi="Times New Roman" w:cs="Times New Roman"/>
                <w:sz w:val="24"/>
                <w:szCs w:val="24"/>
                <w:lang w:val="en-GB" w:eastAsia="cs-CZ"/>
              </w:rPr>
              <w:t>cost</w:t>
            </w:r>
            <w:r w:rsidRPr="00C67FEB">
              <w:rPr>
                <w:rFonts w:ascii="Times New Roman" w:eastAsia="Times New Roman" w:hAnsi="Times New Roman" w:cs="Times New Roman"/>
                <w:sz w:val="24"/>
                <w:szCs w:val="24"/>
                <w:lang w:val="en-GB" w:eastAsia="cs-CZ"/>
              </w:rPr>
              <w:t xml:space="preserve"> of higher risk. A new type of </w:t>
            </w:r>
            <w:r w:rsidRPr="00C67FEB" w:rsidR="00CF6F44">
              <w:rPr>
                <w:rFonts w:ascii="Times New Roman" w:eastAsia="Times New Roman" w:hAnsi="Times New Roman" w:cs="Times New Roman"/>
                <w:sz w:val="24"/>
                <w:szCs w:val="24"/>
                <w:lang w:val="en-GB" w:eastAsia="cs-CZ"/>
              </w:rPr>
              <w:t>participation</w:t>
            </w:r>
            <w:r w:rsidRPr="00C67FEB">
              <w:rPr>
                <w:rFonts w:ascii="Times New Roman" w:eastAsia="Times New Roman" w:hAnsi="Times New Roman" w:cs="Times New Roman"/>
                <w:sz w:val="24"/>
                <w:szCs w:val="24"/>
                <w:lang w:val="en-GB" w:eastAsia="cs-CZ"/>
              </w:rPr>
              <w:t xml:space="preserve"> fund would be an alternative to existing dynamic funds, with the fee policy being set freely for this type of fund, allowing pension companies to invest in, for example, </w:t>
            </w:r>
            <w:r w:rsidRPr="00C67FEB">
              <w:rPr>
                <w:rFonts w:ascii="Times New Roman" w:eastAsia="Times New Roman" w:hAnsi="Times New Roman" w:cs="Times New Roman"/>
                <w:i/>
                <w:iCs/>
                <w:sz w:val="24"/>
                <w:szCs w:val="24"/>
                <w:lang w:val="en-GB" w:eastAsia="cs-CZ"/>
              </w:rPr>
              <w:t xml:space="preserve">private equity </w:t>
            </w:r>
            <w:r w:rsidRPr="00C67FEB">
              <w:rPr>
                <w:rFonts w:ascii="Times New Roman" w:eastAsia="Times New Roman" w:hAnsi="Times New Roman" w:cs="Times New Roman"/>
                <w:sz w:val="24"/>
                <w:szCs w:val="24"/>
                <w:lang w:val="en-GB" w:eastAsia="cs-CZ"/>
              </w:rPr>
              <w:t xml:space="preserve">funds, and thus offering in the long term possible higher appreciation, albeit at the cost of higher risk </w:t>
            </w:r>
            <w:r w:rsidRPr="00C67FEB">
              <w:rPr>
                <w:rFonts w:ascii="Times New Roman" w:eastAsia="Times New Roman" w:hAnsi="Times New Roman" w:cs="Times New Roman"/>
                <w:sz w:val="24"/>
                <w:szCs w:val="24"/>
                <w:lang w:val="en-GB" w:eastAsia="cs-CZ"/>
              </w:rPr>
              <w:t xml:space="preserve">of such investment. The negative aspect of </w:t>
            </w:r>
            <w:r w:rsidRPr="00C67FEB" w:rsidR="00CF6F44">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ption 1 is the riskiness of the investment and reduced investor protection. The benefit is the possibility of a higher return on investment, the possibility of investing in other types of funds, and thus the development of the capital market.</w:t>
            </w:r>
            <w:r w:rsidR="0087579E">
              <w:rPr>
                <w:rFonts w:ascii="Times New Roman" w:eastAsia="Times New Roman" w:hAnsi="Times New Roman" w:cs="Times New Roman"/>
                <w:sz w:val="24"/>
                <w:szCs w:val="24"/>
                <w:lang w:val="en-GB" w:eastAsia="cs-CZ"/>
              </w:rPr>
              <w:t xml:space="preserve"> </w:t>
            </w:r>
          </w:p>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1 seems to be the most appropriate and, with regard to the choice and voluntary option in relation to reduced protection, to make a legislative change and to amend a new type of fund that would suit especially in the long-term investment horizon dynamically oriented clients willing to take a higher risk</w:t>
            </w:r>
            <w:r w:rsidRPr="00C67FEB" w:rsidR="00CF6F44">
              <w:rPr>
                <w:rFonts w:ascii="Times New Roman" w:eastAsia="Times New Roman" w:hAnsi="Times New Roman" w:cs="Times New Roman"/>
                <w:sz w:val="24"/>
                <w:szCs w:val="24"/>
                <w:lang w:val="en-GB" w:eastAsia="cs-CZ"/>
              </w:rPr>
              <w:t>, and at the same time</w:t>
            </w:r>
            <w:r w:rsidRPr="00C67FEB">
              <w:rPr>
                <w:rFonts w:ascii="Times New Roman" w:eastAsia="Times New Roman" w:hAnsi="Times New Roman" w:cs="Times New Roman"/>
                <w:sz w:val="24"/>
                <w:szCs w:val="24"/>
                <w:lang w:val="en-GB" w:eastAsia="cs-CZ"/>
              </w:rPr>
              <w:t xml:space="preserve"> are willing to pay higher fees for charges in order to get a higher return on their investment.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It is proposed</w:t>
            </w:r>
            <w:r w:rsidRPr="00C67FEB">
              <w:rPr>
                <w:rFonts w:ascii="Times New Roman" w:eastAsia="Times New Roman" w:hAnsi="Times New Roman" w:cs="Times New Roman"/>
                <w:sz w:val="24"/>
                <w:szCs w:val="24"/>
                <w:lang w:val="en-GB" w:eastAsia="cs-CZ"/>
              </w:rPr>
              <w:t xml:space="preserve"> to introduce legislation </w:t>
            </w:r>
            <w:r w:rsidRPr="00C67FEB">
              <w:rPr>
                <w:rFonts w:ascii="Times New Roman" w:eastAsia="Times New Roman" w:hAnsi="Times New Roman" w:cs="Times New Roman"/>
                <w:sz w:val="24"/>
                <w:szCs w:val="24"/>
                <w:lang w:val="en-GB" w:eastAsia="cs-CZ"/>
              </w:rPr>
              <w:t>for</w:t>
            </w:r>
            <w:r w:rsidRPr="00C67FEB">
              <w:rPr>
                <w:rFonts w:ascii="Times New Roman" w:eastAsia="Times New Roman" w:hAnsi="Times New Roman" w:cs="Times New Roman"/>
                <w:sz w:val="24"/>
                <w:szCs w:val="24"/>
                <w:lang w:val="en-GB" w:eastAsia="cs-CZ"/>
              </w:rPr>
              <w:t xml:space="preserve"> the new financial product designed for dynamic investments in order to generate savings for old age, the amount of charges in the case of this fund will be limited by law and the law shall specify the types of assets in which the fund may invest. Investor protection is therefore maintained in this respect.</w:t>
            </w:r>
            <w:r w:rsidR="0087579E">
              <w:rPr>
                <w:rFonts w:ascii="Times New Roman" w:eastAsia="Times New Roman" w:hAnsi="Times New Roman" w:cs="Times New Roman"/>
                <w:sz w:val="24"/>
                <w:szCs w:val="24"/>
                <w:lang w:val="en-GB" w:eastAsia="cs-CZ"/>
              </w:rPr>
              <w:t xml:space="preserve"> </w:t>
            </w:r>
          </w:p>
          <w:p w:rsidR="00403DFA" w:rsidRPr="00492D91"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 xml:space="preserve">Summary </w:t>
            </w:r>
            <w:r w:rsidRPr="00492D91" w:rsidR="000A2964">
              <w:rPr>
                <w:rFonts w:ascii="Times New Roman" w:eastAsia="Times New Roman" w:hAnsi="Times New Roman" w:cs="Times New Roman"/>
                <w:b/>
                <w:bCs/>
                <w:sz w:val="24"/>
                <w:szCs w:val="24"/>
                <w:lang w:val="en-GB" w:eastAsia="cs-CZ"/>
              </w:rPr>
              <w:t>i</w:t>
            </w:r>
            <w:r w:rsidRPr="00492D91">
              <w:rPr>
                <w:rFonts w:ascii="Times New Roman" w:eastAsia="Times New Roman" w:hAnsi="Times New Roman" w:cs="Times New Roman"/>
                <w:b/>
                <w:bCs/>
                <w:sz w:val="24"/>
                <w:szCs w:val="24"/>
                <w:lang w:val="en-GB" w:eastAsia="cs-CZ"/>
              </w:rPr>
              <w:t xml:space="preserve">mpact </w:t>
            </w:r>
            <w:r w:rsidRPr="00492D91" w:rsidR="000A2964">
              <w:rPr>
                <w:rFonts w:ascii="Times New Roman" w:eastAsia="Times New Roman" w:hAnsi="Times New Roman" w:cs="Times New Roman"/>
                <w:b/>
                <w:bCs/>
                <w:sz w:val="24"/>
                <w:szCs w:val="24"/>
                <w:lang w:val="en-GB" w:eastAsia="cs-CZ"/>
              </w:rPr>
              <w:t xml:space="preserve">of </w:t>
            </w:r>
            <w:r w:rsidRPr="00492D91">
              <w:rPr>
                <w:rFonts w:ascii="Times New Roman" w:eastAsia="Times New Roman" w:hAnsi="Times New Roman" w:cs="Times New Roman"/>
                <w:b/>
                <w:bCs/>
                <w:sz w:val="24"/>
                <w:szCs w:val="24"/>
                <w:lang w:val="en-GB" w:eastAsia="cs-CZ"/>
              </w:rPr>
              <w:t xml:space="preserve">selected </w:t>
            </w:r>
            <w:r w:rsidRPr="00492D91" w:rsidR="00492D91">
              <w:rPr>
                <w:rFonts w:ascii="Times New Roman" w:eastAsia="Times New Roman" w:hAnsi="Times New Roman" w:cs="Times New Roman"/>
                <w:b/>
                <w:bCs/>
                <w:sz w:val="24"/>
                <w:szCs w:val="24"/>
                <w:lang w:val="en-GB" w:eastAsia="cs-CZ"/>
              </w:rPr>
              <w:t>O</w:t>
            </w:r>
            <w:r w:rsidRPr="00492D91" w:rsidR="00CF6F44">
              <w:rPr>
                <w:rFonts w:ascii="Times New Roman" w:eastAsia="Times New Roman" w:hAnsi="Times New Roman" w:cs="Times New Roman"/>
                <w:b/>
                <w:bCs/>
                <w:sz w:val="24"/>
                <w:szCs w:val="24"/>
                <w:lang w:val="en-GB" w:eastAsia="cs-CZ"/>
              </w:rPr>
              <w:t>ption</w:t>
            </w:r>
            <w:r w:rsidRPr="00492D91">
              <w:rPr>
                <w:rFonts w:ascii="Times New Roman" w:eastAsia="Times New Roman" w:hAnsi="Times New Roman" w:cs="Times New Roman"/>
                <w:b/>
                <w:bCs/>
                <w:sz w:val="24"/>
                <w:szCs w:val="24"/>
                <w:lang w:val="en-GB" w:eastAsia="cs-CZ"/>
              </w:rPr>
              <w:t xml:space="preserve"> 1</w:t>
            </w:r>
          </w:p>
          <w:tbl>
            <w:tblPr>
              <w:tblW w:w="0" w:type="auto"/>
              <w:tblCellMar>
                <w:left w:w="0" w:type="dxa"/>
                <w:right w:w="0" w:type="dxa"/>
              </w:tblCellMar>
              <w:tblLook w:val="04A0"/>
            </w:tblPr>
            <w:tblGrid>
              <w:gridCol w:w="4434"/>
              <w:gridCol w:w="4278"/>
            </w:tblGrid>
            <w:tr>
              <w:tblPrEx>
                <w:tblW w:w="0" w:type="auto"/>
                <w:tblCellMar>
                  <w:left w:w="0" w:type="dxa"/>
                  <w:right w:w="0" w:type="dxa"/>
                </w:tblCellMar>
                <w:tblLook w:val="04A0"/>
              </w:tblPrEx>
              <w:tc>
                <w:tcPr>
                  <w:tcW w:w="4434"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492D91"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492D91">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4278" w:type="dxa"/>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492D91"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color w:val="FFFFFF"/>
                      <w:sz w:val="24"/>
                      <w:szCs w:val="24"/>
                      <w:lang w:val="en-GB" w:eastAsia="cs-CZ"/>
                    </w:rPr>
                    <w:t>Costs / negatives</w:t>
                  </w:r>
                </w:p>
              </w:tc>
            </w:tr>
            <w:tr>
              <w:tblPrEx>
                <w:tblW w:w="0" w:type="auto"/>
                <w:tblCellMar>
                  <w:left w:w="0" w:type="dxa"/>
                  <w:right w:w="0" w:type="dxa"/>
                </w:tblCellMar>
                <w:tblLook w:val="04A0"/>
              </w:tblPrEx>
              <w:tc>
                <w:tcPr>
                  <w:tcW w:w="44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possibility to invest in more variable types of funds </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capital market development</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more dynamic investment appreciation in relation to savings on old age </w:t>
                  </w:r>
                </w:p>
              </w:tc>
              <w:tc>
                <w:tcPr>
                  <w:tcW w:w="4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slightly reduced investor protection</w:t>
                  </w:r>
                  <w:r w:rsidR="0087579E">
                    <w:rPr>
                      <w:rFonts w:ascii="Times New Roman" w:eastAsia="Times New Roman" w:hAnsi="Times New Roman" w:cs="Times New Roman"/>
                      <w:sz w:val="24"/>
                      <w:szCs w:val="24"/>
                      <w:lang w:val="en-GB" w:eastAsia="cs-CZ"/>
                    </w:rPr>
                    <w:t xml:space="preserve"> </w:t>
                  </w:r>
                </w:p>
              </w:tc>
            </w:tr>
          </w:tbl>
          <w:p w:rsidR="00403DFA" w:rsidRPr="00492D91"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492D91">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rsidTr="000A2964">
              <w:tblPrEx>
                <w:tblW w:w="0" w:type="auto"/>
                <w:tblCellMar>
                  <w:left w:w="0" w:type="dxa"/>
                  <w:right w:w="0" w:type="dxa"/>
                </w:tblCellMar>
                <w:tblLook w:val="04A0"/>
              </w:tblPrEx>
              <w:trPr>
                <w:trHeight w:val="136"/>
              </w:trPr>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0A2964"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 Do you consider the proposal that the state support of a new alternative (more dynamic) type of participation fund as a suitable solution? </w:t>
                  </w:r>
                </w:p>
                <w:p w:rsidR="000A2964"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2) How much would you recommend by law to adjust the fees of the new alternative fund? </w:t>
                  </w:r>
                </w:p>
                <w:p w:rsidR="00403DFA"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3) Do you think that the public will be interested in the alternative fund? </w:t>
                  </w:r>
                </w:p>
              </w:tc>
            </w:tr>
          </w:tbl>
          <w:p w:rsidR="00403DFA" w:rsidRPr="00C67FEB" w:rsidP="0087579E">
            <w:pPr>
              <w:keepNext/>
              <w:spacing w:after="0" w:line="240" w:lineRule="auto"/>
              <w:rPr>
                <w:rFonts w:ascii="Times New Roman" w:eastAsia="Times New Roman" w:hAnsi="Times New Roman" w:cs="Times New Roman"/>
                <w:sz w:val="24"/>
                <w:szCs w:val="24"/>
                <w:lang w:val="en-GB" w:eastAsia="cs-CZ"/>
              </w:rPr>
            </w:pP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Results of the consultation</w:t>
            </w:r>
          </w:p>
          <w:p w:rsidR="00403DFA" w:rsidRPr="00013C1C" w:rsidP="0087579E">
            <w:pPr>
              <w:keepNext/>
              <w:spacing w:before="120" w:after="120" w:line="240" w:lineRule="auto"/>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In general:</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Investing in alternative assets such as private equity funds or long-term infrastructure projects and companies (railways, motorways, power plants, water supply, etc.) can be an interesting alternative for fund participants looking for a higher percentage appreciation of their invested funds and willing to take a higher risk compared to the current offering of investment strategies of the </w:t>
            </w:r>
            <w:r w:rsidRPr="00C67FEB" w:rsidR="000A2964">
              <w:rPr>
                <w:rFonts w:ascii="Times New Roman" w:eastAsia="Times New Roman" w:hAnsi="Times New Roman" w:cs="Times New Roman"/>
                <w:i/>
                <w:iCs/>
                <w:sz w:val="24"/>
                <w:szCs w:val="24"/>
                <w:lang w:val="en-GB" w:eastAsia="cs-CZ"/>
              </w:rPr>
              <w:t>participation</w:t>
            </w:r>
            <w:r w:rsidRPr="00C67FEB">
              <w:rPr>
                <w:rFonts w:ascii="Times New Roman" w:eastAsia="Times New Roman" w:hAnsi="Times New Roman" w:cs="Times New Roman"/>
                <w:i/>
                <w:iCs/>
                <w:sz w:val="24"/>
                <w:szCs w:val="24"/>
                <w:lang w:val="en-GB" w:eastAsia="cs-CZ"/>
              </w:rPr>
              <w:t xml:space="preserve"> funds.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At the same time, however, we see an increased risk in buying riskier stocks into the fund's portfolio, which the pension company would not normally hold in its portfolio due to its stricter criteria, such </w:t>
            </w:r>
            <w:r w:rsidRPr="00C67FEB">
              <w:rPr>
                <w:rFonts w:ascii="Times New Roman" w:eastAsia="Times New Roman" w:hAnsi="Times New Roman" w:cs="Times New Roman"/>
                <w:i/>
                <w:iCs/>
                <w:sz w:val="24"/>
                <w:szCs w:val="24"/>
                <w:lang w:val="en-GB" w:eastAsia="cs-CZ"/>
              </w:rPr>
              <w:t>as liquidity. Pension companies should respond to such a situation by improving their risk management system, given that they now invest mainly in government bonds.</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this context, however, we draw attention to the current amendment to Section 114 (1) of the </w:t>
            </w:r>
            <w:r w:rsidRPr="00C67FEB" w:rsidR="000A2964">
              <w:rPr>
                <w:rFonts w:ascii="Times New Roman" w:eastAsia="Times New Roman" w:hAnsi="Times New Roman" w:cs="Times New Roman"/>
                <w:i/>
                <w:iCs/>
                <w:sz w:val="24"/>
                <w:szCs w:val="24"/>
                <w:lang w:val="en-GB" w:eastAsia="cs-CZ"/>
              </w:rPr>
              <w:t>Supplementary Pension Savings Act</w:t>
            </w:r>
            <w:r w:rsidRPr="00C67FEB">
              <w:rPr>
                <w:rFonts w:ascii="Times New Roman" w:eastAsia="Times New Roman" w:hAnsi="Times New Roman" w:cs="Times New Roman"/>
                <w:i/>
                <w:iCs/>
                <w:sz w:val="24"/>
                <w:szCs w:val="24"/>
                <w:lang w:val="en-GB" w:eastAsia="cs-CZ"/>
              </w:rPr>
              <w:t xml:space="preserve">, under which a pension company is obliged to transfer a participant's funds to a mandatory conservative fund no later than 5 years before the participant's age for </w:t>
            </w:r>
            <w:r w:rsidRPr="00C67FEB" w:rsidR="000A2964">
              <w:rPr>
                <w:rFonts w:ascii="Times New Roman" w:eastAsia="Times New Roman" w:hAnsi="Times New Roman" w:cs="Times New Roman"/>
                <w:i/>
                <w:iCs/>
                <w:sz w:val="24"/>
                <w:szCs w:val="24"/>
                <w:lang w:val="en-GB" w:eastAsia="cs-CZ"/>
              </w:rPr>
              <w:t xml:space="preserve">entitlement </w:t>
            </w:r>
            <w:r w:rsidRPr="00C67FEB" w:rsidR="00E1697F">
              <w:rPr>
                <w:rFonts w:ascii="Times New Roman" w:eastAsia="Times New Roman" w:hAnsi="Times New Roman" w:cs="Times New Roman"/>
                <w:i/>
                <w:iCs/>
                <w:sz w:val="24"/>
                <w:szCs w:val="24"/>
                <w:lang w:val="en-GB" w:eastAsia="cs-CZ"/>
              </w:rPr>
              <w:t>for retirement</w:t>
            </w:r>
            <w:r w:rsidRPr="00C67FEB">
              <w:rPr>
                <w:rFonts w:ascii="Times New Roman" w:eastAsia="Times New Roman" w:hAnsi="Times New Roman" w:cs="Times New Roman"/>
                <w:i/>
                <w:iCs/>
                <w:sz w:val="24"/>
                <w:szCs w:val="24"/>
                <w:lang w:val="en-GB" w:eastAsia="cs-CZ"/>
              </w:rPr>
              <w:t xml:space="preserve"> pension. After this transfer, the participant's contributions, the employer's contributions and the state contributions are only placed in the compulsory conservative fund. </w:t>
            </w:r>
          </w:p>
          <w:p w:rsidR="00403DFA" w:rsidRPr="00013C1C" w:rsidP="0087579E">
            <w:pPr>
              <w:keepNext/>
              <w:spacing w:before="120" w:after="120" w:line="240" w:lineRule="auto"/>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1:</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principle, we do not oppose the creation of a new type of alternative participation fund if the investment in that fund is based on the informed choice of the participant.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 new alternative type of mutual fund may be a suitable solution for a certain segment of clients who do not meet the profit-risk profile of the current offering of </w:t>
            </w:r>
            <w:r w:rsidRPr="00C67FEB" w:rsidR="000A2964">
              <w:rPr>
                <w:rFonts w:ascii="Times New Roman" w:eastAsia="Times New Roman" w:hAnsi="Times New Roman" w:cs="Times New Roman"/>
                <w:i/>
                <w:iCs/>
                <w:sz w:val="24"/>
                <w:szCs w:val="24"/>
                <w:lang w:val="en-GB" w:eastAsia="cs-CZ"/>
              </w:rPr>
              <w:t>participation</w:t>
            </w:r>
            <w:r w:rsidRPr="00C67FEB">
              <w:rPr>
                <w:rFonts w:ascii="Times New Roman" w:eastAsia="Times New Roman" w:hAnsi="Times New Roman" w:cs="Times New Roman"/>
                <w:i/>
                <w:iCs/>
                <w:sz w:val="24"/>
                <w:szCs w:val="24"/>
                <w:lang w:val="en-GB" w:eastAsia="cs-CZ"/>
              </w:rPr>
              <w:t xml:space="preserve"> funds. State aid to this type of fund makes sense in terms of stimulating the volume of funds used to save for retirement. It is possible to expect not only the transfer of funds from the existing participa</w:t>
            </w:r>
            <w:r w:rsidRPr="00C67FEB" w:rsidR="000A2964">
              <w:rPr>
                <w:rFonts w:ascii="Times New Roman" w:eastAsia="Times New Roman" w:hAnsi="Times New Roman" w:cs="Times New Roman"/>
                <w:i/>
                <w:iCs/>
                <w:sz w:val="24"/>
                <w:szCs w:val="24"/>
                <w:lang w:val="en-GB" w:eastAsia="cs-CZ"/>
              </w:rPr>
              <w:t>tion</w:t>
            </w:r>
            <w:r w:rsidRPr="00C67FEB">
              <w:rPr>
                <w:rFonts w:ascii="Times New Roman" w:eastAsia="Times New Roman" w:hAnsi="Times New Roman" w:cs="Times New Roman"/>
                <w:i/>
                <w:iCs/>
                <w:sz w:val="24"/>
                <w:szCs w:val="24"/>
                <w:lang w:val="en-GB" w:eastAsia="cs-CZ"/>
              </w:rPr>
              <w:t xml:space="preserve"> funds, but also the arrival of new clients who have so far preferred other financial products in saving.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this type of participation fund should exist.</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principle, we agree that ordinary investment funds or pension funds intended for collective investment </w:t>
            </w:r>
            <w:r w:rsidRPr="00C67FEB" w:rsidR="00996BF0">
              <w:rPr>
                <w:rFonts w:ascii="Times New Roman" w:eastAsia="Times New Roman" w:hAnsi="Times New Roman" w:cs="Times New Roman"/>
                <w:i/>
                <w:iCs/>
                <w:sz w:val="24"/>
                <w:szCs w:val="24"/>
                <w:lang w:val="en-GB" w:eastAsia="cs-CZ"/>
              </w:rPr>
              <w:t>should be able to</w:t>
            </w:r>
            <w:r w:rsidRPr="00C67FEB">
              <w:rPr>
                <w:rFonts w:ascii="Times New Roman" w:eastAsia="Times New Roman" w:hAnsi="Times New Roman" w:cs="Times New Roman"/>
                <w:i/>
                <w:iCs/>
                <w:sz w:val="24"/>
                <w:szCs w:val="24"/>
                <w:lang w:val="en-GB" w:eastAsia="cs-CZ"/>
              </w:rPr>
              <w:t xml:space="preserve"> invest a very small part of their portfolio in private equity. This very small fraction of 1 percent should be explored in other countries and limited to some normal average in developed markets.</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There is a self-invested personal pension (SIPP) in the UK that allows alternative investments and the purchase of commercial real estate. Over the short time, however, huge practical problems began to emerge, when it was not possible to sell a PE investment or commercial property when it was necessary (</w:t>
            </w:r>
            <w:r w:rsidRPr="00C67FEB" w:rsidR="00996BF0">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reaching retirement age and </w:t>
            </w:r>
            <w:r w:rsidRPr="00C67FEB" w:rsidR="00996BF0">
              <w:rPr>
                <w:rFonts w:ascii="Times New Roman" w:eastAsia="Times New Roman" w:hAnsi="Times New Roman" w:cs="Times New Roman"/>
                <w:i/>
                <w:iCs/>
                <w:sz w:val="24"/>
                <w:szCs w:val="24"/>
                <w:lang w:val="en-GB" w:eastAsia="cs-CZ"/>
              </w:rPr>
              <w:t>transfer</w:t>
            </w:r>
            <w:r w:rsidRPr="00C67FEB">
              <w:rPr>
                <w:rFonts w:ascii="Times New Roman" w:eastAsia="Times New Roman" w:hAnsi="Times New Roman" w:cs="Times New Roman"/>
                <w:i/>
                <w:iCs/>
                <w:sz w:val="24"/>
                <w:szCs w:val="24"/>
                <w:lang w:val="en-GB" w:eastAsia="cs-CZ"/>
              </w:rPr>
              <w:t xml:space="preserve"> to annuit</w:t>
            </w:r>
            <w:r w:rsidRPr="00C67FEB" w:rsidR="00996BF0">
              <w:rPr>
                <w:rFonts w:ascii="Times New Roman" w:eastAsia="Times New Roman" w:hAnsi="Times New Roman" w:cs="Times New Roman"/>
                <w:i/>
                <w:iCs/>
                <w:sz w:val="24"/>
                <w:szCs w:val="24"/>
                <w:lang w:val="en-GB" w:eastAsia="cs-CZ"/>
              </w:rPr>
              <w:t>y</w:t>
            </w:r>
            <w:r w:rsidRPr="00C67FEB">
              <w:rPr>
                <w:rFonts w:ascii="Times New Roman" w:eastAsia="Times New Roman" w:hAnsi="Times New Roman" w:cs="Times New Roman"/>
                <w:i/>
                <w:iCs/>
                <w:sz w:val="24"/>
                <w:szCs w:val="24"/>
                <w:lang w:val="en-GB" w:eastAsia="cs-CZ"/>
              </w:rPr>
              <w:t>, or paying tax free cash or dividing pensions in the event of divorce or death). The problem was the liquidity and the impossibility to monetize these investments, and it was critical when this type of investment represented a large part of the pension account. At the moment, there are very few SIPP providers in the UK who will allow this type of investment, and if it allows it, the investor has to sign various declarations and must definitely fall into the category of self-cert</w:t>
            </w:r>
            <w:r w:rsidRPr="00C67FEB" w:rsidR="00996BF0">
              <w:rPr>
                <w:rFonts w:ascii="Times New Roman" w:eastAsia="Times New Roman" w:hAnsi="Times New Roman" w:cs="Times New Roman"/>
                <w:i/>
                <w:iCs/>
                <w:sz w:val="24"/>
                <w:szCs w:val="24"/>
                <w:lang w:val="en-GB" w:eastAsia="cs-CZ"/>
              </w:rPr>
              <w:t>ified</w:t>
            </w:r>
            <w:r w:rsidRPr="00C67FEB">
              <w:rPr>
                <w:rFonts w:ascii="Times New Roman" w:eastAsia="Times New Roman" w:hAnsi="Times New Roman" w:cs="Times New Roman"/>
                <w:i/>
                <w:iCs/>
                <w:sz w:val="24"/>
                <w:szCs w:val="24"/>
                <w:lang w:val="en-GB" w:eastAsia="cs-CZ"/>
              </w:rPr>
              <w:t xml:space="preserve"> SI and HNW. This fact, but will not help in the event of death, as those who inherit the SIPP may find themselves in a very complicated situation, and there may be situations where they do not have access to the </w:t>
            </w:r>
            <w:r w:rsidRPr="00C67FEB" w:rsidR="00996BF0">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money</w:t>
            </w:r>
            <w:r w:rsidRPr="00C67FEB" w:rsidR="00996BF0">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and may even pay penalties because they will not be able to comply with pension legislation. At present, the situation in the UK is simpler, but it should be noted that their pension legislation has recently been </w:t>
            </w:r>
            <w:r w:rsidRPr="00C67FEB" w:rsidR="00996BF0">
              <w:rPr>
                <w:rFonts w:ascii="Times New Roman" w:eastAsia="Times New Roman" w:hAnsi="Times New Roman" w:cs="Times New Roman"/>
                <w:i/>
                <w:iCs/>
                <w:sz w:val="24"/>
                <w:szCs w:val="24"/>
                <w:lang w:val="en-GB" w:eastAsia="cs-CZ"/>
              </w:rPr>
              <w:t>loosen</w:t>
            </w:r>
            <w:r w:rsidRPr="00C67FEB">
              <w:rPr>
                <w:rFonts w:ascii="Times New Roman" w:eastAsia="Times New Roman" w:hAnsi="Times New Roman" w:cs="Times New Roman"/>
                <w:i/>
                <w:iCs/>
                <w:sz w:val="24"/>
                <w:szCs w:val="24"/>
                <w:lang w:val="en-GB" w:eastAsia="cs-CZ"/>
              </w:rPr>
              <w:t xml:space="preserve"> and SIPPs can be passed on forever from generation to generation. There is no obligation to buy </w:t>
            </w:r>
            <w:r w:rsidRPr="00C67FEB" w:rsidR="00996BF0">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annuity</w:t>
            </w:r>
            <w:r w:rsidRPr="00C67FEB" w:rsidR="00996BF0">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alternative fund itself is not very suitable, but it would be advisable to examine and evaluate the overall structure of SIPPs, as this type of pension account is missing in the Czech Republic. It is an open structure where the investor can choose which funds / shares / bonds he / she wants to invest (not necessarily only PE funds), thus setting his / her investment profile / risk (with or without an advisor). SIPP may have the same investment portfolio as ISA.</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It would be more appropriate to use the term pension account than a pension fund.</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but it must not be at the expense of the participants. I consider the possibility of a one-time change of fees by the </w:t>
            </w:r>
            <w:r w:rsidRPr="00C67FEB" w:rsidR="00E061FC">
              <w:rPr>
                <w:rFonts w:ascii="Times New Roman" w:eastAsia="Times New Roman" w:hAnsi="Times New Roman" w:cs="Times New Roman"/>
                <w:i/>
                <w:iCs/>
                <w:sz w:val="24"/>
                <w:szCs w:val="24"/>
                <w:lang w:val="en-GB" w:eastAsia="cs-CZ"/>
              </w:rPr>
              <w:t>f</w:t>
            </w:r>
            <w:r w:rsidRPr="00C67FEB">
              <w:rPr>
                <w:rFonts w:ascii="Times New Roman" w:eastAsia="Times New Roman" w:hAnsi="Times New Roman" w:cs="Times New Roman"/>
                <w:i/>
                <w:iCs/>
                <w:sz w:val="24"/>
                <w:szCs w:val="24"/>
                <w:lang w:val="en-GB" w:eastAsia="cs-CZ"/>
              </w:rPr>
              <w:t>und, as was de facto, when the fees increased from 0.8% to 1% as inadmissible. Participants</w:t>
            </w:r>
            <w:r w:rsidRPr="00C67FEB" w:rsidR="00E061FC">
              <w:rPr>
                <w:rFonts w:ascii="Times New Roman" w:eastAsia="Times New Roman" w:hAnsi="Times New Roman" w:cs="Times New Roman"/>
                <w:i/>
                <w:iCs/>
                <w:sz w:val="24"/>
                <w:szCs w:val="24"/>
                <w:lang w:val="en-GB" w:eastAsia="cs-CZ"/>
              </w:rPr>
              <w:t xml:space="preserve"> of participation funds’ fee has</w:t>
            </w:r>
            <w:r w:rsidRPr="00C67FEB">
              <w:rPr>
                <w:rFonts w:ascii="Times New Roman" w:eastAsia="Times New Roman" w:hAnsi="Times New Roman" w:cs="Times New Roman"/>
                <w:i/>
                <w:iCs/>
                <w:sz w:val="24"/>
                <w:szCs w:val="24"/>
                <w:lang w:val="en-GB" w:eastAsia="cs-CZ"/>
              </w:rPr>
              <w:t xml:space="preserve"> been increased by the state and subsequently by the funds without having the real possibility to continue under the original closed conditions or to terminate the original terms prematurely (without loss of state contributions, tax deductions). This reduces the credibility and willingness to enter the </w:t>
            </w:r>
            <w:r w:rsidRPr="00C67FEB" w:rsidR="00E061FC">
              <w:rPr>
                <w:rFonts w:ascii="Times New Roman" w:eastAsia="Times New Roman" w:hAnsi="Times New Roman" w:cs="Times New Roman"/>
                <w:i/>
                <w:iCs/>
                <w:sz w:val="24"/>
                <w:szCs w:val="24"/>
                <w:lang w:val="en-GB" w:eastAsia="cs-CZ"/>
              </w:rPr>
              <w:t>3rd</w:t>
            </w:r>
            <w:r w:rsidRPr="00C67FEB">
              <w:rPr>
                <w:rFonts w:ascii="Times New Roman" w:eastAsia="Times New Roman" w:hAnsi="Times New Roman" w:cs="Times New Roman"/>
                <w:i/>
                <w:iCs/>
                <w:sz w:val="24"/>
                <w:szCs w:val="24"/>
                <w:lang w:val="en-GB" w:eastAsia="cs-CZ"/>
              </w:rPr>
              <w:t xml:space="preserve"> pillar when the state and the funds together change the rules of the game without the usual possibility of ending the product. I do not consider the possibility of terminating a product without state contributions and tax deductions </w:t>
            </w:r>
            <w:r w:rsidRPr="00C67FEB" w:rsidR="00E061FC">
              <w:rPr>
                <w:rFonts w:ascii="Times New Roman" w:eastAsia="Times New Roman" w:hAnsi="Times New Roman" w:cs="Times New Roman"/>
                <w:i/>
                <w:iCs/>
                <w:sz w:val="24"/>
                <w:szCs w:val="24"/>
                <w:lang w:val="en-GB" w:eastAsia="cs-CZ"/>
              </w:rPr>
              <w:t>as a possibility</w:t>
            </w:r>
            <w:r w:rsidRPr="00C67FEB">
              <w:rPr>
                <w:rFonts w:ascii="Times New Roman" w:eastAsia="Times New Roman" w:hAnsi="Times New Roman" w:cs="Times New Roman"/>
                <w:i/>
                <w:iCs/>
                <w:sz w:val="24"/>
                <w:szCs w:val="24"/>
                <w:lang w:val="en-GB" w:eastAsia="cs-CZ"/>
              </w:rPr>
              <w:t>.</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Trade union representative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but only if the all-in-one model is the same as</w:t>
            </w:r>
            <w:r w:rsidRPr="00C67FEB" w:rsidR="00E061FC">
              <w:rPr>
                <w:rFonts w:ascii="Times New Roman" w:eastAsia="Times New Roman" w:hAnsi="Times New Roman" w:cs="Times New Roman"/>
                <w:i/>
                <w:iCs/>
                <w:sz w:val="24"/>
                <w:szCs w:val="24"/>
                <w:lang w:val="en-GB" w:eastAsia="cs-CZ"/>
              </w:rPr>
              <w:t xml:space="preserve"> for</w:t>
            </w:r>
            <w:r w:rsidRPr="00C67FEB">
              <w:rPr>
                <w:rFonts w:ascii="Times New Roman" w:eastAsia="Times New Roman" w:hAnsi="Times New Roman" w:cs="Times New Roman"/>
                <w:i/>
                <w:iCs/>
                <w:sz w:val="24"/>
                <w:szCs w:val="24"/>
                <w:lang w:val="en-GB" w:eastAsia="cs-CZ"/>
              </w:rPr>
              <w:t xml:space="preserve"> the transformed funds. Concerning pension savings instruments in general, </w:t>
            </w:r>
            <w:r w:rsidRPr="00C67FEB" w:rsidR="00E061FC">
              <w:rPr>
                <w:rFonts w:ascii="Times New Roman" w:eastAsia="Times New Roman" w:hAnsi="Times New Roman" w:cs="Times New Roman"/>
                <w:i/>
                <w:iCs/>
                <w:sz w:val="24"/>
                <w:szCs w:val="24"/>
                <w:lang w:val="en-GB" w:eastAsia="cs-CZ"/>
              </w:rPr>
              <w:t>Č</w:t>
            </w:r>
            <w:r w:rsidRPr="00C67FEB">
              <w:rPr>
                <w:rFonts w:ascii="Times New Roman" w:eastAsia="Times New Roman" w:hAnsi="Times New Roman" w:cs="Times New Roman"/>
                <w:i/>
                <w:iCs/>
                <w:sz w:val="24"/>
                <w:szCs w:val="24"/>
                <w:lang w:val="en-GB" w:eastAsia="cs-CZ"/>
              </w:rPr>
              <w:t>MKOS believes that the principle of certainty should be clearly preferred over the risk allegedly yielding high appreciation. Again, experience from the financial crisis has shown that the clients of these various</w:t>
            </w:r>
            <w:r w:rsidRPr="00C67FEB" w:rsidR="00E061FC">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high-yield</w:t>
            </w:r>
            <w:r w:rsidRPr="00C67FEB" w:rsidR="00E061FC">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w:t>
            </w:r>
            <w:r w:rsidRPr="00C67FEB" w:rsidR="00E061FC">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pension funds</w:t>
            </w:r>
            <w:r w:rsidRPr="00C67FEB" w:rsidR="00E061FC">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have lost their pensions. </w:t>
            </w:r>
          </w:p>
          <w:p w:rsidR="00403DFA" w:rsidRPr="00013C1C" w:rsidP="0087579E">
            <w:pPr>
              <w:keepNext/>
              <w:spacing w:before="120" w:after="120" w:line="240" w:lineRule="auto"/>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2:</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With regard to the fact that it is to be a state-funded fund, we believe that the amount of the fee should be regulated (similar to the existing </w:t>
            </w:r>
            <w:r w:rsidRPr="00C67FEB" w:rsidR="00E061FC">
              <w:rPr>
                <w:rFonts w:ascii="Times New Roman" w:eastAsia="Times New Roman" w:hAnsi="Times New Roman" w:cs="Times New Roman"/>
                <w:i/>
                <w:iCs/>
                <w:sz w:val="24"/>
                <w:szCs w:val="24"/>
                <w:lang w:val="en-GB" w:eastAsia="cs-CZ"/>
              </w:rPr>
              <w:t>participation</w:t>
            </w:r>
            <w:r w:rsidRPr="00C67FEB">
              <w:rPr>
                <w:rFonts w:ascii="Times New Roman" w:eastAsia="Times New Roman" w:hAnsi="Times New Roman" w:cs="Times New Roman"/>
                <w:i/>
                <w:iCs/>
                <w:sz w:val="24"/>
                <w:szCs w:val="24"/>
                <w:lang w:val="en-GB" w:eastAsia="cs-CZ"/>
              </w:rPr>
              <w:t xml:space="preserve"> funds). The amount of the fee should be limited to the normal value so that its creation makes economic sense to the pension company. Thus, it is possible to agree, for example, with the management fee for private equity funds in the usual amount, as stated in the consultation material.</w:t>
            </w:r>
            <w:r w:rsidR="0087579E">
              <w:rPr>
                <w:rFonts w:ascii="Times New Roman" w:eastAsia="Times New Roman" w:hAnsi="Times New Roman" w:cs="Times New Roman"/>
                <w:i/>
                <w:iCs/>
                <w:sz w:val="24"/>
                <w:szCs w:val="24"/>
                <w:lang w:val="en-GB" w:eastAsia="cs-CZ"/>
              </w:rPr>
              <w:t xml:space="preserve"> </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Private person </w:t>
            </w:r>
            <w:r w:rsidRPr="00013C1C" w:rsidR="00E061FC">
              <w:rPr>
                <w:rFonts w:ascii="Times New Roman" w:eastAsia="Times New Roman" w:hAnsi="Times New Roman" w:cs="Times New Roman"/>
                <w:b/>
                <w:bCs/>
                <w:sz w:val="24"/>
                <w:szCs w:val="24"/>
                <w:lang w:val="en-GB" w:eastAsia="cs-CZ"/>
              </w:rPr>
              <w:t xml:space="preserve">No </w:t>
            </w:r>
            <w:r w:rsidRPr="00013C1C">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There should be a preference for recovery fees over investment volume </w:t>
            </w:r>
            <w:r w:rsidRPr="00C67FEB" w:rsidR="00E061FC">
              <w:rPr>
                <w:rFonts w:ascii="Times New Roman" w:eastAsia="Times New Roman" w:hAnsi="Times New Roman" w:cs="Times New Roman"/>
                <w:i/>
                <w:iCs/>
                <w:sz w:val="24"/>
                <w:szCs w:val="24"/>
                <w:lang w:val="en-GB" w:eastAsia="cs-CZ"/>
              </w:rPr>
              <w:t>fees,</w:t>
            </w:r>
            <w:r w:rsidRPr="00C67FEB">
              <w:rPr>
                <w:rFonts w:ascii="Times New Roman" w:eastAsia="Times New Roman" w:hAnsi="Times New Roman" w:cs="Times New Roman"/>
                <w:i/>
                <w:iCs/>
                <w:sz w:val="24"/>
                <w:szCs w:val="24"/>
                <w:lang w:val="en-GB" w:eastAsia="cs-CZ"/>
              </w:rPr>
              <w:t xml:space="preserve"> so there would be incentives for fund managers to maximize returns.</w:t>
            </w:r>
            <w:r w:rsidR="0087579E">
              <w:rPr>
                <w:rFonts w:ascii="Times New Roman" w:eastAsia="Times New Roman" w:hAnsi="Times New Roman" w:cs="Times New Roman"/>
                <w:i/>
                <w:iCs/>
                <w:sz w:val="24"/>
                <w:szCs w:val="24"/>
                <w:lang w:val="en-GB" w:eastAsia="cs-CZ"/>
              </w:rPr>
              <w:t xml:space="preserve">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A price limit could be set for admin</w:t>
            </w:r>
            <w:r w:rsidRPr="00C67FEB" w:rsidR="00E061FC">
              <w:rPr>
                <w:rFonts w:ascii="Times New Roman" w:eastAsia="Times New Roman" w:hAnsi="Times New Roman" w:cs="Times New Roman"/>
                <w:i/>
                <w:iCs/>
                <w:sz w:val="24"/>
                <w:szCs w:val="24"/>
                <w:lang w:val="en-GB" w:eastAsia="cs-CZ"/>
              </w:rPr>
              <w:t>istration</w:t>
            </w:r>
            <w:r w:rsidRPr="00C67FEB">
              <w:rPr>
                <w:rFonts w:ascii="Times New Roman" w:eastAsia="Times New Roman" w:hAnsi="Times New Roman" w:cs="Times New Roman"/>
                <w:i/>
                <w:iCs/>
                <w:sz w:val="24"/>
                <w:szCs w:val="24"/>
                <w:lang w:val="en-GB" w:eastAsia="cs-CZ"/>
              </w:rPr>
              <w:t xml:space="preserve"> fee for the SIPP provider, but there should be no limit for individual funds / investments that will be </w:t>
            </w:r>
            <w:r w:rsidRPr="00C67FEB" w:rsidR="00E061FC">
              <w:rPr>
                <w:rFonts w:ascii="Times New Roman" w:eastAsia="Times New Roman" w:hAnsi="Times New Roman" w:cs="Times New Roman"/>
                <w:i/>
                <w:iCs/>
                <w:sz w:val="24"/>
                <w:szCs w:val="24"/>
                <w:lang w:val="en-GB" w:eastAsia="cs-CZ"/>
              </w:rPr>
              <w:t>chosen</w:t>
            </w:r>
            <w:r w:rsidRPr="00C67FEB">
              <w:rPr>
                <w:rFonts w:ascii="Times New Roman" w:eastAsia="Times New Roman" w:hAnsi="Times New Roman" w:cs="Times New Roman"/>
                <w:i/>
                <w:iCs/>
                <w:sz w:val="24"/>
                <w:szCs w:val="24"/>
                <w:lang w:val="en-GB" w:eastAsia="cs-CZ"/>
              </w:rPr>
              <w:t xml:space="preserve"> within the account.</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It does not make sense to mention specific values, but pension funds should be motivated primarily by performance, in the case of equity funds, </w:t>
            </w:r>
            <w:r w:rsidRPr="00C67FEB" w:rsidR="00E061FC">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a stricter limit on the volume fee and looser on performance </w:t>
            </w:r>
            <w:r w:rsidRPr="00C67FEB" w:rsidR="00E061FC">
              <w:rPr>
                <w:rFonts w:ascii="Times New Roman" w:eastAsia="Times New Roman" w:hAnsi="Times New Roman" w:cs="Times New Roman"/>
                <w:i/>
                <w:iCs/>
                <w:sz w:val="24"/>
                <w:szCs w:val="24"/>
                <w:lang w:val="en-GB" w:eastAsia="cs-CZ"/>
              </w:rPr>
              <w:t>fees.</w:t>
            </w:r>
            <w:r w:rsidRPr="00C67FEB">
              <w:rPr>
                <w:rFonts w:ascii="Times New Roman" w:eastAsia="Times New Roman" w:hAnsi="Times New Roman" w:cs="Times New Roman"/>
                <w:i/>
                <w:iCs/>
                <w:sz w:val="24"/>
                <w:szCs w:val="24"/>
                <w:lang w:val="en-GB" w:eastAsia="cs-CZ"/>
              </w:rPr>
              <w:t xml:space="preserve"> However, in general, the fees required by the legislation cannot be too low, given that the fund will only be </w:t>
            </w:r>
            <w:r w:rsidRPr="00C67FEB" w:rsidR="00E061FC">
              <w:rPr>
                <w:rFonts w:ascii="Times New Roman" w:eastAsia="Times New Roman" w:hAnsi="Times New Roman" w:cs="Times New Roman"/>
                <w:i/>
                <w:iCs/>
                <w:sz w:val="24"/>
                <w:szCs w:val="24"/>
                <w:lang w:val="en-GB" w:eastAsia="cs-CZ"/>
              </w:rPr>
              <w:t>interesting for</w:t>
            </w:r>
            <w:r w:rsidRPr="00C67FEB">
              <w:rPr>
                <w:rFonts w:ascii="Times New Roman" w:eastAsia="Times New Roman" w:hAnsi="Times New Roman" w:cs="Times New Roman"/>
                <w:i/>
                <w:iCs/>
                <w:sz w:val="24"/>
                <w:szCs w:val="24"/>
                <w:lang w:val="en-GB" w:eastAsia="cs-CZ"/>
              </w:rPr>
              <w:t xml:space="preserve"> dynamic investors, which are few. For financial institutions, too much </w:t>
            </w:r>
            <w:r w:rsidRPr="00C67FEB" w:rsidR="00E061FC">
              <w:rPr>
                <w:rFonts w:ascii="Times New Roman" w:eastAsia="Times New Roman" w:hAnsi="Times New Roman" w:cs="Times New Roman"/>
                <w:i/>
                <w:iCs/>
                <w:sz w:val="24"/>
                <w:szCs w:val="24"/>
                <w:lang w:val="en-GB" w:eastAsia="cs-CZ"/>
              </w:rPr>
              <w:t>“strict”</w:t>
            </w:r>
            <w:r w:rsidRPr="00C67FEB">
              <w:rPr>
                <w:rFonts w:ascii="Times New Roman" w:eastAsia="Times New Roman" w:hAnsi="Times New Roman" w:cs="Times New Roman"/>
                <w:i/>
                <w:iCs/>
                <w:sz w:val="24"/>
                <w:szCs w:val="24"/>
                <w:lang w:val="en-GB" w:eastAsia="cs-CZ"/>
              </w:rPr>
              <w:t xml:space="preserve"> product would be unprofitable for a few clients.</w:t>
            </w:r>
            <w:r w:rsidR="0087579E">
              <w:rPr>
                <w:rFonts w:ascii="Times New Roman" w:eastAsia="Times New Roman" w:hAnsi="Times New Roman" w:cs="Times New Roman"/>
                <w:i/>
                <w:iCs/>
                <w:sz w:val="24"/>
                <w:szCs w:val="24"/>
                <w:lang w:val="en-GB" w:eastAsia="cs-CZ"/>
              </w:rPr>
              <w:t xml:space="preserve">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 No modification, no restriction. Whichever option they may choose, depending on the cost of the assets in which they will invest. At the same time, whether they have the option to lock the investment (impossibility to withdraw) or at least set up any system of entry and especially exit fee. It is not just private equity investments, but other investments. So </w:t>
            </w:r>
            <w:r w:rsidRPr="00C67FEB" w:rsidR="00E061FC">
              <w:rPr>
                <w:rFonts w:ascii="Times New Roman" w:eastAsia="Times New Roman" w:hAnsi="Times New Roman" w:cs="Times New Roman"/>
                <w:i/>
                <w:iCs/>
                <w:sz w:val="24"/>
                <w:szCs w:val="24"/>
                <w:lang w:val="en-GB" w:eastAsia="cs-CZ"/>
              </w:rPr>
              <w:t>far,</w:t>
            </w:r>
            <w:r w:rsidRPr="00C67FEB">
              <w:rPr>
                <w:rFonts w:ascii="Times New Roman" w:eastAsia="Times New Roman" w:hAnsi="Times New Roman" w:cs="Times New Roman"/>
                <w:i/>
                <w:iCs/>
                <w:sz w:val="24"/>
                <w:szCs w:val="24"/>
                <w:lang w:val="en-GB" w:eastAsia="cs-CZ"/>
              </w:rPr>
              <w:t xml:space="preserve"> I miss the real estate fund as a participation fund.</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b) Do not modify, let </w:t>
            </w:r>
            <w:r w:rsidRPr="00C67FEB" w:rsidR="00E061FC">
              <w:rPr>
                <w:rFonts w:ascii="Times New Roman" w:eastAsia="Times New Roman" w:hAnsi="Times New Roman" w:cs="Times New Roman"/>
                <w:i/>
                <w:iCs/>
                <w:sz w:val="24"/>
                <w:szCs w:val="24"/>
                <w:lang w:val="en-GB" w:eastAsia="cs-CZ"/>
              </w:rPr>
              <w:t xml:space="preserve">it </w:t>
            </w:r>
            <w:r w:rsidRPr="00C67FEB">
              <w:rPr>
                <w:rFonts w:ascii="Times New Roman" w:eastAsia="Times New Roman" w:hAnsi="Times New Roman" w:cs="Times New Roman"/>
                <w:i/>
                <w:iCs/>
                <w:sz w:val="24"/>
                <w:szCs w:val="24"/>
                <w:lang w:val="en-GB" w:eastAsia="cs-CZ"/>
              </w:rPr>
              <w:t>be. Within ISA, there will be better and freer options.</w:t>
            </w:r>
          </w:p>
          <w:p w:rsidR="00403DFA" w:rsidRPr="00013C1C" w:rsidP="0087579E">
            <w:pPr>
              <w:keepNext/>
              <w:spacing w:before="120" w:after="120" w:line="240" w:lineRule="auto"/>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3:</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public demand for investing in a new alternative fund cannot be estimated on the basis of the available data. However, if it is possible to assess the interest in the new alternative fund by the current interest in investing in dynamic funds, there is no doubt from the available sources that the participants now prefer a more conservative way of investing (balance sheet total of dynamic funds is 18% of total </w:t>
            </w:r>
            <w:r w:rsidRPr="00C67FEB" w:rsidR="00E1697F">
              <w:rPr>
                <w:rFonts w:ascii="Times New Roman" w:eastAsia="Times New Roman" w:hAnsi="Times New Roman" w:cs="Times New Roman"/>
                <w:i/>
                <w:iCs/>
                <w:sz w:val="24"/>
                <w:szCs w:val="24"/>
                <w:lang w:val="en-GB" w:eastAsia="cs-CZ"/>
              </w:rPr>
              <w:t>participation</w:t>
            </w:r>
            <w:r w:rsidRPr="00C67FEB">
              <w:rPr>
                <w:rFonts w:ascii="Times New Roman" w:eastAsia="Times New Roman" w:hAnsi="Times New Roman" w:cs="Times New Roman"/>
                <w:i/>
                <w:iCs/>
                <w:sz w:val="24"/>
                <w:szCs w:val="24"/>
                <w:lang w:val="en-GB" w:eastAsia="cs-CZ"/>
              </w:rPr>
              <w:t xml:space="preserve"> funds).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such a fund could be interest</w:t>
            </w:r>
            <w:r w:rsidRPr="00C67FEB" w:rsidR="00E1697F">
              <w:rPr>
                <w:rFonts w:ascii="Times New Roman" w:eastAsia="Times New Roman" w:hAnsi="Times New Roman" w:cs="Times New Roman"/>
                <w:i/>
                <w:iCs/>
                <w:sz w:val="24"/>
                <w:szCs w:val="24"/>
                <w:lang w:val="en-GB" w:eastAsia="cs-CZ"/>
              </w:rPr>
              <w:t>ing</w:t>
            </w:r>
            <w:r w:rsidRPr="00C67FEB">
              <w:rPr>
                <w:rFonts w:ascii="Times New Roman" w:eastAsia="Times New Roman" w:hAnsi="Times New Roman" w:cs="Times New Roman"/>
                <w:i/>
                <w:iCs/>
                <w:sz w:val="24"/>
                <w:szCs w:val="24"/>
                <w:lang w:val="en-GB" w:eastAsia="cs-CZ"/>
              </w:rPr>
              <w:t>.</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If an open structure is offered, as is the case with SIPPs in the UK, we think so. The fee structure can more or less be managed by the pension account owner himself.</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interest will be low, in the Czech Republic, citizens are very conservative in relation to investments. Yet support for a more aggressive fund type makes sense - even a conservative investor would be more willing to invest, for example, in a balanced fund instead of a purely bond fund if they see that there are a few more "risky" options. In general, this would have a positive side effect, even if there is less interest in the fund itself.</w:t>
            </w:r>
            <w:r w:rsidR="0087579E">
              <w:rPr>
                <w:rFonts w:ascii="Times New Roman" w:eastAsia="Times New Roman" w:hAnsi="Times New Roman" w:cs="Times New Roman"/>
                <w:i/>
                <w:iCs/>
                <w:sz w:val="24"/>
                <w:szCs w:val="24"/>
                <w:lang w:val="en-GB" w:eastAsia="cs-CZ"/>
              </w:rPr>
              <w:t xml:space="preserve">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 am not sure. As such, more informed investors and usually wealthier investors are not interested in </w:t>
            </w:r>
            <w:r w:rsidRPr="00C67FEB" w:rsidR="00E1697F">
              <w:rPr>
                <w:rFonts w:ascii="Times New Roman" w:eastAsia="Times New Roman" w:hAnsi="Times New Roman" w:cs="Times New Roman"/>
                <w:i/>
                <w:iCs/>
                <w:sz w:val="24"/>
                <w:szCs w:val="24"/>
                <w:lang w:val="en-GB" w:eastAsia="cs-CZ"/>
              </w:rPr>
              <w:t>supplementary pension savings</w:t>
            </w:r>
            <w:r w:rsidRPr="00C67FEB">
              <w:rPr>
                <w:rFonts w:ascii="Times New Roman" w:eastAsia="Times New Roman" w:hAnsi="Times New Roman" w:cs="Times New Roman"/>
                <w:i/>
                <w:iCs/>
                <w:sz w:val="24"/>
                <w:szCs w:val="24"/>
                <w:lang w:val="en-GB" w:eastAsia="cs-CZ"/>
              </w:rPr>
              <w:t xml:space="preserve"> products for other reasons (in particular the risk of a change in conditions by the state without the possibility of terminating the product prematurely while retaining the benefits already granted, nationalization risk</w:t>
            </w:r>
            <w:r w:rsidRPr="00C67FEB">
              <w:rPr>
                <w:rFonts w:ascii="Times New Roman" w:eastAsia="Times New Roman" w:hAnsi="Times New Roman" w:cs="Times New Roman"/>
                <w:i/>
                <w:iCs/>
                <w:sz w:val="24"/>
                <w:szCs w:val="24"/>
                <w:lang w:val="en-GB" w:eastAsia="cs-CZ"/>
              </w:rPr>
              <w:t>)</w:t>
            </w:r>
            <w:r w:rsidRPr="00C67FEB" w:rsidR="00E1697F">
              <w:rPr>
                <w:rFonts w:ascii="Times New Roman" w:eastAsia="Times New Roman" w:hAnsi="Times New Roman" w:cs="Times New Roman"/>
                <w:i/>
                <w:iCs/>
                <w:sz w:val="24"/>
                <w:szCs w:val="24"/>
                <w:lang w:val="en-GB" w:eastAsia="cs-CZ"/>
              </w:rPr>
              <w:t>and</w:t>
            </w:r>
            <w:r w:rsidRPr="00C67FEB" w:rsidR="00E1697F">
              <w:rPr>
                <w:rFonts w:ascii="Times New Roman" w:eastAsia="Times New Roman" w:hAnsi="Times New Roman" w:cs="Times New Roman"/>
                <w:i/>
                <w:iCs/>
                <w:sz w:val="24"/>
                <w:szCs w:val="24"/>
                <w:lang w:val="en-GB" w:eastAsia="cs-CZ"/>
              </w:rPr>
              <w:t xml:space="preserve"> are</w:t>
            </w:r>
            <w:r w:rsidRPr="00C67FEB">
              <w:rPr>
                <w:rFonts w:ascii="Times New Roman" w:eastAsia="Times New Roman" w:hAnsi="Times New Roman" w:cs="Times New Roman"/>
                <w:i/>
                <w:iCs/>
                <w:sz w:val="24"/>
                <w:szCs w:val="24"/>
                <w:lang w:val="en-GB" w:eastAsia="cs-CZ"/>
              </w:rPr>
              <w:t xml:space="preserve"> rather investing abroad. I explain to the less informed investors the fundamentals of investment, the long-term horizon and</w:t>
            </w:r>
            <w:r w:rsidRPr="00C67FEB" w:rsidR="00E1697F">
              <w:rPr>
                <w:rFonts w:ascii="Times New Roman" w:eastAsia="Times New Roman" w:hAnsi="Times New Roman" w:cs="Times New Roman"/>
                <w:i/>
                <w:iCs/>
                <w:sz w:val="24"/>
                <w:szCs w:val="24"/>
                <w:lang w:val="en-GB" w:eastAsia="cs-CZ"/>
              </w:rPr>
              <w:t xml:space="preserve"> they</w:t>
            </w:r>
            <w:r w:rsidRPr="00C67FEB">
              <w:rPr>
                <w:rFonts w:ascii="Times New Roman" w:eastAsia="Times New Roman" w:hAnsi="Times New Roman" w:cs="Times New Roman"/>
                <w:i/>
                <w:iCs/>
                <w:sz w:val="24"/>
                <w:szCs w:val="24"/>
                <w:lang w:val="en-GB" w:eastAsia="cs-CZ"/>
              </w:rPr>
              <w:t xml:space="preserve"> leave these </w:t>
            </w:r>
            <w:r w:rsidRPr="00C67FEB" w:rsidR="00E1697F">
              <w:rPr>
                <w:rFonts w:ascii="Times New Roman" w:eastAsia="Times New Roman" w:hAnsi="Times New Roman" w:cs="Times New Roman"/>
                <w:i/>
                <w:iCs/>
                <w:sz w:val="24"/>
                <w:szCs w:val="24"/>
                <w:lang w:val="en-GB" w:eastAsia="cs-CZ"/>
              </w:rPr>
              <w:t>“details</w:t>
            </w:r>
            <w:r w:rsidRPr="00C67FEB">
              <w:rPr>
                <w:rFonts w:ascii="Times New Roman" w:eastAsia="Times New Roman" w:hAnsi="Times New Roman" w:cs="Times New Roman"/>
                <w:i/>
                <w:iCs/>
                <w:sz w:val="24"/>
                <w:szCs w:val="24"/>
                <w:lang w:val="en-GB" w:eastAsia="cs-CZ"/>
              </w:rPr>
              <w:t>” to the manager.</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013C1C" w:rsidP="0087579E">
            <w:pPr>
              <w:pStyle w:val="Heading1"/>
              <w:keepLines w:val="0"/>
              <w:jc w:val="center"/>
              <w:rPr>
                <w:rFonts w:ascii="Times New Roman" w:eastAsia="Times New Roman" w:hAnsi="Times New Roman" w:cs="Times New Roman"/>
                <w:b/>
                <w:bCs/>
                <w:sz w:val="24"/>
                <w:szCs w:val="24"/>
                <w:lang w:val="en-GB" w:eastAsia="cs-CZ"/>
              </w:rPr>
            </w:pPr>
            <w:bookmarkStart w:id="58" w:name="_Toc36479378"/>
            <w:bookmarkStart w:id="59" w:name="_Toc38555312"/>
            <w:r w:rsidRPr="00013C1C">
              <w:rPr>
                <w:rFonts w:ascii="Times New Roman" w:hAnsi="Times New Roman" w:cs="Times New Roman"/>
                <w:b/>
                <w:bCs/>
                <w:color w:val="000000" w:themeColor="text1"/>
                <w:sz w:val="24"/>
                <w:szCs w:val="24"/>
                <w:bdr w:val="single" w:sz="4" w:space="0" w:color="auto"/>
                <w:lang w:val="en-GB" w:eastAsia="cs-CZ"/>
              </w:rPr>
              <w:t>2</w:t>
            </w:r>
            <w:r w:rsidRPr="00013C1C" w:rsidR="00E1697F">
              <w:rPr>
                <w:rFonts w:ascii="Times New Roman" w:hAnsi="Times New Roman" w:cs="Times New Roman"/>
                <w:b/>
                <w:bCs/>
                <w:color w:val="000000" w:themeColor="text1"/>
                <w:sz w:val="24"/>
                <w:szCs w:val="24"/>
                <w:bdr w:val="single" w:sz="4" w:space="0" w:color="auto"/>
                <w:lang w:val="en-GB" w:eastAsia="cs-CZ"/>
              </w:rPr>
              <w:t>.</w:t>
            </w:r>
            <w:r w:rsidRPr="00013C1C">
              <w:rPr>
                <w:rFonts w:ascii="Times New Roman" w:hAnsi="Times New Roman" w:cs="Times New Roman"/>
                <w:b/>
                <w:bCs/>
                <w:color w:val="000000" w:themeColor="text1"/>
                <w:sz w:val="24"/>
                <w:szCs w:val="24"/>
                <w:bdr w:val="single" w:sz="4" w:space="0" w:color="auto"/>
                <w:lang w:val="en-GB" w:eastAsia="cs-CZ"/>
              </w:rPr>
              <w:t xml:space="preserve">6 Introduction </w:t>
            </w:r>
            <w:r w:rsidRPr="00013C1C" w:rsidR="00E1697F">
              <w:rPr>
                <w:rFonts w:ascii="Times New Roman" w:hAnsi="Times New Roman" w:cs="Times New Roman"/>
                <w:b/>
                <w:bCs/>
                <w:color w:val="000000" w:themeColor="text1"/>
                <w:sz w:val="24"/>
                <w:szCs w:val="24"/>
                <w:bdr w:val="single" w:sz="4" w:space="0" w:color="auto"/>
                <w:lang w:val="en-GB" w:eastAsia="cs-CZ"/>
              </w:rPr>
              <w:t>of</w:t>
            </w:r>
            <w:r w:rsidRPr="00013C1C">
              <w:rPr>
                <w:rFonts w:ascii="Times New Roman" w:hAnsi="Times New Roman" w:cs="Times New Roman"/>
                <w:b/>
                <w:bCs/>
                <w:color w:val="000000" w:themeColor="text1"/>
                <w:sz w:val="24"/>
                <w:szCs w:val="24"/>
                <w:bdr w:val="single" w:sz="4" w:space="0" w:color="auto"/>
                <w:lang w:val="en-GB" w:eastAsia="cs-CZ"/>
              </w:rPr>
              <w:t xml:space="preserve"> sub-funds </w:t>
            </w:r>
            <w:r w:rsidRPr="00013C1C" w:rsidR="00E1697F">
              <w:rPr>
                <w:rFonts w:ascii="Times New Roman" w:hAnsi="Times New Roman" w:cs="Times New Roman"/>
                <w:b/>
                <w:bCs/>
                <w:color w:val="000000" w:themeColor="text1"/>
                <w:sz w:val="24"/>
                <w:szCs w:val="24"/>
                <w:bdr w:val="single" w:sz="4" w:space="0" w:color="auto"/>
                <w:lang w:val="en-GB" w:eastAsia="cs-CZ"/>
              </w:rPr>
              <w:t>to joint stock companies</w:t>
            </w:r>
            <w:r w:rsidRPr="00013C1C">
              <w:rPr>
                <w:rFonts w:ascii="Times New Roman" w:hAnsi="Times New Roman" w:cs="Times New Roman"/>
                <w:b/>
                <w:bCs/>
                <w:color w:val="000000" w:themeColor="text1"/>
                <w:sz w:val="24"/>
                <w:szCs w:val="24"/>
                <w:bdr w:val="single" w:sz="4" w:space="0" w:color="auto"/>
                <w:lang w:val="en-GB" w:eastAsia="cs-CZ"/>
              </w:rPr>
              <w:t xml:space="preserve"> a</w:t>
            </w:r>
            <w:r w:rsidRPr="00013C1C" w:rsidR="00F2625A">
              <w:rPr>
                <w:rFonts w:ascii="Times New Roman" w:hAnsi="Times New Roman" w:cs="Times New Roman"/>
                <w:b/>
                <w:bCs/>
                <w:color w:val="000000" w:themeColor="text1"/>
                <w:sz w:val="24"/>
                <w:szCs w:val="24"/>
                <w:bdr w:val="single" w:sz="4" w:space="0" w:color="auto"/>
                <w:lang w:val="en-GB" w:eastAsia="cs-CZ"/>
              </w:rPr>
              <w:t>nd</w:t>
            </w:r>
            <w:r w:rsidRPr="00013C1C">
              <w:rPr>
                <w:rFonts w:ascii="Times New Roman" w:hAnsi="Times New Roman" w:cs="Times New Roman"/>
                <w:b/>
                <w:bCs/>
                <w:color w:val="000000" w:themeColor="text1"/>
                <w:sz w:val="24"/>
                <w:szCs w:val="24"/>
                <w:bdr w:val="single" w:sz="4" w:space="0" w:color="auto"/>
                <w:lang w:val="en-GB" w:eastAsia="cs-CZ"/>
              </w:rPr>
              <w:t xml:space="preserve"> KSIL</w:t>
            </w:r>
            <w:bookmarkEnd w:id="58"/>
            <w:bookmarkEnd w:id="59"/>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013C1C">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sub-fund is part of a fund whose investment strategy may differ from the fund. Thanks to the sub-funds it is possible to have different portfolios for different investment projects, while the individual sub-funds are separated from each other by property and accounting. The </w:t>
            </w:r>
            <w:r w:rsidRPr="00C67FEB" w:rsidR="00F2625A">
              <w:rPr>
                <w:rFonts w:ascii="Times New Roman" w:eastAsia="Times New Roman" w:hAnsi="Times New Roman" w:cs="Times New Roman"/>
                <w:sz w:val="24"/>
                <w:szCs w:val="24"/>
                <w:lang w:val="en-GB" w:eastAsia="cs-CZ"/>
              </w:rPr>
              <w:t>sub-funds</w:t>
            </w:r>
            <w:r w:rsidRPr="00C67FEB">
              <w:rPr>
                <w:rFonts w:ascii="Times New Roman" w:eastAsia="Times New Roman" w:hAnsi="Times New Roman" w:cs="Times New Roman"/>
                <w:sz w:val="24"/>
                <w:szCs w:val="24"/>
                <w:lang w:val="en-GB" w:eastAsia="cs-CZ"/>
              </w:rPr>
              <w:t xml:space="preserve"> are managed independently in accordance with their own investment strategy. However, under the current legislation, sub-funds may only be set up in the case of a fund in the form of a joint</w:t>
            </w:r>
            <w:r w:rsidRPr="00C67FEB" w:rsidR="00F2625A">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stock company with variable capital (SICAV), which is a special legal form intended for investment funds. There seems to be no reason for the </w:t>
            </w:r>
            <w:r w:rsidRPr="00C67FEB" w:rsidR="00F2625A">
              <w:rPr>
                <w:rFonts w:ascii="Times New Roman" w:eastAsia="Times New Roman" w:hAnsi="Times New Roman" w:cs="Times New Roman"/>
                <w:sz w:val="24"/>
                <w:szCs w:val="24"/>
                <w:lang w:val="en-GB" w:eastAsia="cs-CZ"/>
              </w:rPr>
              <w:t>sub-funds</w:t>
            </w:r>
            <w:r w:rsidRPr="00C67FEB">
              <w:rPr>
                <w:rFonts w:ascii="Times New Roman" w:eastAsia="Times New Roman" w:hAnsi="Times New Roman" w:cs="Times New Roman"/>
                <w:sz w:val="24"/>
                <w:szCs w:val="24"/>
                <w:lang w:val="en-GB" w:eastAsia="cs-CZ"/>
              </w:rPr>
              <w:t xml:space="preserve"> to be created only by the SICA</w:t>
            </w:r>
            <w:r w:rsidRPr="00C67FEB" w:rsidR="00F2625A">
              <w:rPr>
                <w:rFonts w:ascii="Times New Roman" w:eastAsia="Times New Roman" w:hAnsi="Times New Roman" w:cs="Times New Roman"/>
                <w:sz w:val="24"/>
                <w:szCs w:val="24"/>
                <w:lang w:val="en-GB" w:eastAsia="cs-CZ"/>
              </w:rPr>
              <w:t>V</w:t>
            </w:r>
            <w:r w:rsidRPr="00C67FEB">
              <w:rPr>
                <w:rFonts w:ascii="Times New Roman" w:eastAsia="Times New Roman" w:hAnsi="Times New Roman" w:cs="Times New Roman"/>
                <w:sz w:val="24"/>
                <w:szCs w:val="24"/>
                <w:lang w:val="en-GB" w:eastAsia="cs-CZ"/>
              </w:rPr>
              <w:t>. It is common in foreign law that other entities may create sub-funds.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It would be appropriate to allow investment funds other than joint stock companies with variable share capital to be subdivided, since such a breakdown creates variability in investment strategies and thus greater risk diversification for investors who could change the investment strategy by changing the sub-fund within a single fund. </w:t>
            </w:r>
            <w:r w:rsidRPr="00C67FEB">
              <w:rPr>
                <w:rFonts w:ascii="Times New Roman" w:eastAsia="Times New Roman" w:hAnsi="Times New Roman" w:cs="Times New Roman"/>
                <w:sz w:val="24"/>
                <w:szCs w:val="24"/>
                <w:lang w:val="en-GB" w:eastAsia="cs-CZ"/>
              </w:rPr>
              <w:t>overhead</w:t>
            </w:r>
            <w:r w:rsidRPr="00C67FEB">
              <w:rPr>
                <w:rFonts w:ascii="Times New Roman" w:eastAsia="Times New Roman" w:hAnsi="Times New Roman" w:cs="Times New Roman"/>
                <w:sz w:val="24"/>
                <w:szCs w:val="24"/>
                <w:lang w:val="en-GB" w:eastAsia="cs-CZ"/>
              </w:rPr>
              <w:t xml:space="preserve"> costs, without charging the full amount of the entry and exit fees. Another advantage of the possibility of sub-fund's division of funds into one sub-fund is that the bankruptcy will not affect other sub-funds or the fund itself. In this context, it is necessary to consult whether other legal forms or types of funds could benefit from the sub-funds, whether on the </w:t>
            </w:r>
            <w:r w:rsidRPr="00C67FEB">
              <w:rPr>
                <w:rFonts w:ascii="Times New Roman" w:eastAsia="Times New Roman" w:hAnsi="Times New Roman" w:cs="Times New Roman"/>
                <w:sz w:val="24"/>
                <w:szCs w:val="24"/>
                <w:lang w:val="en-GB" w:eastAsia="cs-CZ"/>
              </w:rPr>
              <w:t>part of investors or fund managers, thus contributing to the liberalization of the investment and investment business environment, which should also impacts on increasing the attractiveness of investment in the Czech Republic.</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Four variants are considered:</w:t>
            </w:r>
          </w:p>
          <w:p w:rsidR="00403DFA" w:rsidRPr="00C67FEB" w:rsidP="0087579E">
            <w:pPr>
              <w:pStyle w:val="ListParagraph"/>
              <w:keepNext/>
              <w:numPr>
                <w:ilvl w:val="0"/>
                <w:numId w:val="28"/>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F2625A">
              <w:rPr>
                <w:rFonts w:ascii="Times New Roman" w:eastAsia="Times New Roman" w:hAnsi="Times New Roman" w:cs="Times New Roman"/>
                <w:sz w:val="24"/>
                <w:szCs w:val="24"/>
                <w:lang w:val="en-GB" w:eastAsia="cs-CZ"/>
              </w:rPr>
              <w:t>k</w:t>
            </w:r>
            <w:r w:rsidRPr="00C67FEB">
              <w:rPr>
                <w:rFonts w:ascii="Times New Roman" w:eastAsia="Times New Roman" w:hAnsi="Times New Roman" w:cs="Times New Roman"/>
                <w:sz w:val="24"/>
                <w:szCs w:val="24"/>
                <w:lang w:val="en-GB" w:eastAsia="cs-CZ"/>
              </w:rPr>
              <w:t>eep the current status</w:t>
            </w:r>
          </w:p>
          <w:p w:rsidR="00403DFA" w:rsidRPr="00C67FEB" w:rsidP="0087579E">
            <w:pPr>
              <w:pStyle w:val="ListParagraph"/>
              <w:keepNext/>
              <w:numPr>
                <w:ilvl w:val="0"/>
                <w:numId w:val="28"/>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allow the creation of sub-funds of </w:t>
            </w:r>
            <w:r w:rsidRPr="00C67FEB" w:rsidR="00F2625A">
              <w:rPr>
                <w:rFonts w:ascii="Times New Roman" w:eastAsia="Times New Roman" w:hAnsi="Times New Roman" w:cs="Times New Roman"/>
                <w:sz w:val="24"/>
                <w:szCs w:val="24"/>
                <w:lang w:val="en-GB" w:eastAsia="cs-CZ"/>
              </w:rPr>
              <w:t>KSIL</w:t>
            </w:r>
            <w:r w:rsidRPr="00C67FEB">
              <w:rPr>
                <w:rFonts w:ascii="Times New Roman" w:eastAsia="Times New Roman" w:hAnsi="Times New Roman" w:cs="Times New Roman"/>
                <w:sz w:val="24"/>
                <w:szCs w:val="24"/>
                <w:lang w:val="en-GB" w:eastAsia="cs-CZ"/>
              </w:rPr>
              <w:t xml:space="preserve"> </w:t>
            </w:r>
          </w:p>
          <w:p w:rsidR="00403DFA" w:rsidRPr="00C67FEB" w:rsidP="0087579E">
            <w:pPr>
              <w:pStyle w:val="ListParagraph"/>
              <w:keepNext/>
              <w:numPr>
                <w:ilvl w:val="0"/>
                <w:numId w:val="28"/>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2 - allow the creation of sub-funds of closed-end investment fund of a joint</w:t>
            </w:r>
            <w:r w:rsidRPr="00C67FEB" w:rsidR="00F2625A">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stock company </w:t>
            </w:r>
          </w:p>
          <w:p w:rsidR="00403DFA" w:rsidRPr="00C67FEB" w:rsidP="0087579E">
            <w:pPr>
              <w:pStyle w:val="ListParagraph"/>
              <w:keepNext/>
              <w:numPr>
                <w:ilvl w:val="0"/>
                <w:numId w:val="28"/>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3 - to allow the creation of sub-funds </w:t>
            </w:r>
            <w:r w:rsidRPr="00C67FEB" w:rsidR="00F2625A">
              <w:rPr>
                <w:rFonts w:ascii="Times New Roman" w:eastAsia="Times New Roman" w:hAnsi="Times New Roman" w:cs="Times New Roman"/>
                <w:sz w:val="24"/>
                <w:szCs w:val="24"/>
                <w:lang w:val="en-GB" w:eastAsia="cs-CZ"/>
              </w:rPr>
              <w:t xml:space="preserve">of </w:t>
            </w:r>
            <w:r w:rsidRPr="00C67FEB">
              <w:rPr>
                <w:rFonts w:ascii="Times New Roman" w:eastAsia="Times New Roman" w:hAnsi="Times New Roman" w:cs="Times New Roman"/>
                <w:sz w:val="24"/>
                <w:szCs w:val="24"/>
                <w:lang w:val="en-GB" w:eastAsia="cs-CZ"/>
              </w:rPr>
              <w:t>KSIL and closed-end investment fund of the joint</w:t>
            </w:r>
            <w:r w:rsidRPr="00C67FEB" w:rsidR="00F2625A">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stock company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preservation of the current situation puts the Czech Republic at a disadvantage compared to other Member States, such as Luxembourg, which allow</w:t>
            </w:r>
            <w:r w:rsidRPr="00C67FEB" w:rsidR="00F2625A">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 the creation of sub-funds for investment funds other than the SICAV. At the same time, there is no need to change legislation or related legislation in tax legislation. Maintaining the status quo is contrary to the </w:t>
            </w:r>
            <w:r w:rsidRPr="00C67FEB" w:rsidR="00F2625A">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which explicitly includes in Measure 16 - Further Attraction of Sub-Funds, the plan to allow the creation of sub-funds for legal forms other than the SICAV.</w:t>
            </w:r>
            <w:r w:rsidR="0087579E">
              <w:rPr>
                <w:rFonts w:ascii="Times New Roman" w:eastAsia="Times New Roman" w:hAnsi="Times New Roman" w:cs="Times New Roman"/>
                <w:sz w:val="24"/>
                <w:szCs w:val="24"/>
                <w:lang w:val="en-GB" w:eastAsia="cs-CZ"/>
              </w:rPr>
              <w:t xml:space="preserve">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Option 1 - </w:t>
            </w:r>
            <w:r w:rsidRPr="00013C1C" w:rsidR="00F2625A">
              <w:rPr>
                <w:rFonts w:ascii="Times New Roman" w:eastAsia="Times New Roman" w:hAnsi="Times New Roman" w:cs="Times New Roman"/>
                <w:b/>
                <w:bCs/>
                <w:sz w:val="24"/>
                <w:szCs w:val="24"/>
                <w:lang w:val="en-GB" w:eastAsia="cs-CZ"/>
              </w:rPr>
              <w:t>allow the creation of sub-funds of KSIL</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KSIL is a special type of limited partnership that is specifically applicable to collective investment. KSIL can only act as a qualified investor fund, and it is also forbidden for an investment certificate to be traded on a regulated or public market, as uncontrolled trading could take place and limited </w:t>
            </w:r>
            <w:r w:rsidRPr="00C67FEB" w:rsidR="00C41DA8">
              <w:rPr>
                <w:rFonts w:ascii="Times New Roman" w:eastAsia="Times New Roman" w:hAnsi="Times New Roman" w:cs="Times New Roman"/>
                <w:sz w:val="24"/>
                <w:szCs w:val="24"/>
                <w:lang w:val="en-GB" w:eastAsia="cs-CZ"/>
              </w:rPr>
              <w:t>partners</w:t>
            </w:r>
            <w:r w:rsidRPr="00C67FEB" w:rsidR="00C41DA8">
              <w:rPr>
                <w:rFonts w:ascii="Times New Roman" w:eastAsia="Times New Roman" w:hAnsi="Times New Roman" w:cs="Times New Roman"/>
                <w:sz w:val="24"/>
                <w:szCs w:val="24"/>
                <w:lang w:val="en-GB" w:eastAsia="cs-CZ"/>
              </w:rPr>
              <w:t xml:space="preserve"> certificates</w:t>
            </w:r>
            <w:r w:rsidRPr="00C67FEB">
              <w:rPr>
                <w:rFonts w:ascii="Times New Roman" w:eastAsia="Times New Roman" w:hAnsi="Times New Roman" w:cs="Times New Roman"/>
                <w:sz w:val="24"/>
                <w:szCs w:val="24"/>
                <w:lang w:val="en-GB" w:eastAsia="cs-CZ"/>
              </w:rPr>
              <w:t xml:space="preserve"> could acquire non-eligible </w:t>
            </w:r>
            <w:r w:rsidRPr="00C67FEB" w:rsidR="00C41DA8">
              <w:rPr>
                <w:rFonts w:ascii="Times New Roman" w:eastAsia="Times New Roman" w:hAnsi="Times New Roman" w:cs="Times New Roman"/>
                <w:sz w:val="24"/>
                <w:szCs w:val="24"/>
                <w:lang w:val="en-GB" w:eastAsia="cs-CZ"/>
              </w:rPr>
              <w:t>persons</w:t>
            </w:r>
            <w:r w:rsidRPr="00C67FEB">
              <w:rPr>
                <w:rFonts w:ascii="Times New Roman" w:eastAsia="Times New Roman" w:hAnsi="Times New Roman" w:cs="Times New Roman"/>
                <w:sz w:val="24"/>
                <w:szCs w:val="24"/>
                <w:lang w:val="en-GB" w:eastAsia="cs-CZ"/>
              </w:rPr>
              <w:t xml:space="preserve">. However, investment certificates are otherwise freely transferable. The shares of limited partners in KSIL are embodied in investment certificates which KSIL would issue separately for each sub-fund. The decision to create sub-funds would, as in the case of the SICAV, result from the </w:t>
            </w:r>
            <w:r w:rsidRPr="00C67FEB" w:rsidR="00C41DA8">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tatute. The investment assets would be separated into sub-funds from the fund's non-investment assets, etc. This option would help to develop the capital market. The choice of this option would </w:t>
            </w:r>
            <w:r w:rsidRPr="00C67FEB" w:rsidR="00C41DA8">
              <w:rPr>
                <w:rFonts w:ascii="Times New Roman" w:eastAsia="Times New Roman" w:hAnsi="Times New Roman" w:cs="Times New Roman"/>
                <w:sz w:val="24"/>
                <w:szCs w:val="24"/>
                <w:lang w:val="en-GB" w:eastAsia="cs-CZ"/>
              </w:rPr>
              <w:t>fulfil</w:t>
            </w:r>
            <w:r w:rsidRPr="00C67FEB">
              <w:rPr>
                <w:rFonts w:ascii="Times New Roman" w:eastAsia="Times New Roman" w:hAnsi="Times New Roman" w:cs="Times New Roman"/>
                <w:sz w:val="24"/>
                <w:szCs w:val="24"/>
                <w:lang w:val="en-GB" w:eastAsia="cs-CZ"/>
              </w:rPr>
              <w:t xml:space="preserve"> the requirement of the </w:t>
            </w:r>
            <w:r w:rsidRPr="00C67FEB" w:rsidR="00C41DA8">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to allow the creation of sub-funds for legal forms other than the SICAV. In addition to </w:t>
            </w:r>
            <w:r w:rsidRPr="00C67FEB" w:rsidR="00C41DA8">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it would be advisable to amend </w:t>
            </w:r>
            <w:r w:rsidRPr="00C67FEB" w:rsidR="00C41DA8">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17b of the Income Tax</w:t>
            </w:r>
            <w:r w:rsidRPr="00C67FEB" w:rsidR="00C41DA8">
              <w:rPr>
                <w:rFonts w:ascii="Times New Roman" w:eastAsia="Times New Roman" w:hAnsi="Times New Roman" w:cs="Times New Roman"/>
                <w:sz w:val="24"/>
                <w:szCs w:val="24"/>
                <w:lang w:val="en-GB" w:eastAsia="cs-CZ"/>
              </w:rPr>
              <w:t>es</w:t>
            </w:r>
            <w:r w:rsidRPr="00C67FEB">
              <w:rPr>
                <w:rFonts w:ascii="Times New Roman" w:eastAsia="Times New Roman" w:hAnsi="Times New Roman" w:cs="Times New Roman"/>
                <w:sz w:val="24"/>
                <w:szCs w:val="24"/>
                <w:lang w:val="en-GB" w:eastAsia="cs-CZ"/>
              </w:rPr>
              <w:t xml:space="preserve"> Act to also apply the definition of a basic investment fund to the sub-funds of KSIL.</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Option 2 - </w:t>
            </w:r>
            <w:r w:rsidRPr="00013C1C" w:rsidR="00A532A1">
              <w:rPr>
                <w:rFonts w:ascii="Times New Roman" w:eastAsia="Times New Roman" w:hAnsi="Times New Roman" w:cs="Times New Roman"/>
                <w:b/>
                <w:bCs/>
                <w:sz w:val="24"/>
                <w:szCs w:val="24"/>
                <w:lang w:val="en-GB" w:eastAsia="cs-CZ"/>
              </w:rPr>
              <w:t>allow the creation of sub-funds of a closed-end investment fund of a joint stock company</w:t>
            </w:r>
            <w:r w:rsidRPr="00013C1C">
              <w:rPr>
                <w:rFonts w:ascii="Times New Roman" w:eastAsia="Times New Roman" w:hAnsi="Times New Roman" w:cs="Times New Roman"/>
                <w:b/>
                <w:bCs/>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administrator of a closed-end investment fund issues securities that are not associated with the right of redemption by their issuer and are closed upon the acquisition of capital from investors. The purpose is also to enable </w:t>
            </w:r>
            <w:r w:rsidRPr="00C67FEB" w:rsidR="002427C7">
              <w:rPr>
                <w:rFonts w:ascii="Times New Roman" w:eastAsia="Times New Roman" w:hAnsi="Times New Roman" w:cs="Times New Roman"/>
                <w:sz w:val="24"/>
                <w:szCs w:val="24"/>
                <w:lang w:val="en-GB" w:eastAsia="cs-CZ"/>
              </w:rPr>
              <w:t>common</w:t>
            </w:r>
            <w:r w:rsidRPr="00C67FEB">
              <w:rPr>
                <w:rFonts w:ascii="Times New Roman" w:eastAsia="Times New Roman" w:hAnsi="Times New Roman" w:cs="Times New Roman"/>
                <w:sz w:val="24"/>
                <w:szCs w:val="24"/>
                <w:lang w:val="en-GB" w:eastAsia="cs-CZ"/>
              </w:rPr>
              <w:t xml:space="preserve"> joint</w:t>
            </w:r>
            <w:r w:rsidRPr="00C67FEB" w:rsidR="002427C7">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stock companies with normal fixed capital to create sub-funds. The </w:t>
            </w:r>
            <w:r w:rsidRPr="00C67FEB" w:rsidR="002427C7">
              <w:rPr>
                <w:rFonts w:ascii="Times New Roman" w:eastAsia="Times New Roman" w:hAnsi="Times New Roman" w:cs="Times New Roman"/>
                <w:sz w:val="24"/>
                <w:szCs w:val="24"/>
                <w:lang w:val="en-GB" w:eastAsia="cs-CZ"/>
              </w:rPr>
              <w:t>f</w:t>
            </w:r>
            <w:r w:rsidRPr="00C67FEB">
              <w:rPr>
                <w:rFonts w:ascii="Times New Roman" w:eastAsia="Times New Roman" w:hAnsi="Times New Roman" w:cs="Times New Roman"/>
                <w:sz w:val="24"/>
                <w:szCs w:val="24"/>
                <w:lang w:val="en-GB" w:eastAsia="cs-CZ"/>
              </w:rPr>
              <w:t xml:space="preserve">und's decision to create sub-funds would be based on the </w:t>
            </w:r>
            <w:r w:rsidRPr="00C67FEB" w:rsidR="002427C7">
              <w:rPr>
                <w:rFonts w:ascii="Times New Roman" w:eastAsia="Times New Roman" w:hAnsi="Times New Roman" w:cs="Times New Roman"/>
                <w:sz w:val="24"/>
                <w:szCs w:val="24"/>
                <w:lang w:val="en-GB" w:eastAsia="cs-CZ"/>
              </w:rPr>
              <w:t>f</w:t>
            </w:r>
            <w:r w:rsidRPr="00C67FEB">
              <w:rPr>
                <w:rFonts w:ascii="Times New Roman" w:eastAsia="Times New Roman" w:hAnsi="Times New Roman" w:cs="Times New Roman"/>
                <w:sz w:val="24"/>
                <w:szCs w:val="24"/>
                <w:lang w:val="en-GB" w:eastAsia="cs-CZ"/>
              </w:rPr>
              <w:t xml:space="preserve">und's </w:t>
            </w:r>
            <w:r w:rsidRPr="00C67FEB" w:rsidR="002427C7">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tatute. This option would help the development of the capital market. The choice of this option would </w:t>
            </w:r>
            <w:r w:rsidRPr="00C67FEB" w:rsidR="002427C7">
              <w:rPr>
                <w:rFonts w:ascii="Times New Roman" w:eastAsia="Times New Roman" w:hAnsi="Times New Roman" w:cs="Times New Roman"/>
                <w:sz w:val="24"/>
                <w:szCs w:val="24"/>
                <w:lang w:val="en-GB" w:eastAsia="cs-CZ"/>
              </w:rPr>
              <w:t>fulfil</w:t>
            </w:r>
            <w:r w:rsidRPr="00C67FEB">
              <w:rPr>
                <w:rFonts w:ascii="Times New Roman" w:eastAsia="Times New Roman" w:hAnsi="Times New Roman" w:cs="Times New Roman"/>
                <w:sz w:val="24"/>
                <w:szCs w:val="24"/>
                <w:lang w:val="en-GB" w:eastAsia="cs-CZ"/>
              </w:rPr>
              <w:t xml:space="preserve"> the requirement of the </w:t>
            </w:r>
            <w:r w:rsidRPr="00C67FEB" w:rsidR="002427C7">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to allow the creation of sub-funds for legal forms other than the SICAV. In addition to </w:t>
            </w:r>
            <w:r w:rsidRPr="00C67FEB" w:rsidR="002427C7">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it would be appropriate to amend </w:t>
            </w:r>
            <w:r w:rsidRPr="00C67FEB" w:rsidR="002427C7">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17b of the Income Tax</w:t>
            </w:r>
            <w:r w:rsidRPr="00C67FEB" w:rsidR="00C41DA8">
              <w:rPr>
                <w:rFonts w:ascii="Times New Roman" w:eastAsia="Times New Roman" w:hAnsi="Times New Roman" w:cs="Times New Roman"/>
                <w:sz w:val="24"/>
                <w:szCs w:val="24"/>
                <w:lang w:val="en-GB" w:eastAsia="cs-CZ"/>
              </w:rPr>
              <w:t>es</w:t>
            </w:r>
            <w:r w:rsidRPr="00C67FEB">
              <w:rPr>
                <w:rFonts w:ascii="Times New Roman" w:eastAsia="Times New Roman" w:hAnsi="Times New Roman" w:cs="Times New Roman"/>
                <w:sz w:val="24"/>
                <w:szCs w:val="24"/>
                <w:lang w:val="en-GB" w:eastAsia="cs-CZ"/>
              </w:rPr>
              <w:t xml:space="preserve"> Act to also apply the definition of a basic investment fund to sub-funds </w:t>
            </w:r>
            <w:r w:rsidRPr="00C67FEB" w:rsidR="002427C7">
              <w:rPr>
                <w:rFonts w:ascii="Times New Roman" w:eastAsia="Times New Roman" w:hAnsi="Times New Roman" w:cs="Times New Roman"/>
                <w:sz w:val="24"/>
                <w:szCs w:val="24"/>
                <w:lang w:val="en-GB" w:eastAsia="cs-CZ"/>
              </w:rPr>
              <w:t xml:space="preserve">of </w:t>
            </w:r>
            <w:r w:rsidRPr="00C67FEB">
              <w:rPr>
                <w:rFonts w:ascii="Times New Roman" w:eastAsia="Times New Roman" w:hAnsi="Times New Roman" w:cs="Times New Roman"/>
                <w:sz w:val="24"/>
                <w:szCs w:val="24"/>
                <w:lang w:val="en-GB" w:eastAsia="cs-CZ"/>
              </w:rPr>
              <w:t>closed</w:t>
            </w:r>
            <w:r w:rsidRPr="00C67FEB" w:rsidR="002427C7">
              <w:rPr>
                <w:rFonts w:ascii="Times New Roman" w:eastAsia="Times New Roman" w:hAnsi="Times New Roman" w:cs="Times New Roman"/>
                <w:sz w:val="24"/>
                <w:szCs w:val="24"/>
                <w:lang w:val="en-GB" w:eastAsia="cs-CZ"/>
              </w:rPr>
              <w:t>-end</w:t>
            </w:r>
            <w:r w:rsidRPr="00C67FEB">
              <w:rPr>
                <w:rFonts w:ascii="Times New Roman" w:eastAsia="Times New Roman" w:hAnsi="Times New Roman" w:cs="Times New Roman"/>
                <w:sz w:val="24"/>
                <w:szCs w:val="24"/>
                <w:lang w:val="en-GB" w:eastAsia="cs-CZ"/>
              </w:rPr>
              <w:t xml:space="preserve"> investment fund of a </w:t>
            </w:r>
            <w:r w:rsidRPr="00C67FEB" w:rsidR="002427C7">
              <w:rPr>
                <w:rFonts w:ascii="Times New Roman" w:eastAsia="Times New Roman" w:hAnsi="Times New Roman" w:cs="Times New Roman"/>
                <w:sz w:val="24"/>
                <w:szCs w:val="24"/>
                <w:lang w:val="en-GB" w:eastAsia="cs-CZ"/>
              </w:rPr>
              <w:t>joint stock</w:t>
            </w:r>
            <w:r w:rsidRPr="00C67FEB">
              <w:rPr>
                <w:rFonts w:ascii="Times New Roman" w:eastAsia="Times New Roman" w:hAnsi="Times New Roman" w:cs="Times New Roman"/>
                <w:sz w:val="24"/>
                <w:szCs w:val="24"/>
                <w:lang w:val="en-GB" w:eastAsia="cs-CZ"/>
              </w:rPr>
              <w:t xml:space="preserve"> company. </w:t>
            </w:r>
          </w:p>
          <w:p w:rsidR="00A532A1"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Option 3 - </w:t>
            </w:r>
            <w:r w:rsidRPr="00013C1C">
              <w:rPr>
                <w:rFonts w:ascii="Times New Roman" w:eastAsia="Times New Roman" w:hAnsi="Times New Roman" w:cs="Times New Roman"/>
                <w:b/>
                <w:bCs/>
                <w:sz w:val="24"/>
                <w:szCs w:val="24"/>
                <w:lang w:val="en-GB" w:eastAsia="cs-CZ"/>
              </w:rPr>
              <w:t>to allow the creation of sub-funds of KSIL and the closed-end investment fund of the joint stock company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option is most beneficial for the development of the capital market. It will also lead to major legislative adjustments. The choice of this option would meet the requirements of the </w:t>
            </w:r>
            <w:r w:rsidRPr="00C67FEB" w:rsidR="002427C7">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most in order to allow the creation of sub-funds for legal forms other than the SICAV. In addition to </w:t>
            </w:r>
            <w:r w:rsidRPr="00C67FEB" w:rsidR="002427C7">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it would be appropriate to amend Section 17b of the Income Tax</w:t>
            </w:r>
            <w:r w:rsidRPr="00C67FEB" w:rsidR="002427C7">
              <w:rPr>
                <w:rFonts w:ascii="Times New Roman" w:eastAsia="Times New Roman" w:hAnsi="Times New Roman" w:cs="Times New Roman"/>
                <w:sz w:val="24"/>
                <w:szCs w:val="24"/>
                <w:lang w:val="en-GB" w:eastAsia="cs-CZ"/>
              </w:rPr>
              <w:t>es</w:t>
            </w:r>
            <w:r w:rsidRPr="00C67FEB">
              <w:rPr>
                <w:rFonts w:ascii="Times New Roman" w:eastAsia="Times New Roman" w:hAnsi="Times New Roman" w:cs="Times New Roman"/>
                <w:sz w:val="24"/>
                <w:szCs w:val="24"/>
                <w:lang w:val="en-GB" w:eastAsia="cs-CZ"/>
              </w:rPr>
              <w:t xml:space="preserve"> Act. However, the amendment to § 17b should be minimalist, one sentence should be modified de</w:t>
            </w:r>
            <w:r w:rsidRPr="00C67FEB" w:rsidR="002427C7">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facto.</w:t>
            </w:r>
            <w:r w:rsidR="0087579E">
              <w:rPr>
                <w:rFonts w:ascii="Times New Roman" w:eastAsia="Times New Roman" w:hAnsi="Times New Roman" w:cs="Times New Roman"/>
                <w:sz w:val="24"/>
                <w:szCs w:val="24"/>
                <w:lang w:val="en-GB" w:eastAsia="cs-CZ"/>
              </w:rPr>
              <w:t xml:space="preserve">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3 seems to be the most appropriate solution. This option also seems to have significant support from stakeholders. It would also be beneficial for the development of the capital market. However, account must be taken of the tax implications </w:t>
            </w:r>
            <w:r w:rsidRPr="00C67FEB" w:rsidR="002427C7">
              <w:rPr>
                <w:rFonts w:ascii="Times New Roman" w:eastAsia="Times New Roman" w:hAnsi="Times New Roman" w:cs="Times New Roman"/>
                <w:sz w:val="24"/>
                <w:szCs w:val="24"/>
                <w:lang w:val="en-GB" w:eastAsia="cs-CZ"/>
              </w:rPr>
              <w:t>as</w:t>
            </w:r>
            <w:r w:rsidRPr="00C67FEB">
              <w:rPr>
                <w:rFonts w:ascii="Times New Roman" w:eastAsia="Times New Roman" w:hAnsi="Times New Roman" w:cs="Times New Roman"/>
                <w:sz w:val="24"/>
                <w:szCs w:val="24"/>
                <w:lang w:val="en-GB" w:eastAsia="cs-CZ"/>
              </w:rPr>
              <w:t xml:space="preserve"> some respondents warned.</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Summary of impacts of the chosen </w:t>
            </w:r>
            <w:r w:rsidRPr="00013C1C" w:rsidR="00013C1C">
              <w:rPr>
                <w:rFonts w:ascii="Times New Roman" w:eastAsia="Times New Roman" w:hAnsi="Times New Roman" w:cs="Times New Roman"/>
                <w:b/>
                <w:bCs/>
                <w:sz w:val="24"/>
                <w:szCs w:val="24"/>
                <w:lang w:val="en-GB" w:eastAsia="cs-CZ"/>
              </w:rPr>
              <w:t>Option 3</w:t>
            </w:r>
          </w:p>
          <w:tbl>
            <w:tblPr>
              <w:tblW w:w="5000" w:type="pct"/>
              <w:tblCellMar>
                <w:left w:w="0" w:type="dxa"/>
                <w:right w:w="0" w:type="dxa"/>
              </w:tblCellMar>
              <w:tblLook w:val="04A0"/>
            </w:tblPr>
            <w:tblGrid>
              <w:gridCol w:w="5358"/>
              <w:gridCol w:w="4265"/>
            </w:tblGrid>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013C1C"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013C1C">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2216"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013C1C"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color w:val="FFFFFF"/>
                      <w:sz w:val="24"/>
                      <w:szCs w:val="24"/>
                      <w:lang w:val="en-GB" w:eastAsia="cs-CZ"/>
                    </w:rPr>
                    <w:t>Costs / negatives</w:t>
                  </w:r>
                </w:p>
              </w:tc>
            </w:tr>
            <w:tr>
              <w:tblPrEx>
                <w:tblW w:w="5000" w:type="pct"/>
                <w:tblCellMar>
                  <w:left w:w="0" w:type="dxa"/>
                  <w:right w:w="0" w:type="dxa"/>
                </w:tblCellMar>
                <w:tblLook w:val="04A0"/>
              </w:tblPrEx>
              <w:trPr>
                <w:trHeight w:val="283"/>
              </w:trPr>
              <w:tc>
                <w:tcPr>
                  <w:tcW w:w="27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w:t>
                  </w:r>
                  <w:r w:rsidRPr="00C67FEB" w:rsidR="00C41DA8">
                    <w:rPr>
                      <w:rFonts w:ascii="Times New Roman" w:eastAsia="Times New Roman" w:hAnsi="Times New Roman" w:cs="Times New Roman"/>
                      <w:sz w:val="24"/>
                      <w:szCs w:val="24"/>
                      <w:lang w:val="en-GB" w:eastAsia="cs-CZ"/>
                    </w:rPr>
                    <w:t>Fulfilment</w:t>
                  </w:r>
                  <w:r w:rsidRPr="00C67FEB">
                    <w:rPr>
                      <w:rFonts w:ascii="Times New Roman" w:eastAsia="Times New Roman" w:hAnsi="Times New Roman" w:cs="Times New Roman"/>
                      <w:sz w:val="24"/>
                      <w:szCs w:val="24"/>
                      <w:lang w:val="en-GB" w:eastAsia="cs-CZ"/>
                    </w:rPr>
                    <w:t xml:space="preserve"> of the </w:t>
                  </w:r>
                  <w:r w:rsidRPr="00C67FEB" w:rsidR="00C41DA8">
                    <w:rPr>
                      <w:rFonts w:ascii="Times New Roman" w:eastAsia="Times New Roman" w:hAnsi="Times New Roman" w:cs="Times New Roman"/>
                      <w:sz w:val="24"/>
                      <w:szCs w:val="24"/>
                      <w:lang w:val="en-GB" w:eastAsia="cs-CZ"/>
                    </w:rPr>
                    <w:t>measure and plan of the Strategy</w:t>
                  </w:r>
                  <w:r w:rsidRPr="00C67FEB">
                    <w:rPr>
                      <w:rFonts w:ascii="Times New Roman" w:eastAsia="Times New Roman" w:hAnsi="Times New Roman" w:cs="Times New Roman"/>
                      <w:sz w:val="24"/>
                      <w:szCs w:val="24"/>
                      <w:lang w:val="en-GB" w:eastAsia="cs-CZ"/>
                    </w:rPr>
                    <w:t xml:space="preserve"> (Enable the creation of sub-funds for legal forms other than the SICAV) </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Capital market development </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w:t>
                  </w:r>
                  <w:r w:rsidRPr="00C67FEB" w:rsidR="00013C1C">
                    <w:rPr>
                      <w:rFonts w:ascii="Times New Roman" w:eastAsia="Times New Roman" w:hAnsi="Times New Roman" w:cs="Times New Roman"/>
                      <w:sz w:val="24"/>
                      <w:szCs w:val="24"/>
                      <w:lang w:val="en-GB" w:eastAsia="cs-CZ"/>
                    </w:rPr>
                    <w:t>Broader</w:t>
                  </w:r>
                  <w:r w:rsidRPr="00C67FEB">
                    <w:rPr>
                      <w:rFonts w:ascii="Times New Roman" w:eastAsia="Times New Roman" w:hAnsi="Times New Roman" w:cs="Times New Roman"/>
                      <w:sz w:val="24"/>
                      <w:szCs w:val="24"/>
                      <w:lang w:val="en-GB" w:eastAsia="cs-CZ"/>
                    </w:rPr>
                    <w:t xml:space="preserve"> product offer for investors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Possible increase in the volume of investment in the Czech Republic and related benefits such as higher tax collection. </w:t>
                  </w:r>
                </w:p>
              </w:tc>
              <w:tc>
                <w:tcPr>
                  <w:tcW w:w="2216" w:type="pct"/>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need to amend legislation, including tax legislation.</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Discontinuity of legislation.</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Analysis of the impact on accounting.</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7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r>
              <w:tblPrEx>
                <w:tblW w:w="5000" w:type="pct"/>
                <w:tblCellMar>
                  <w:left w:w="0" w:type="dxa"/>
                  <w:right w:w="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p>
              </w:tc>
              <w:tc>
                <w:tcPr>
                  <w:tcW w:w="2216"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C41DA8"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11.1. Do you welcome legislation that would allow legal forms other than the SICAV to form sub-funds? </w:t>
                  </w:r>
                </w:p>
                <w:p w:rsidR="00C41DA8"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11.2. In your opinion, what legal forms other than the SICAV may or should be authorized to create sub-funds? </w:t>
                  </w:r>
                </w:p>
                <w:p w:rsidR="00C41DA8"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11.3. How do you assess the potential legislation that would make it possible to create sub-funds of a qualified investor fund which is a limited partnership for investment certificates? </w:t>
                  </w:r>
                </w:p>
                <w:p w:rsidR="00403DFA" w:rsidRPr="00C67FEB" w:rsidP="0087579E">
                  <w:pPr>
                    <w:keepNext/>
                    <w:spacing w:after="0" w:line="240" w:lineRule="auto"/>
                    <w:jc w:val="both"/>
                    <w:rPr>
                      <w:rFonts w:ascii="Times New Roman" w:eastAsia="Times New Roman" w:hAnsi="Times New Roman" w:cs="Times New Roman"/>
                      <w:color w:val="FFFFFF"/>
                      <w:sz w:val="24"/>
                      <w:szCs w:val="24"/>
                      <w:lang w:eastAsia="cs-CZ"/>
                    </w:rPr>
                  </w:pPr>
                  <w:r w:rsidRPr="00C67FEB">
                    <w:rPr>
                      <w:rFonts w:ascii="Times New Roman" w:eastAsia="Times New Roman" w:hAnsi="Times New Roman" w:cs="Times New Roman"/>
                      <w:color w:val="FFFFFF"/>
                      <w:sz w:val="24"/>
                      <w:szCs w:val="24"/>
                      <w:lang w:val="en-GB" w:eastAsia="cs-CZ"/>
                    </w:rPr>
                    <w:t>11.4. How do you assess the potential legislation that would make it possible to create sub-funds for an investment fund which is a normal fixed-capital joint stock company?</w:t>
                  </w:r>
                  <w:r w:rsidRPr="00C67FEB">
                    <w:rPr>
                      <w:rFonts w:ascii="Times New Roman" w:eastAsia="Times New Roman" w:hAnsi="Times New Roman" w:cs="Times New Roman"/>
                      <w:color w:val="FFFFFF"/>
                      <w:sz w:val="24"/>
                      <w:szCs w:val="24"/>
                      <w:lang w:eastAsia="cs-CZ"/>
                    </w:rPr>
                    <w:t xml:space="preserve"> </w:t>
                  </w:r>
                </w:p>
              </w:tc>
            </w:tr>
          </w:tbl>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Results of the consultation</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In general:</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Private person No 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For Chapter 11, I would like to point out that there is already a rather confusing situation on the financial market in defining different investment options through investment companies, investment funds or mutual funds - see the sheet from my course presentation: If introducing new investment opportunities in sub-funds </w:t>
            </w:r>
            <w:r w:rsidRPr="00C67FEB" w:rsidR="002427C7">
              <w:rPr>
                <w:rFonts w:ascii="Times New Roman" w:eastAsia="Times New Roman" w:hAnsi="Times New Roman" w:cs="Times New Roman"/>
                <w:i/>
                <w:iCs/>
                <w:sz w:val="24"/>
                <w:szCs w:val="24"/>
                <w:lang w:val="en-GB" w:eastAsia="cs-CZ"/>
              </w:rPr>
              <w:t>would</w:t>
            </w:r>
            <w:r w:rsidRPr="00C67FEB">
              <w:rPr>
                <w:rFonts w:ascii="Times New Roman" w:eastAsia="Times New Roman" w:hAnsi="Times New Roman" w:cs="Times New Roman"/>
                <w:i/>
                <w:iCs/>
                <w:sz w:val="24"/>
                <w:szCs w:val="24"/>
                <w:lang w:val="en-GB" w:eastAsia="cs-CZ"/>
              </w:rPr>
              <w:t xml:space="preserve"> make the existing legislation more transparent and simpler, it would benefit retail investors in deciding where to place their available 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have a neutral position on the proposal. In our opinion, the possibility of creating sub-funds for legal forms other than the SICAV will not lead to the objective of making the collective investment sector more attractive. However, if the new legislation is carefully considered, we do not find the proposal problematic. The legal form of the SICAV is often used. However, the current legislation </w:t>
            </w:r>
            <w:r w:rsidRPr="00C67FEB">
              <w:rPr>
                <w:rFonts w:ascii="Times New Roman" w:eastAsia="Times New Roman" w:hAnsi="Times New Roman" w:cs="Times New Roman"/>
                <w:i/>
                <w:iCs/>
                <w:sz w:val="24"/>
                <w:szCs w:val="24"/>
                <w:lang w:val="en-GB" w:eastAsia="cs-CZ"/>
              </w:rPr>
              <w:t xml:space="preserve">does not mandate the creation of a sub-fund (s), and more than half of the SICAV merely separates investment assets from non-investment assets without the creation of a sub-fund, with single-sub-fund SICAVs </w:t>
            </w:r>
            <w:r w:rsidRPr="00C67FEB" w:rsidR="002427C7">
              <w:rPr>
                <w:rFonts w:ascii="Times New Roman" w:eastAsia="Times New Roman" w:hAnsi="Times New Roman" w:cs="Times New Roman"/>
                <w:i/>
                <w:iCs/>
                <w:sz w:val="24"/>
                <w:szCs w:val="24"/>
                <w:lang w:val="en-GB" w:eastAsia="cs-CZ"/>
              </w:rPr>
              <w:t xml:space="preserve">still prevailing </w:t>
            </w:r>
            <w:r w:rsidRPr="00C67FEB">
              <w:rPr>
                <w:rFonts w:ascii="Times New Roman" w:eastAsia="Times New Roman" w:hAnsi="Times New Roman" w:cs="Times New Roman"/>
                <w:i/>
                <w:iCs/>
                <w:sz w:val="24"/>
                <w:szCs w:val="24"/>
                <w:lang w:val="en-GB" w:eastAsia="cs-CZ"/>
              </w:rPr>
              <w:t>(more than a third of all SICAVs). More than three sub-funds have only 6 of the 129 SICAVs. Thus, the attractiveness of a SICAV as a legal form lies in its open structure (the obligation to repurchase investment shares at the investor's request) in combination with legal personality rather than in the possibility of creating sub-funds. The consultation paper argues by reducing the transfer fee between the various sub-funds and the possibility of broader risk diversification. For closed legal forms (</w:t>
            </w:r>
            <w:r w:rsidRPr="00C67FEB" w:rsidR="002427C7">
              <w:rPr>
                <w:rFonts w:ascii="Times New Roman" w:eastAsia="Times New Roman" w:hAnsi="Times New Roman" w:cs="Times New Roman"/>
                <w:i/>
                <w:iCs/>
                <w:sz w:val="24"/>
                <w:szCs w:val="24"/>
                <w:lang w:val="en-GB" w:eastAsia="cs-CZ"/>
              </w:rPr>
              <w:t>common</w:t>
            </w:r>
            <w:r w:rsidRPr="00C67FEB">
              <w:rPr>
                <w:rFonts w:ascii="Times New Roman" w:eastAsia="Times New Roman" w:hAnsi="Times New Roman" w:cs="Times New Roman"/>
                <w:i/>
                <w:iCs/>
                <w:sz w:val="24"/>
                <w:szCs w:val="24"/>
                <w:lang w:val="en-GB" w:eastAsia="cs-CZ"/>
              </w:rPr>
              <w:t xml:space="preserve"> </w:t>
            </w:r>
            <w:r w:rsidRPr="00C67FEB" w:rsidR="002427C7">
              <w:rPr>
                <w:rFonts w:ascii="Times New Roman" w:eastAsia="Times New Roman" w:hAnsi="Times New Roman" w:cs="Times New Roman"/>
                <w:i/>
                <w:iCs/>
                <w:sz w:val="24"/>
                <w:szCs w:val="24"/>
                <w:lang w:val="en-GB" w:eastAsia="cs-CZ"/>
              </w:rPr>
              <w:t>joint stock company</w:t>
            </w:r>
            <w:r w:rsidRPr="00C67FEB">
              <w:rPr>
                <w:rFonts w:ascii="Times New Roman" w:eastAsia="Times New Roman" w:hAnsi="Times New Roman" w:cs="Times New Roman"/>
                <w:i/>
                <w:iCs/>
                <w:sz w:val="24"/>
                <w:szCs w:val="24"/>
                <w:lang w:val="en-GB" w:eastAsia="cs-CZ"/>
              </w:rPr>
              <w:t xml:space="preserve"> and KSIL), however, investment strategies are based on a long-term investment horizon and do not support investor capital transfers. At the same time, both arguments do not succeed without further</w:t>
            </w:r>
            <w:r w:rsidRPr="00C67FEB" w:rsidR="002427C7">
              <w:rPr>
                <w:rFonts w:ascii="Times New Roman" w:eastAsia="Times New Roman" w:hAnsi="Times New Roman" w:cs="Times New Roman"/>
                <w:i/>
                <w:iCs/>
                <w:sz w:val="24"/>
                <w:szCs w:val="24"/>
                <w:lang w:val="en-GB" w:eastAsia="cs-CZ"/>
              </w:rPr>
              <w:t xml:space="preserve"> argumentation</w:t>
            </w:r>
            <w:r w:rsidRPr="00C67FEB">
              <w:rPr>
                <w:rFonts w:ascii="Times New Roman" w:eastAsia="Times New Roman" w:hAnsi="Times New Roman" w:cs="Times New Roman"/>
                <w:i/>
                <w:iCs/>
                <w:sz w:val="24"/>
                <w:szCs w:val="24"/>
                <w:lang w:val="en-GB" w:eastAsia="cs-CZ"/>
              </w:rPr>
              <w:t xml:space="preserve"> because they do not address the advantages of investing in different sub-funds over investing in several investment funds of the same manager. Overall, we do not consider the arguments presented to be sufficient to justify the draft legislation in question. We also emphasize that, with respect to the SICAV and their sub-funds, a number of problems have arisen in practice (segregation of assets, insolvency, </w:t>
            </w:r>
            <w:r w:rsidRPr="00C67FEB">
              <w:rPr>
                <w:rFonts w:ascii="Times New Roman" w:eastAsia="Times New Roman" w:hAnsi="Times New Roman" w:cs="Times New Roman"/>
                <w:i/>
                <w:iCs/>
                <w:sz w:val="24"/>
                <w:szCs w:val="24"/>
                <w:lang w:val="en-GB" w:eastAsia="cs-CZ"/>
              </w:rPr>
              <w:t>entry</w:t>
            </w:r>
            <w:r w:rsidRPr="00C67FEB">
              <w:rPr>
                <w:rFonts w:ascii="Times New Roman" w:eastAsia="Times New Roman" w:hAnsi="Times New Roman" w:cs="Times New Roman"/>
                <w:i/>
                <w:iCs/>
                <w:sz w:val="24"/>
                <w:szCs w:val="24"/>
                <w:lang w:val="en-GB" w:eastAsia="cs-CZ"/>
              </w:rPr>
              <w:t xml:space="preserve"> in public registers, availability of credit financing, etc.). These aspects are addressed only gradually and slowly. Although we do not reduce the benefits of the existence of sub-funds and the SICAV in general, we believe that this experience needs to be taken into account.</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1:</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2427C7">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contradict the proposal; however, we believe that the need for new legislation needs to be duly justified. Especially in closed legal forms of investment funds, we do not consider the arguments presented to be relevant (since these types of investment funds are based on a long-term investment strategy and therefore do not count </w:t>
            </w:r>
            <w:r w:rsidRPr="00C67FEB" w:rsidR="00C16488">
              <w:rPr>
                <w:rFonts w:ascii="Times New Roman" w:eastAsia="Times New Roman" w:hAnsi="Times New Roman" w:cs="Times New Roman"/>
                <w:i/>
                <w:iCs/>
                <w:sz w:val="24"/>
                <w:szCs w:val="24"/>
                <w:lang w:val="en-GB" w:eastAsia="cs-CZ"/>
              </w:rPr>
              <w:t>with</w:t>
            </w:r>
            <w:r w:rsidR="0087579E">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the transition between individual strategies). We recommend carrying out a thorough analysis of the demand of market representatives, taking into account the legal forms in which the creation of sub-funds is of interest and for what reason. In the case of a specific legislative proposal, it would be necessary to think through the changes comprehensively in order to prevent potential problems (</w:t>
            </w:r>
            <w:r w:rsidRPr="00C67FEB" w:rsidR="00C16488">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accounting, </w:t>
            </w:r>
            <w:r w:rsidRPr="00C67FEB" w:rsidR="00C16488">
              <w:rPr>
                <w:rFonts w:ascii="Times New Roman" w:eastAsia="Times New Roman" w:hAnsi="Times New Roman" w:cs="Times New Roman"/>
                <w:i/>
                <w:iCs/>
                <w:sz w:val="24"/>
                <w:szCs w:val="24"/>
                <w:lang w:val="en-GB" w:eastAsia="cs-CZ"/>
              </w:rPr>
              <w:t>insolvency,</w:t>
            </w:r>
            <w:r w:rsidRPr="00C67FEB">
              <w:rPr>
                <w:rFonts w:ascii="Times New Roman" w:eastAsia="Times New Roman" w:hAnsi="Times New Roman" w:cs="Times New Roman"/>
                <w:i/>
                <w:iCs/>
                <w:sz w:val="24"/>
                <w:szCs w:val="24"/>
                <w:lang w:val="en-GB" w:eastAsia="cs-CZ"/>
              </w:rPr>
              <w:t xml:space="preserve"> registrations, etc.).</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C16488">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I think we already have enough forms of funds, and these further adjustments only make the situation unclear and complicate.</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C16488">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generally welcome legislation that will allow the creation of sub-funds for investment funds established as companies with a legal form other than the SICAV. In this context, we only draw attention to the accounting and tax implications that need to be addressed with the sub-funds, </w:t>
            </w:r>
            <w:r w:rsidRPr="00C67FEB" w:rsidR="00C16488">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i</w:t>
            </w:r>
            <w:r w:rsidRPr="00C67FEB">
              <w:rPr>
                <w:rFonts w:ascii="Times New Roman" w:eastAsia="Times New Roman" w:hAnsi="Times New Roman" w:cs="Times New Roman"/>
                <w:i/>
                <w:iCs/>
                <w:sz w:val="24"/>
                <w:szCs w:val="24"/>
                <w:lang w:val="en-GB" w:eastAsia="cs-CZ"/>
              </w:rPr>
              <w:t>) whether the sub-fund constitutes a separate income taxpayer as in the SICAV, (ii) the application of the Parent-Subsidiary Directive to dividend income and revenues from the sale of shares, etc.</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2:</w:t>
            </w:r>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C16488">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w:t>
            </w:r>
            <w:r w:rsidRPr="00C67FEB">
              <w:rPr>
                <w:rFonts w:ascii="Times New Roman" w:eastAsia="Times New Roman" w:hAnsi="Times New Roman" w:cs="Times New Roman"/>
                <w:sz w:val="24"/>
                <w:szCs w:val="24"/>
                <w:lang w:val="en-GB" w:eastAsia="cs-CZ"/>
              </w:rPr>
              <w:t xml:space="preserve">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r w:rsidRPr="00C67FEB">
              <w:rPr>
                <w:rFonts w:ascii="Times New Roman" w:eastAsia="Times New Roman" w:hAnsi="Times New Roman" w:cs="Times New Roman"/>
                <w:i/>
                <w:iCs/>
                <w:sz w:val="24"/>
                <w:szCs w:val="24"/>
                <w:lang w:val="en-GB" w:eastAsia="cs-CZ"/>
              </w:rPr>
              <w:t xml:space="preserve"> </w:t>
            </w:r>
            <w:r w:rsidRPr="00C67FEB" w:rsidR="00013C1C">
              <w:rPr>
                <w:rFonts w:ascii="Times New Roman" w:eastAsia="Times New Roman" w:hAnsi="Times New Roman" w:cs="Times New Roman"/>
                <w:i/>
                <w:iCs/>
                <w:sz w:val="24"/>
                <w:szCs w:val="24"/>
                <w:lang w:val="en-GB" w:eastAsia="cs-CZ"/>
              </w:rPr>
              <w:t>we</w:t>
            </w:r>
            <w:r w:rsidRPr="00C67FEB">
              <w:rPr>
                <w:rFonts w:ascii="Times New Roman" w:eastAsia="Times New Roman" w:hAnsi="Times New Roman" w:cs="Times New Roman"/>
                <w:i/>
                <w:iCs/>
                <w:sz w:val="24"/>
                <w:szCs w:val="24"/>
                <w:lang w:val="en-GB" w:eastAsia="cs-CZ"/>
              </w:rPr>
              <w:t xml:space="preserve"> believe that the creation of sub-funds should be possible for all legal forms of investment funds (not only qualified investor funds but also collective investment 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If the proposal is substantively justified and supported by market demand, it is possible to create sub-funds for all legal forms of investment funds. In each specific case, however, it is necessary to think carefully about the particulars and the creation and functioning of the sub-funds.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00013C1C">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believe that the creation of sub-funds should be possible for all legal forms of investment funds (not only qualified investor funds but also collective investment 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None.</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013C1C">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This option is most desirable in the form of a joint stock company.</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3:</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See answer above.</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C16488">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believe that the creation of sub-funds should be possible for all legal forms of investment funds (not only qualified investor funds but also collective investment 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r w:rsidRPr="00C67FEB">
              <w:rPr>
                <w:rFonts w:ascii="Times New Roman" w:eastAsia="Times New Roman" w:hAnsi="Times New Roman" w:cs="Times New Roman"/>
                <w:i/>
                <w:iCs/>
                <w:sz w:val="24"/>
                <w:szCs w:val="24"/>
                <w:lang w:val="en-GB" w:eastAsia="cs-CZ"/>
              </w:rPr>
              <w:t>.</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C16488">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Unfortunately, in our opinion, the legal form of limited partnership for investment certificates is not viable, because its tax regime is disadvantageous compared to other legal forms. We have already pointed out these disadvantages in recent years. If the tax obstacles were removed, we believe that the possibility of creating sub-funds would further make this legal form that is typical of private equity more </w:t>
            </w:r>
            <w:r w:rsidRPr="00C67FEB" w:rsidR="00C16488">
              <w:rPr>
                <w:rFonts w:ascii="Times New Roman" w:eastAsia="Times New Roman" w:hAnsi="Times New Roman" w:cs="Times New Roman"/>
                <w:i/>
                <w:iCs/>
                <w:sz w:val="24"/>
                <w:szCs w:val="24"/>
                <w:lang w:val="en-GB" w:eastAsia="cs-CZ"/>
              </w:rPr>
              <w:t>attractive.</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u w:val="single"/>
                <w:lang w:val="en-GB" w:eastAsia="cs-CZ"/>
              </w:rPr>
              <w:t>Ad 4:</w:t>
            </w:r>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Pr="00013C1C" w:rsidR="00C16488">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w:t>
            </w:r>
            <w:r w:rsidRPr="00C67FEB">
              <w:rPr>
                <w:rFonts w:ascii="Times New Roman" w:eastAsia="Times New Roman" w:hAnsi="Times New Roman" w:cs="Times New Roman"/>
                <w:sz w:val="24"/>
                <w:szCs w:val="24"/>
                <w:lang w:val="en-GB" w:eastAsia="cs-CZ"/>
              </w:rPr>
              <w:t xml:space="preserve">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believe that the creation of sub-funds should be possible for all legal forms of investment funds (not only qualified investor funds but also collective investment 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See answer above.</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Market </w:t>
            </w:r>
            <w:r w:rsidR="00013C1C">
              <w:rPr>
                <w:rFonts w:ascii="Times New Roman" w:eastAsia="Times New Roman" w:hAnsi="Times New Roman" w:cs="Times New Roman"/>
                <w:b/>
                <w:bCs/>
                <w:sz w:val="24"/>
                <w:szCs w:val="24"/>
                <w:lang w:val="en-GB" w:eastAsia="cs-CZ"/>
              </w:rPr>
              <w:t>a</w:t>
            </w:r>
            <w:r w:rsidRPr="00013C1C" w:rsidR="00413F41">
              <w:rPr>
                <w:rFonts w:ascii="Times New Roman" w:eastAsia="Times New Roman" w:hAnsi="Times New Roman" w:cs="Times New Roman"/>
                <w:b/>
                <w:bCs/>
                <w:sz w:val="24"/>
                <w:szCs w:val="24"/>
                <w:lang w:val="en-GB" w:eastAsia="cs-CZ"/>
              </w:rPr>
              <w:t>ssociation</w:t>
            </w:r>
            <w:r w:rsidRPr="00013C1C">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believe that the creation of sub-funds should be possible for all legal forms of investment funds (not only qualified investor funds but also collective investment funds).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013C1C" w:rsidP="0087579E">
            <w:pPr>
              <w:pStyle w:val="Heading1"/>
              <w:keepLines w:val="0"/>
              <w:jc w:val="center"/>
              <w:rPr>
                <w:rFonts w:ascii="Times New Roman" w:eastAsia="Times New Roman" w:hAnsi="Times New Roman" w:cs="Times New Roman"/>
                <w:b/>
                <w:bCs/>
                <w:sz w:val="24"/>
                <w:szCs w:val="24"/>
                <w:lang w:val="en-GB" w:eastAsia="cs-CZ"/>
              </w:rPr>
            </w:pPr>
            <w:bookmarkStart w:id="60" w:name="_Toc36479379"/>
            <w:bookmarkStart w:id="61" w:name="_Toc38555313"/>
            <w:r w:rsidRPr="00013C1C">
              <w:rPr>
                <w:rFonts w:ascii="Times New Roman" w:hAnsi="Times New Roman" w:cs="Times New Roman"/>
                <w:b/>
                <w:bCs/>
                <w:color w:val="000000" w:themeColor="text1"/>
                <w:sz w:val="24"/>
                <w:szCs w:val="24"/>
                <w:bdr w:val="single" w:sz="4" w:space="0" w:color="auto"/>
                <w:lang w:val="en-GB" w:eastAsia="cs-CZ"/>
              </w:rPr>
              <w:t>2</w:t>
            </w:r>
            <w:r w:rsidRPr="00013C1C" w:rsidR="00C04130">
              <w:rPr>
                <w:rFonts w:ascii="Times New Roman" w:hAnsi="Times New Roman" w:cs="Times New Roman"/>
                <w:b/>
                <w:bCs/>
                <w:color w:val="000000" w:themeColor="text1"/>
                <w:sz w:val="24"/>
                <w:szCs w:val="24"/>
                <w:bdr w:val="single" w:sz="4" w:space="0" w:color="auto"/>
                <w:lang w:val="en-GB" w:eastAsia="cs-CZ"/>
              </w:rPr>
              <w:t>.</w:t>
            </w:r>
            <w:r w:rsidRPr="00013C1C">
              <w:rPr>
                <w:rFonts w:ascii="Times New Roman" w:hAnsi="Times New Roman" w:cs="Times New Roman"/>
                <w:b/>
                <w:bCs/>
                <w:color w:val="000000" w:themeColor="text1"/>
                <w:sz w:val="24"/>
                <w:szCs w:val="24"/>
                <w:bdr w:val="single" w:sz="4" w:space="0" w:color="auto"/>
                <w:lang w:val="en-GB" w:eastAsia="cs-CZ"/>
              </w:rPr>
              <w:t>7 Introduction of mandatory XML format for other financial market</w:t>
            </w:r>
            <w:bookmarkEnd w:id="60"/>
            <w:r w:rsidRPr="00013C1C" w:rsidR="00C04130">
              <w:rPr>
                <w:rFonts w:ascii="Times New Roman" w:hAnsi="Times New Roman" w:cs="Times New Roman"/>
                <w:b/>
                <w:bCs/>
                <w:color w:val="000000" w:themeColor="text1"/>
                <w:sz w:val="24"/>
                <w:szCs w:val="24"/>
                <w:bdr w:val="single" w:sz="4" w:space="0" w:color="auto"/>
                <w:lang w:val="en-GB" w:eastAsia="cs-CZ"/>
              </w:rPr>
              <w:t xml:space="preserve"> institutions</w:t>
            </w:r>
            <w:bookmarkEnd w:id="61"/>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013C1C">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the course of the execution proceedings, </w:t>
            </w:r>
            <w:r w:rsidRPr="00C67FEB" w:rsidR="00C04130">
              <w:rPr>
                <w:rFonts w:ascii="Times New Roman" w:eastAsia="Times New Roman" w:hAnsi="Times New Roman" w:cs="Times New Roman"/>
                <w:sz w:val="24"/>
                <w:szCs w:val="24"/>
                <w:lang w:val="en-GB" w:eastAsia="cs-CZ"/>
              </w:rPr>
              <w:t>respectively</w:t>
            </w:r>
            <w:r w:rsidRPr="00C67FEB">
              <w:rPr>
                <w:rFonts w:ascii="Times New Roman" w:eastAsia="Times New Roman" w:hAnsi="Times New Roman" w:cs="Times New Roman"/>
                <w:sz w:val="24"/>
                <w:szCs w:val="24"/>
                <w:lang w:val="en-GB" w:eastAsia="cs-CZ"/>
              </w:rPr>
              <w:t xml:space="preserve"> at the moment when the court issues a ruling on the execution order, the </w:t>
            </w:r>
            <w:r w:rsidRPr="00C67FEB" w:rsidR="00C04130">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starts to look for the debtor's assets that can be punished. For this purpose, it determines the assets of the debtor (</w:t>
            </w:r>
            <w:r w:rsidRPr="00C67FEB" w:rsidR="00C04130">
              <w:rPr>
                <w:rFonts w:ascii="Times New Roman" w:eastAsia="Times New Roman" w:hAnsi="Times New Roman" w:cs="Times New Roman"/>
                <w:sz w:val="24"/>
                <w:szCs w:val="24"/>
                <w:lang w:val="en-GB" w:eastAsia="cs-CZ"/>
              </w:rPr>
              <w:t>e.g.</w:t>
            </w:r>
            <w:r w:rsidRPr="00C67FEB">
              <w:rPr>
                <w:rFonts w:ascii="Times New Roman" w:eastAsia="Times New Roman" w:hAnsi="Times New Roman" w:cs="Times New Roman"/>
                <w:sz w:val="24"/>
                <w:szCs w:val="24"/>
                <w:lang w:val="en-GB" w:eastAsia="cs-CZ"/>
              </w:rPr>
              <w:t xml:space="preserve"> </w:t>
            </w:r>
            <w:r w:rsidRPr="00C67FEB" w:rsidR="00C04130">
              <w:rPr>
                <w:rFonts w:ascii="Times New Roman" w:eastAsia="Times New Roman" w:hAnsi="Times New Roman" w:cs="Times New Roman"/>
                <w:sz w:val="24"/>
                <w:szCs w:val="24"/>
                <w:lang w:val="en-GB" w:eastAsia="cs-CZ"/>
              </w:rPr>
              <w:t xml:space="preserve">at </w:t>
            </w:r>
            <w:r w:rsidRPr="00C67FEB">
              <w:rPr>
                <w:rFonts w:ascii="Times New Roman" w:eastAsia="Times New Roman" w:hAnsi="Times New Roman" w:cs="Times New Roman"/>
                <w:sz w:val="24"/>
                <w:szCs w:val="24"/>
                <w:lang w:val="en-GB" w:eastAsia="cs-CZ"/>
              </w:rPr>
              <w:t xml:space="preserve">insurance company, investment company, investment fund, central depository and other persons authorized to keep records of investment instruments, banks, etc.) and then decides how to execute the execution. The institutions concerned are obliged to disclose to the </w:t>
            </w:r>
            <w:r w:rsidRPr="00C67FEB" w:rsidR="00C04130">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at his written request data on the debtor's assets that are known to them from their official </w:t>
            </w:r>
            <w:r w:rsidRPr="00C67FEB" w:rsidR="00C04130">
              <w:rPr>
                <w:rFonts w:ascii="Times New Roman" w:eastAsia="Times New Roman" w:hAnsi="Times New Roman" w:cs="Times New Roman"/>
                <w:sz w:val="24"/>
                <w:szCs w:val="24"/>
                <w:lang w:val="en-GB" w:eastAsia="cs-CZ"/>
              </w:rPr>
              <w:t xml:space="preserve">activities </w:t>
            </w:r>
            <w:r w:rsidRPr="00C67FEB">
              <w:rPr>
                <w:rFonts w:ascii="Times New Roman" w:eastAsia="Times New Roman" w:hAnsi="Times New Roman" w:cs="Times New Roman"/>
                <w:sz w:val="24"/>
                <w:szCs w:val="24"/>
                <w:lang w:val="en-GB" w:eastAsia="cs-CZ"/>
              </w:rPr>
              <w:t>and similar activities</w:t>
            </w:r>
            <w:r w:rsidRPr="00C67FEB" w:rsidR="00C04130">
              <w:rPr>
                <w:rFonts w:ascii="Times New Roman" w:eastAsia="Times New Roman" w:hAnsi="Times New Roman" w:cs="Times New Roman"/>
                <w:sz w:val="24"/>
                <w:szCs w:val="24"/>
                <w:lang w:val="en-GB" w:eastAsia="cs-CZ"/>
              </w:rPr>
              <w:t xml:space="preserve"> to these</w:t>
            </w:r>
            <w:r w:rsidRPr="00C67FEB">
              <w:rPr>
                <w:rFonts w:ascii="Times New Roman" w:eastAsia="Times New Roman" w:hAnsi="Times New Roman" w:cs="Times New Roman"/>
                <w:sz w:val="24"/>
                <w:szCs w:val="24"/>
                <w:lang w:val="en-GB" w:eastAsia="cs-CZ"/>
              </w:rPr>
              <w:t xml:space="preserve"> (see </w:t>
            </w:r>
            <w:r w:rsidRPr="00C67FEB" w:rsidR="00C04130">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33 et seq.</w:t>
            </w:r>
            <w:r w:rsidRPr="00C67FEB" w:rsidR="00C04130">
              <w:rPr>
                <w:rFonts w:ascii="Times New Roman" w:eastAsia="Times New Roman" w:hAnsi="Times New Roman" w:cs="Times New Roman"/>
                <w:sz w:val="24"/>
                <w:szCs w:val="24"/>
                <w:lang w:val="en-GB" w:eastAsia="cs-CZ"/>
              </w:rPr>
              <w:t xml:space="preserve"> of the </w:t>
            </w:r>
            <w:r w:rsidRPr="00C67FEB" w:rsidR="00A31356">
              <w:rPr>
                <w:rFonts w:ascii="Times New Roman" w:eastAsia="Times New Roman" w:hAnsi="Times New Roman" w:cs="Times New Roman"/>
                <w:sz w:val="24"/>
                <w:szCs w:val="24"/>
                <w:lang w:val="en-GB" w:eastAsia="cs-CZ"/>
              </w:rPr>
              <w:t>Execution Order)</w:t>
            </w:r>
          </w:p>
          <w:p w:rsidR="00403DFA" w:rsidRPr="00C67FEB" w:rsidP="0087579E">
            <w:pPr>
              <w:keepNext/>
              <w:spacing w:before="120"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practice, the provision of co-operation by financial market entities to </w:t>
            </w:r>
            <w:r w:rsidRPr="00C67FEB" w:rsidR="00A31356">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 xml:space="preserve"> causes unnecessary costs. The banking sector (a financial institution according to the </w:t>
            </w:r>
            <w:r w:rsidRPr="00C67FEB" w:rsidR="00A31356">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has its special regulation in Section 34 (3) of the </w:t>
            </w:r>
            <w:r w:rsidRPr="00C67FEB" w:rsidR="00A31356">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which is further specified in Annex 1 to Decree No. 418/2001 Coll. This </w:t>
            </w:r>
            <w:r w:rsidRPr="00C67FEB" w:rsidR="00A31356">
              <w:rPr>
                <w:rFonts w:ascii="Times New Roman" w:eastAsia="Times New Roman" w:hAnsi="Times New Roman" w:cs="Times New Roman"/>
                <w:sz w:val="24"/>
                <w:szCs w:val="24"/>
                <w:lang w:val="en-GB" w:eastAsia="cs-CZ"/>
              </w:rPr>
              <w:t>regulation</w:t>
            </w:r>
            <w:r w:rsidRPr="00C67FEB">
              <w:rPr>
                <w:rFonts w:ascii="Times New Roman" w:eastAsia="Times New Roman" w:hAnsi="Times New Roman" w:cs="Times New Roman"/>
                <w:sz w:val="24"/>
                <w:szCs w:val="24"/>
                <w:lang w:val="en-GB" w:eastAsia="cs-CZ"/>
              </w:rPr>
              <w:t xml:space="preserve"> stipulates that cooperation must be compulsorily requested and consequently cooperation must be provided in an electronic data file in XML format with specific parameters contained in the </w:t>
            </w:r>
            <w:r w:rsidRPr="00C67FEB" w:rsidR="00A31356">
              <w:rPr>
                <w:rFonts w:ascii="Times New Roman" w:eastAsia="Times New Roman" w:hAnsi="Times New Roman" w:cs="Times New Roman"/>
                <w:sz w:val="24"/>
                <w:szCs w:val="24"/>
                <w:lang w:val="en-GB" w:eastAsia="cs-CZ"/>
              </w:rPr>
              <w:t>d</w:t>
            </w:r>
            <w:r w:rsidRPr="00C67FEB">
              <w:rPr>
                <w:rFonts w:ascii="Times New Roman" w:eastAsia="Times New Roman" w:hAnsi="Times New Roman" w:cs="Times New Roman"/>
                <w:sz w:val="24"/>
                <w:szCs w:val="24"/>
                <w:lang w:val="en-GB" w:eastAsia="cs-CZ"/>
              </w:rPr>
              <w:t xml:space="preserve">ecree. According to this decree, the automation of cooperation takes place through the exchange of structured data files in XML format delivered via the Data Mailbox Information System (ISDS), or in some other way based on an agreement between the </w:t>
            </w:r>
            <w:r w:rsidRPr="00C67FEB" w:rsidR="00A31356">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and the bank. A data message requesting assistance from a </w:t>
            </w:r>
            <w:r w:rsidRPr="00C67FEB" w:rsidR="00A31356">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has a specific subject (“XMLEXE SOUC”) by which it can be recognized. The senders can only be bailiffs with their special type of data box. The basic identifier of the liable entity is </w:t>
            </w:r>
            <w:r w:rsidRPr="00C67FEB" w:rsidR="00A31356">
              <w:rPr>
                <w:rFonts w:ascii="Times New Roman" w:eastAsia="Times New Roman" w:hAnsi="Times New Roman" w:cs="Times New Roman"/>
                <w:sz w:val="24"/>
                <w:szCs w:val="24"/>
                <w:lang w:val="en-GB" w:eastAsia="cs-CZ"/>
              </w:rPr>
              <w:t>personal identification number</w:t>
            </w:r>
            <w:r w:rsidRPr="00C67FEB">
              <w:rPr>
                <w:rFonts w:ascii="Times New Roman" w:eastAsia="Times New Roman" w:hAnsi="Times New Roman" w:cs="Times New Roman"/>
                <w:sz w:val="24"/>
                <w:szCs w:val="24"/>
                <w:lang w:val="en-GB" w:eastAsia="cs-CZ"/>
              </w:rPr>
              <w:t xml:space="preserve"> or </w:t>
            </w:r>
            <w:r w:rsidRPr="00C67FEB" w:rsidR="00A31356">
              <w:rPr>
                <w:rFonts w:ascii="Times New Roman" w:eastAsia="Times New Roman" w:hAnsi="Times New Roman" w:cs="Times New Roman"/>
                <w:sz w:val="24"/>
                <w:szCs w:val="24"/>
                <w:lang w:val="en-GB" w:eastAsia="cs-CZ"/>
              </w:rPr>
              <w:t>employer identification number</w:t>
            </w:r>
            <w:r w:rsidRPr="00C67FEB">
              <w:rPr>
                <w:rFonts w:ascii="Times New Roman" w:eastAsia="Times New Roman" w:hAnsi="Times New Roman" w:cs="Times New Roman"/>
                <w:sz w:val="24"/>
                <w:szCs w:val="24"/>
                <w:lang w:val="en-GB" w:eastAsia="cs-CZ"/>
              </w:rPr>
              <w:t>. Each data request requesting cooperation can contain multiple individual queries to liable entities.</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Four variants are considered:</w:t>
            </w:r>
          </w:p>
          <w:p w:rsidR="00403DFA" w:rsidRPr="00C67FEB" w:rsidP="0087579E">
            <w:pPr>
              <w:keepNext/>
              <w:numPr>
                <w:ilvl w:val="0"/>
                <w:numId w:val="17"/>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A77ADF">
              <w:rPr>
                <w:rFonts w:ascii="Times New Roman" w:eastAsia="Times New Roman" w:hAnsi="Times New Roman" w:cs="Times New Roman"/>
                <w:sz w:val="24"/>
                <w:szCs w:val="24"/>
                <w:lang w:val="en-GB" w:eastAsia="cs-CZ"/>
              </w:rPr>
              <w:t>maintaining</w:t>
            </w:r>
            <w:r w:rsidRPr="00C67FEB">
              <w:rPr>
                <w:rFonts w:ascii="Times New Roman" w:eastAsia="Times New Roman" w:hAnsi="Times New Roman" w:cs="Times New Roman"/>
                <w:sz w:val="24"/>
                <w:szCs w:val="24"/>
                <w:lang w:val="en-GB" w:eastAsia="cs-CZ"/>
              </w:rPr>
              <w:t xml:space="preserve"> the current status</w:t>
            </w:r>
            <w:r w:rsidRPr="00C67FEB" w:rsidR="008136E6">
              <w:rPr>
                <w:rFonts w:ascii="Times New Roman" w:eastAsia="Times New Roman" w:hAnsi="Times New Roman" w:cs="Times New Roman"/>
                <w:sz w:val="24"/>
                <w:szCs w:val="24"/>
                <w:lang w:val="en-GB" w:eastAsia="cs-CZ"/>
              </w:rPr>
              <w:t>.</w:t>
            </w:r>
          </w:p>
          <w:p w:rsidR="00403DFA" w:rsidRPr="00C67FEB" w:rsidP="0087579E">
            <w:pPr>
              <w:keepNext/>
              <w:numPr>
                <w:ilvl w:val="0"/>
                <w:numId w:val="17"/>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apply the regulation in Section 34 (3) of the </w:t>
            </w:r>
            <w:r w:rsidRPr="00C67FEB" w:rsidR="00A77ADF">
              <w:rPr>
                <w:rFonts w:ascii="Times New Roman" w:eastAsia="Times New Roman" w:hAnsi="Times New Roman" w:cs="Times New Roman"/>
                <w:sz w:val="24"/>
                <w:szCs w:val="24"/>
                <w:lang w:val="en-GB" w:eastAsia="cs-CZ"/>
              </w:rPr>
              <w:t xml:space="preserve">Execution Order </w:t>
            </w:r>
            <w:r w:rsidRPr="00C67FEB">
              <w:rPr>
                <w:rFonts w:ascii="Times New Roman" w:eastAsia="Times New Roman" w:hAnsi="Times New Roman" w:cs="Times New Roman"/>
                <w:sz w:val="24"/>
                <w:szCs w:val="24"/>
                <w:lang w:val="en-GB" w:eastAsia="cs-CZ"/>
              </w:rPr>
              <w:t xml:space="preserve">to other financial market entities for which the </w:t>
            </w:r>
            <w:r w:rsidRPr="00C67FEB" w:rsidR="00A77ADF">
              <w:rPr>
                <w:rFonts w:ascii="Times New Roman" w:eastAsia="Times New Roman" w:hAnsi="Times New Roman" w:cs="Times New Roman"/>
                <w:sz w:val="24"/>
                <w:szCs w:val="24"/>
                <w:lang w:val="en-GB" w:eastAsia="cs-CZ"/>
              </w:rPr>
              <w:t xml:space="preserve">Execution Order </w:t>
            </w:r>
            <w:r w:rsidRPr="00C67FEB">
              <w:rPr>
                <w:rFonts w:ascii="Times New Roman" w:eastAsia="Times New Roman" w:hAnsi="Times New Roman" w:cs="Times New Roman"/>
                <w:sz w:val="24"/>
                <w:szCs w:val="24"/>
                <w:lang w:val="en-GB" w:eastAsia="cs-CZ"/>
              </w:rPr>
              <w:t>uses the abbreviation financial institutions (insurance companies, investment companies and investment funds, investment firms, pension companies, pension funds under a special legal regulation</w:t>
            </w:r>
            <w:r w:rsidRPr="00C67FEB" w:rsidR="00A77AD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t>
            </w:r>
            <w:r w:rsidRPr="00C67FEB" w:rsidR="00A77ADF">
              <w:rPr>
                <w:rFonts w:ascii="Times New Roman" w:eastAsia="Times New Roman" w:hAnsi="Times New Roman" w:cs="Times New Roman"/>
                <w:sz w:val="24"/>
                <w:szCs w:val="24"/>
                <w:lang w:val="en-GB" w:eastAsia="cs-CZ"/>
              </w:rPr>
              <w:t xml:space="preserve">the </w:t>
            </w:r>
            <w:r w:rsidRPr="00C67FEB">
              <w:rPr>
                <w:rFonts w:ascii="Times New Roman" w:eastAsia="Times New Roman" w:hAnsi="Times New Roman" w:cs="Times New Roman"/>
                <w:sz w:val="24"/>
                <w:szCs w:val="24"/>
                <w:lang w:val="en-GB" w:eastAsia="cs-CZ"/>
              </w:rPr>
              <w:t>Financial Market Guarantee System). At the same time, such an amendment should be supplemented so that the relevant ministry stipulates in a decree a machine-readable format.</w:t>
            </w:r>
          </w:p>
          <w:p w:rsidR="00403DFA" w:rsidRPr="00C67FEB" w:rsidP="0087579E">
            <w:pPr>
              <w:keepNext/>
              <w:numPr>
                <w:ilvl w:val="0"/>
                <w:numId w:val="17"/>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 a new amendment to Section 34 (2) of the </w:t>
            </w:r>
            <w:r w:rsidRPr="00C67FEB" w:rsidR="00A77ADF">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which would establish the duty of a </w:t>
            </w:r>
            <w:r w:rsidRPr="00C67FEB" w:rsidR="00A77ADF">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to request cooperation only in electronic form. </w:t>
            </w:r>
          </w:p>
          <w:p w:rsidR="00403DFA" w:rsidRPr="00C67FEB" w:rsidP="0087579E">
            <w:pPr>
              <w:keepNext/>
              <w:numPr>
                <w:ilvl w:val="0"/>
                <w:numId w:val="17"/>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3 - mandatory use of the existing ISB system provided by the Central Securities Depository</w:t>
            </w:r>
            <w:r w:rsidRPr="00C67FEB" w:rsidR="00A77ADF">
              <w:rPr>
                <w:rFonts w:ascii="Times New Roman" w:eastAsia="Times New Roman" w:hAnsi="Times New Roman" w:cs="Times New Roman"/>
                <w:sz w:val="24"/>
                <w:szCs w:val="24"/>
                <w:lang w:val="en-GB" w:eastAsia="cs-CZ"/>
              </w:rPr>
              <w:t xml:space="preserve"> Prague</w:t>
            </w:r>
            <w:r w:rsidRPr="00C67FEB">
              <w:rPr>
                <w:rFonts w:ascii="Times New Roman" w:eastAsia="Times New Roman" w:hAnsi="Times New Roman" w:cs="Times New Roman"/>
                <w:sz w:val="24"/>
                <w:szCs w:val="24"/>
                <w:lang w:val="en-GB" w:eastAsia="cs-CZ"/>
              </w:rPr>
              <w:t xml:space="preserve">, which is used in relation to securities kept in the Central </w:t>
            </w:r>
            <w:r w:rsidRPr="00C67FEB" w:rsidR="00A77ADF">
              <w:rPr>
                <w:rFonts w:ascii="Times New Roman" w:eastAsia="Times New Roman" w:hAnsi="Times New Roman" w:cs="Times New Roman"/>
                <w:sz w:val="24"/>
                <w:szCs w:val="24"/>
                <w:lang w:val="en-GB" w:eastAsia="cs-CZ"/>
              </w:rPr>
              <w:t xml:space="preserve">Securities </w:t>
            </w:r>
            <w:r w:rsidRPr="00C67FEB">
              <w:rPr>
                <w:rFonts w:ascii="Times New Roman" w:eastAsia="Times New Roman" w:hAnsi="Times New Roman" w:cs="Times New Roman"/>
                <w:sz w:val="24"/>
                <w:szCs w:val="24"/>
                <w:lang w:val="en-GB" w:eastAsia="cs-CZ"/>
              </w:rPr>
              <w:t>Depository</w:t>
            </w:r>
            <w:r w:rsidRPr="00C67FEB" w:rsidR="00A77ADF">
              <w:rPr>
                <w:rFonts w:ascii="Times New Roman" w:eastAsia="Times New Roman" w:hAnsi="Times New Roman" w:cs="Times New Roman"/>
                <w:sz w:val="24"/>
                <w:szCs w:val="24"/>
                <w:lang w:val="en-GB" w:eastAsia="cs-CZ"/>
              </w:rPr>
              <w:t xml:space="preserve"> Prague’s</w:t>
            </w:r>
            <w:r w:rsidRPr="00C67FEB">
              <w:rPr>
                <w:rFonts w:ascii="Times New Roman" w:eastAsia="Times New Roman" w:hAnsi="Times New Roman" w:cs="Times New Roman"/>
                <w:sz w:val="24"/>
                <w:szCs w:val="24"/>
                <w:lang w:val="en-GB" w:eastAsia="cs-CZ"/>
              </w:rPr>
              <w:t xml:space="preserve"> records and in related registers.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practice, the provision of co-operation by financial market entities to </w:t>
            </w:r>
            <w:r w:rsidRPr="00C67FEB" w:rsidR="00A77ADF">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 xml:space="preserve"> causes unnecessary costs. For example, some </w:t>
            </w:r>
            <w:r w:rsidRPr="00C67FEB" w:rsidR="00A77ADF">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 xml:space="preserve"> send inquiries about a single debtor to all financial institutions on the market without any prior pre-selection, for example, in accordance with </w:t>
            </w:r>
            <w:r w:rsidRPr="00C67FEB" w:rsidR="00A77ADF">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33d of the </w:t>
            </w:r>
            <w:r w:rsidRPr="00C67FEB" w:rsidR="00A77ADF">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Financial institutions</w:t>
            </w:r>
            <w:r w:rsidRPr="00C67FEB" w:rsidR="00A77AD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claims have also been recorded</w:t>
            </w:r>
            <w:bookmarkStart w:id="62" w:name="_ftnref5"/>
            <w:bookmarkEnd w:id="62"/>
            <w:r>
              <w:rPr>
                <w:rStyle w:val="FootnoteReference"/>
                <w:rFonts w:ascii="Times New Roman" w:eastAsia="Times New Roman" w:hAnsi="Times New Roman" w:cs="Times New Roman"/>
                <w:sz w:val="24"/>
                <w:szCs w:val="24"/>
                <w:lang w:val="en-GB" w:eastAsia="cs-CZ"/>
              </w:rPr>
              <w:footnoteReference w:id="6"/>
            </w:r>
            <w:r w:rsidRPr="00C67FEB" w:rsidR="00A77ADF">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that </w:t>
            </w:r>
            <w:r w:rsidRPr="00C67FEB" w:rsidR="00A77ADF">
              <w:rPr>
                <w:rFonts w:ascii="Times New Roman" w:eastAsia="Times New Roman" w:hAnsi="Times New Roman" w:cs="Times New Roman"/>
                <w:sz w:val="24"/>
                <w:szCs w:val="24"/>
                <w:lang w:val="en-GB" w:eastAsia="cs-CZ"/>
              </w:rPr>
              <w:t>they have</w:t>
            </w:r>
            <w:r w:rsidRPr="00C67FEB">
              <w:rPr>
                <w:rFonts w:ascii="Times New Roman" w:eastAsia="Times New Roman" w:hAnsi="Times New Roman" w:cs="Times New Roman"/>
                <w:sz w:val="24"/>
                <w:szCs w:val="24"/>
                <w:lang w:val="en-GB" w:eastAsia="cs-CZ"/>
              </w:rPr>
              <w:t xml:space="preserve"> to handle over one million requests for interoperability per year, resulting in </w:t>
            </w:r>
            <w:r w:rsidRPr="00C67FEB" w:rsidR="00A77ADF">
              <w:rPr>
                <w:rFonts w:ascii="Times New Roman" w:eastAsia="Times New Roman" w:hAnsi="Times New Roman" w:cs="Times New Roman"/>
                <w:sz w:val="24"/>
                <w:szCs w:val="24"/>
                <w:lang w:val="en-GB" w:eastAsia="cs-CZ"/>
              </w:rPr>
              <w:t>costs in millions of CZK</w:t>
            </w:r>
            <w:r w:rsidRPr="00C67FEB">
              <w:rPr>
                <w:rFonts w:ascii="Times New Roman" w:eastAsia="Times New Roman" w:hAnsi="Times New Roman" w:cs="Times New Roman"/>
                <w:sz w:val="24"/>
                <w:szCs w:val="24"/>
                <w:lang w:val="en-GB" w:eastAsia="cs-CZ"/>
              </w:rPr>
              <w:t>. Furthermore, following a public consultation, this option appears to be the worst possible.</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Option 1 - </w:t>
            </w:r>
            <w:r w:rsidRPr="00013C1C" w:rsidR="00A77ADF">
              <w:rPr>
                <w:rFonts w:ascii="Times New Roman" w:eastAsia="Times New Roman" w:hAnsi="Times New Roman" w:cs="Times New Roman"/>
                <w:b/>
                <w:bCs/>
                <w:sz w:val="24"/>
                <w:szCs w:val="24"/>
                <w:lang w:val="en-GB" w:eastAsia="cs-CZ"/>
              </w:rPr>
              <w:t>apply the regulation in Section 34 (3) of the Execution Order to other financial market entities for which the Execution Order uses the abbreviation financial institutions (insurance companies, investment companies and investment funds, investment firms, pension companies, pension funds under a special legal regulation, the Financial Market Guarantee System). At the same time, such an amendment should be supplemented so that the relevant ministry stipulates in a decree a machine-readable format.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banking sector (a financial institution according to the </w:t>
            </w:r>
            <w:r w:rsidRPr="00C67FEB" w:rsidR="00A77ADF">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has its special regulation in Section 34 (3) of the </w:t>
            </w:r>
            <w:r w:rsidRPr="00C67FEB" w:rsidR="00A77ADF">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which is further specified in Annex 1 to Decree No. 418/2001 Coll. This amendment stipulates that cooperation must be compulsorily requested and consequently cooperation must be provided in an electronic data file in XML format with specific parameters contained in the </w:t>
            </w:r>
            <w:r w:rsidRPr="00C67FEB" w:rsidR="00765988">
              <w:rPr>
                <w:rFonts w:ascii="Times New Roman" w:eastAsia="Times New Roman" w:hAnsi="Times New Roman" w:cs="Times New Roman"/>
                <w:sz w:val="24"/>
                <w:szCs w:val="24"/>
                <w:lang w:val="en-GB" w:eastAsia="cs-CZ"/>
              </w:rPr>
              <w:t>d</w:t>
            </w:r>
            <w:r w:rsidRPr="00C67FEB">
              <w:rPr>
                <w:rFonts w:ascii="Times New Roman" w:eastAsia="Times New Roman" w:hAnsi="Times New Roman" w:cs="Times New Roman"/>
                <w:sz w:val="24"/>
                <w:szCs w:val="24"/>
                <w:lang w:val="en-GB" w:eastAsia="cs-CZ"/>
              </w:rPr>
              <w:t xml:space="preserve">ecree. According to this decree, the automation of cooperation takes place through the exchange of structured data files in XML format delivered via the Data Mailbox Information System (ISDS), or in some other way based on an agreement between the </w:t>
            </w:r>
            <w:r w:rsidRPr="00C67FEB" w:rsidR="00765988">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and the bank. A data message requesting assistance from a </w:t>
            </w:r>
            <w:r w:rsidRPr="00C67FEB" w:rsidR="00765988">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has a specific subject (“XMLEXE SOUC”) by which it can be recognized. The senders can only be </w:t>
            </w:r>
            <w:r w:rsidRPr="00C67FEB" w:rsidR="00765988">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 xml:space="preserve"> with their special type of data box. The basic identifier of the liable entity is </w:t>
            </w:r>
            <w:r w:rsidRPr="00C67FEB" w:rsidR="00765988">
              <w:rPr>
                <w:rFonts w:ascii="Times New Roman" w:eastAsia="Times New Roman" w:hAnsi="Times New Roman" w:cs="Times New Roman"/>
                <w:sz w:val="24"/>
                <w:szCs w:val="24"/>
                <w:lang w:val="en-GB" w:eastAsia="cs-CZ"/>
              </w:rPr>
              <w:t>personal identification number or employer identification number</w:t>
            </w:r>
            <w:r w:rsidRPr="00C67FEB">
              <w:rPr>
                <w:rFonts w:ascii="Times New Roman" w:eastAsia="Times New Roman" w:hAnsi="Times New Roman" w:cs="Times New Roman"/>
                <w:sz w:val="24"/>
                <w:szCs w:val="24"/>
                <w:lang w:val="en-GB" w:eastAsia="cs-CZ"/>
              </w:rPr>
              <w:t>. Each data request requesting cooperation can contain multiple individual queries to liable entities.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processing of requests for cooperation by the bank itself can be automated, semi-automated or manual. Processing requests for interoperability in an automated or semi-automated system consists mainly in downloading all data messages from the data box, recognizing data messages with requests for interoperability and filtering them, processing an XML data file, creating a preview of the data file in a </w:t>
            </w:r>
            <w:r w:rsidRPr="00C67FEB" w:rsidR="00765988">
              <w:rPr>
                <w:rFonts w:ascii="Times New Roman" w:eastAsia="Times New Roman" w:hAnsi="Times New Roman" w:cs="Times New Roman"/>
                <w:sz w:val="24"/>
                <w:szCs w:val="24"/>
                <w:lang w:val="en-GB" w:eastAsia="cs-CZ"/>
              </w:rPr>
              <w:t xml:space="preserve">user-friendly </w:t>
            </w:r>
            <w:r w:rsidRPr="00C67FEB">
              <w:rPr>
                <w:rFonts w:ascii="Times New Roman" w:eastAsia="Times New Roman" w:hAnsi="Times New Roman" w:cs="Times New Roman"/>
                <w:sz w:val="24"/>
                <w:szCs w:val="24"/>
                <w:lang w:val="en-GB" w:eastAsia="cs-CZ"/>
              </w:rPr>
              <w:t>graphical form</w:t>
            </w:r>
            <w:r w:rsidRPr="00C67FEB" w:rsidR="0076598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finding answers to questions, preparing a response, sending a response with a data message to the sender's data box.</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If non-banking financial market entities were to introduce an automated system for processing requests for cooperation similar to the automated system at banks, then the costs would be around one million </w:t>
            </w:r>
            <w:r w:rsidRPr="00C67FEB" w:rsidR="00765988">
              <w:rPr>
                <w:rFonts w:ascii="Times New Roman" w:eastAsia="Times New Roman" w:hAnsi="Times New Roman" w:cs="Times New Roman"/>
                <w:sz w:val="24"/>
                <w:szCs w:val="24"/>
                <w:lang w:val="en-GB" w:eastAsia="cs-CZ"/>
              </w:rPr>
              <w:t>CZK</w:t>
            </w:r>
            <w:r w:rsidRPr="00C67FEB">
              <w:rPr>
                <w:rFonts w:ascii="Times New Roman" w:eastAsia="Times New Roman" w:hAnsi="Times New Roman" w:cs="Times New Roman"/>
                <w:sz w:val="24"/>
                <w:szCs w:val="24"/>
                <w:lang w:val="en-GB" w:eastAsia="cs-CZ"/>
              </w:rPr>
              <w:t xml:space="preserve"> and if the entity already owns an automated system for the cooperation of banks, it will purchase an expansion module worth hundreds of thousands of crowns. According to Aura </w:t>
            </w:r>
            <w:r w:rsidRPr="00C67FEB">
              <w:rPr>
                <w:rFonts w:ascii="Times New Roman" w:eastAsia="Times New Roman" w:hAnsi="Times New Roman" w:cs="Times New Roman"/>
                <w:sz w:val="24"/>
                <w:szCs w:val="24"/>
                <w:lang w:val="en-GB" w:eastAsia="cs-CZ"/>
              </w:rPr>
              <w:t>s</w:t>
            </w:r>
            <w:r w:rsidRPr="00C67FEB" w:rsidR="0076598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r</w:t>
            </w:r>
            <w:r w:rsidRPr="00C67FEB" w:rsidR="0076598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 which operates the</w:t>
            </w:r>
            <w:r w:rsidRPr="00C67FEB" w:rsidR="00765988">
              <w:rPr>
                <w:rFonts w:ascii="Times New Roman" w:eastAsia="Times New Roman" w:hAnsi="Times New Roman" w:cs="Times New Roman"/>
                <w:sz w:val="24"/>
                <w:szCs w:val="24"/>
                <w:lang w:val="en-GB" w:eastAsia="cs-CZ"/>
              </w:rPr>
              <w:t xml:space="preserve"> „</w:t>
            </w:r>
            <w:r w:rsidRPr="00C67FEB" w:rsidR="00765988">
              <w:rPr>
                <w:rFonts w:ascii="Times New Roman" w:eastAsia="Times New Roman" w:hAnsi="Times New Roman" w:cs="Times New Roman"/>
                <w:sz w:val="24"/>
                <w:szCs w:val="24"/>
                <w:lang w:val="en-GB" w:eastAsia="cs-CZ"/>
              </w:rPr>
              <w:t>Informační</w:t>
            </w:r>
            <w:r w:rsidRPr="00C67FEB" w:rsidR="00765988">
              <w:rPr>
                <w:rFonts w:ascii="Times New Roman" w:eastAsia="Times New Roman" w:hAnsi="Times New Roman" w:cs="Times New Roman"/>
                <w:sz w:val="24"/>
                <w:szCs w:val="24"/>
                <w:lang w:val="en-GB" w:eastAsia="cs-CZ"/>
              </w:rPr>
              <w:t xml:space="preserve"> </w:t>
            </w:r>
            <w:r w:rsidRPr="00C67FEB" w:rsidR="00765988">
              <w:rPr>
                <w:rFonts w:ascii="Times New Roman" w:eastAsia="Times New Roman" w:hAnsi="Times New Roman" w:cs="Times New Roman"/>
                <w:sz w:val="24"/>
                <w:szCs w:val="24"/>
                <w:lang w:val="en-GB" w:eastAsia="cs-CZ"/>
              </w:rPr>
              <w:t>systém</w:t>
            </w:r>
            <w:r w:rsidRPr="00C67FEB" w:rsidR="00765988">
              <w:rPr>
                <w:rFonts w:ascii="Times New Roman" w:eastAsia="Times New Roman" w:hAnsi="Times New Roman" w:cs="Times New Roman"/>
                <w:sz w:val="24"/>
                <w:szCs w:val="24"/>
                <w:lang w:val="en-GB" w:eastAsia="cs-CZ"/>
              </w:rPr>
              <w:t xml:space="preserve"> </w:t>
            </w:r>
            <w:r w:rsidRPr="00C67FEB" w:rsidR="00765988">
              <w:rPr>
                <w:rFonts w:ascii="Times New Roman" w:eastAsia="Times New Roman" w:hAnsi="Times New Roman" w:cs="Times New Roman"/>
                <w:sz w:val="24"/>
                <w:szCs w:val="24"/>
                <w:lang w:val="en-GB" w:eastAsia="cs-CZ"/>
              </w:rPr>
              <w:t>soudní</w:t>
            </w:r>
            <w:r w:rsidRPr="00C67FEB" w:rsidR="00765988">
              <w:rPr>
                <w:rFonts w:ascii="Times New Roman" w:eastAsia="Times New Roman" w:hAnsi="Times New Roman" w:cs="Times New Roman"/>
                <w:sz w:val="24"/>
                <w:szCs w:val="24"/>
                <w:lang w:val="en-GB" w:eastAsia="cs-CZ"/>
              </w:rPr>
              <w:t xml:space="preserve"> </w:t>
            </w:r>
            <w:r w:rsidRPr="00C67FEB" w:rsidR="00765988">
              <w:rPr>
                <w:rFonts w:ascii="Times New Roman" w:eastAsia="Times New Roman" w:hAnsi="Times New Roman" w:cs="Times New Roman"/>
                <w:sz w:val="24"/>
                <w:szCs w:val="24"/>
                <w:lang w:val="en-GB" w:eastAsia="cs-CZ"/>
              </w:rPr>
              <w:t>exekutor</w:t>
            </w:r>
            <w:r w:rsidRPr="00C67FEB" w:rsidR="0076598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t>
            </w:r>
            <w:r w:rsidRPr="00C67FEB" w:rsidR="00765988">
              <w:rPr>
                <w:rFonts w:ascii="Times New Roman" w:eastAsia="Times New Roman" w:hAnsi="Times New Roman" w:cs="Times New Roman"/>
                <w:sz w:val="24"/>
                <w:szCs w:val="24"/>
                <w:lang w:val="en-GB" w:eastAsia="cs-CZ"/>
              </w:rPr>
              <w:t>(</w:t>
            </w:r>
            <w:r w:rsidRPr="00C67FEB" w:rsidR="00765988">
              <w:rPr>
                <w:rFonts w:ascii="Times New Roman" w:eastAsia="Times New Roman" w:hAnsi="Times New Roman" w:cs="Times New Roman"/>
                <w:sz w:val="24"/>
                <w:szCs w:val="24"/>
                <w:lang w:val="en-GB" w:eastAsia="cs-CZ"/>
              </w:rPr>
              <w:t>Distrainer</w:t>
            </w:r>
            <w:r w:rsidRPr="00C67FEB">
              <w:rPr>
                <w:rFonts w:ascii="Times New Roman" w:eastAsia="Times New Roman" w:hAnsi="Times New Roman" w:cs="Times New Roman"/>
                <w:sz w:val="24"/>
                <w:szCs w:val="24"/>
                <w:lang w:val="en-GB" w:eastAsia="cs-CZ"/>
              </w:rPr>
              <w:t xml:space="preserve"> Information System</w:t>
            </w:r>
            <w:r w:rsidRPr="00C67FEB" w:rsidR="00765988">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which uses more than half of all </w:t>
            </w:r>
            <w:r w:rsidRPr="00C67FEB" w:rsidR="00765988">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 the cost of extending the automated system for bank cooperation would be minimal, probably even zero.</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need to explicitly specify a machine-readable format has proved redundant since the XML format itself is machine-readable.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This option will also contribute to the protection of small investors by refining the treatment of their personal data and eliminating some of the possible ways of dealing so far.</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Option 2 - a new amendment to Section 34 (2) of the </w:t>
            </w:r>
            <w:r w:rsidRPr="00013C1C" w:rsidR="00765988">
              <w:rPr>
                <w:rFonts w:ascii="Times New Roman" w:eastAsia="Times New Roman" w:hAnsi="Times New Roman" w:cs="Times New Roman"/>
                <w:b/>
                <w:bCs/>
                <w:sz w:val="24"/>
                <w:szCs w:val="24"/>
                <w:lang w:val="en-GB" w:eastAsia="cs-CZ"/>
              </w:rPr>
              <w:t>Exec</w:t>
            </w:r>
            <w:r w:rsidRPr="00013C1C" w:rsidR="008136E6">
              <w:rPr>
                <w:rFonts w:ascii="Times New Roman" w:eastAsia="Times New Roman" w:hAnsi="Times New Roman" w:cs="Times New Roman"/>
                <w:b/>
                <w:bCs/>
                <w:sz w:val="24"/>
                <w:szCs w:val="24"/>
                <w:lang w:val="en-GB" w:eastAsia="cs-CZ"/>
              </w:rPr>
              <w:t>ution Order</w:t>
            </w:r>
            <w:r w:rsidRPr="00013C1C">
              <w:rPr>
                <w:rFonts w:ascii="Times New Roman" w:eastAsia="Times New Roman" w:hAnsi="Times New Roman" w:cs="Times New Roman"/>
                <w:b/>
                <w:bCs/>
                <w:sz w:val="24"/>
                <w:szCs w:val="24"/>
                <w:lang w:val="en-GB" w:eastAsia="cs-CZ"/>
              </w:rPr>
              <w:t xml:space="preserve">, which would establish the duty of the </w:t>
            </w:r>
            <w:r w:rsidRPr="00013C1C" w:rsidR="008136E6">
              <w:rPr>
                <w:rFonts w:ascii="Times New Roman" w:eastAsia="Times New Roman" w:hAnsi="Times New Roman" w:cs="Times New Roman"/>
                <w:b/>
                <w:bCs/>
                <w:sz w:val="24"/>
                <w:szCs w:val="24"/>
                <w:lang w:val="en-GB" w:eastAsia="cs-CZ"/>
              </w:rPr>
              <w:t>distrainer</w:t>
            </w:r>
            <w:r w:rsidRPr="00013C1C">
              <w:rPr>
                <w:rFonts w:ascii="Times New Roman" w:eastAsia="Times New Roman" w:hAnsi="Times New Roman" w:cs="Times New Roman"/>
                <w:b/>
                <w:bCs/>
                <w:sz w:val="24"/>
                <w:szCs w:val="24"/>
                <w:lang w:val="en-GB" w:eastAsia="cs-CZ"/>
              </w:rPr>
              <w:t xml:space="preserve"> to request cooperation only in electronic form.</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variant seems to be a compromise between variant number 0 and variant number 1. Therefore, XML format will not be determined exclusively. This option will also contribute to the protection of small investors by refining the treatment of their personal data and eliminating some of the possible ways of dealing so far. At the same time, there is a high probability that there will still be chaos due to the possibility of sending information through multiple formats. Unlike option 1, there will be more </w:t>
            </w:r>
            <w:r w:rsidRPr="00C67FEB">
              <w:rPr>
                <w:rFonts w:ascii="Times New Roman" w:eastAsia="Times New Roman" w:hAnsi="Times New Roman" w:cs="Times New Roman"/>
                <w:sz w:val="24"/>
                <w:szCs w:val="24"/>
                <w:lang w:val="en-GB" w:eastAsia="cs-CZ"/>
              </w:rPr>
              <w:t>ways to handle personal data. In any case, even under this option, the costs of capital market operators will be saved. </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Option 3 - </w:t>
            </w:r>
            <w:r w:rsidRPr="00013C1C" w:rsidR="008136E6">
              <w:rPr>
                <w:rFonts w:ascii="Times New Roman" w:eastAsia="Times New Roman" w:hAnsi="Times New Roman" w:cs="Times New Roman"/>
                <w:b/>
                <w:bCs/>
                <w:sz w:val="24"/>
                <w:szCs w:val="24"/>
                <w:lang w:val="en-GB" w:eastAsia="cs-CZ"/>
              </w:rPr>
              <w:t>mandatory use of the existing ISB system provided by the Central Securities Depository Prague, which is used in relation to securities kept in the Central Securities Depository Prague’s records and in related registers.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Another possible solution proposed by the Czech Banking </w:t>
            </w:r>
            <w:r w:rsidRPr="00C67FEB" w:rsidR="00413F41">
              <w:rPr>
                <w:rFonts w:ascii="Times New Roman" w:eastAsia="Times New Roman" w:hAnsi="Times New Roman" w:cs="Times New Roman"/>
                <w:sz w:val="24"/>
                <w:szCs w:val="24"/>
                <w:lang w:val="en-GB" w:eastAsia="cs-CZ"/>
              </w:rPr>
              <w:t>Association</w:t>
            </w:r>
            <w:r w:rsidRPr="00C67FEB">
              <w:rPr>
                <w:rFonts w:ascii="Times New Roman" w:eastAsia="Times New Roman" w:hAnsi="Times New Roman" w:cs="Times New Roman"/>
                <w:sz w:val="24"/>
                <w:szCs w:val="24"/>
                <w:lang w:val="en-GB" w:eastAsia="cs-CZ"/>
              </w:rPr>
              <w:t xml:space="preserve"> in the framework of comments in the preparation of the </w:t>
            </w:r>
            <w:r w:rsidRPr="00C67FEB" w:rsidR="00D169AF">
              <w:rPr>
                <w:rFonts w:ascii="Times New Roman" w:eastAsia="Times New Roman" w:hAnsi="Times New Roman" w:cs="Times New Roman"/>
                <w:sz w:val="24"/>
                <w:szCs w:val="24"/>
                <w:lang w:val="en-GB" w:eastAsia="cs-CZ"/>
              </w:rPr>
              <w:t xml:space="preserve">National Strategy for the Development of the Capital Market in the Czech Republic 2019 - 2023 </w:t>
            </w:r>
            <w:r w:rsidRPr="00C67FEB">
              <w:rPr>
                <w:rFonts w:ascii="Times New Roman" w:eastAsia="Times New Roman" w:hAnsi="Times New Roman" w:cs="Times New Roman"/>
                <w:sz w:val="24"/>
                <w:szCs w:val="24"/>
                <w:lang w:val="en-GB" w:eastAsia="cs-CZ"/>
              </w:rPr>
              <w:t>would be the mandatory use of the existing ISB system provided by the Central Securities Depository</w:t>
            </w:r>
            <w:r w:rsidRPr="00C67FEB" w:rsidR="008136E6">
              <w:rPr>
                <w:rFonts w:ascii="Times New Roman" w:eastAsia="Times New Roman" w:hAnsi="Times New Roman" w:cs="Times New Roman"/>
                <w:sz w:val="24"/>
                <w:szCs w:val="24"/>
                <w:lang w:val="en-GB" w:eastAsia="cs-CZ"/>
              </w:rPr>
              <w:t xml:space="preserve"> Prague</w:t>
            </w:r>
            <w:r w:rsidRPr="00C67FEB">
              <w:rPr>
                <w:rFonts w:ascii="Times New Roman" w:eastAsia="Times New Roman" w:hAnsi="Times New Roman" w:cs="Times New Roman"/>
                <w:sz w:val="24"/>
                <w:szCs w:val="24"/>
                <w:lang w:val="en-GB" w:eastAsia="cs-CZ"/>
              </w:rPr>
              <w:t xml:space="preserve">, which is used in relation to securities kept by the Central </w:t>
            </w:r>
            <w:r w:rsidRPr="00C67FEB" w:rsidR="008136E6">
              <w:rPr>
                <w:rFonts w:ascii="Times New Roman" w:eastAsia="Times New Roman" w:hAnsi="Times New Roman" w:cs="Times New Roman"/>
                <w:sz w:val="24"/>
                <w:szCs w:val="24"/>
                <w:lang w:val="en-GB" w:eastAsia="cs-CZ"/>
              </w:rPr>
              <w:t>Securities Depository Prague</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and</w:t>
            </w:r>
            <w:r w:rsidRPr="00C67FEB">
              <w:rPr>
                <w:rFonts w:ascii="Times New Roman" w:eastAsia="Times New Roman" w:hAnsi="Times New Roman" w:cs="Times New Roman"/>
                <w:sz w:val="24"/>
                <w:szCs w:val="24"/>
                <w:lang w:val="en-GB" w:eastAsia="cs-CZ"/>
              </w:rPr>
              <w:t xml:space="preserve"> in subsequent records. This system uses an XML </w:t>
            </w:r>
            <w:r w:rsidRPr="00C67FEB" w:rsidR="008136E6">
              <w:rPr>
                <w:rFonts w:ascii="Times New Roman" w:eastAsia="Times New Roman" w:hAnsi="Times New Roman" w:cs="Times New Roman"/>
                <w:sz w:val="24"/>
                <w:szCs w:val="24"/>
                <w:lang w:val="en-GB" w:eastAsia="cs-CZ"/>
              </w:rPr>
              <w:t>format but</w:t>
            </w:r>
            <w:r w:rsidRPr="00C67FEB">
              <w:rPr>
                <w:rFonts w:ascii="Times New Roman" w:eastAsia="Times New Roman" w:hAnsi="Times New Roman" w:cs="Times New Roman"/>
                <w:sz w:val="24"/>
                <w:szCs w:val="24"/>
                <w:lang w:val="en-GB" w:eastAsia="cs-CZ"/>
              </w:rPr>
              <w:t xml:space="preserve"> does not cover securities in the separate register of </w:t>
            </w:r>
            <w:r w:rsidRPr="00C67FEB" w:rsidR="008136E6">
              <w:rPr>
                <w:rFonts w:ascii="Times New Roman" w:eastAsia="Times New Roman" w:hAnsi="Times New Roman" w:cs="Times New Roman"/>
                <w:sz w:val="24"/>
                <w:szCs w:val="24"/>
                <w:lang w:val="en-GB" w:eastAsia="cs-CZ"/>
              </w:rPr>
              <w:t>securities,</w:t>
            </w:r>
            <w:r w:rsidRPr="00C67FEB">
              <w:rPr>
                <w:rFonts w:ascii="Times New Roman" w:eastAsia="Times New Roman" w:hAnsi="Times New Roman" w:cs="Times New Roman"/>
                <w:sz w:val="24"/>
                <w:szCs w:val="24"/>
                <w:lang w:val="en-GB" w:eastAsia="cs-CZ"/>
              </w:rPr>
              <w:t xml:space="preserve"> and therefore would have to be adapted and extended for the purposes of judicial execution. At the same time, the mandatory use of one information system would probably be contrary to the protection of competition. Which the owner of the system, the Central Securities Depository</w:t>
            </w:r>
            <w:r w:rsidRPr="00C67FEB" w:rsidR="008136E6">
              <w:rPr>
                <w:rFonts w:ascii="Times New Roman" w:eastAsia="Times New Roman" w:hAnsi="Times New Roman" w:cs="Times New Roman"/>
                <w:sz w:val="24"/>
                <w:szCs w:val="24"/>
                <w:lang w:val="en-GB" w:eastAsia="cs-CZ"/>
              </w:rPr>
              <w:t xml:space="preserve"> Prague</w:t>
            </w:r>
            <w:r w:rsidRPr="00C67FEB">
              <w:rPr>
                <w:rFonts w:ascii="Times New Roman" w:eastAsia="Times New Roman" w:hAnsi="Times New Roman" w:cs="Times New Roman"/>
                <w:sz w:val="24"/>
                <w:szCs w:val="24"/>
                <w:lang w:val="en-GB" w:eastAsia="cs-CZ"/>
              </w:rPr>
              <w:t>, did not dispute.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option will also contribute to the protection of small investors by refining the treatment of their personal data and eliminating some of the possible ways of dealing so far.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This option saves the costs associated with option 0.</w:t>
            </w:r>
          </w:p>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On the basis of the consultation, the Ministry of Finance considers it most appropriate to adopt a legislative change and to amend the Act </w:t>
            </w:r>
            <w:r w:rsidR="00013C1C">
              <w:rPr>
                <w:rFonts w:ascii="Times New Roman" w:eastAsia="Times New Roman" w:hAnsi="Times New Roman" w:cs="Times New Roman"/>
                <w:sz w:val="24"/>
                <w:szCs w:val="24"/>
                <w:lang w:val="en-GB" w:eastAsia="cs-CZ"/>
              </w:rPr>
              <w:t xml:space="preserve">with </w:t>
            </w:r>
            <w:r w:rsidRPr="00C67FEB" w:rsidR="008136E6">
              <w:rPr>
                <w:rFonts w:ascii="Times New Roman" w:eastAsia="Times New Roman" w:hAnsi="Times New Roman" w:cs="Times New Roman"/>
                <w:sz w:val="24"/>
                <w:szCs w:val="24"/>
                <w:lang w:val="en-GB" w:eastAsia="cs-CZ"/>
              </w:rPr>
              <w:t xml:space="preserve">the </w:t>
            </w:r>
            <w:r w:rsidR="00013C1C">
              <w:rPr>
                <w:rFonts w:ascii="Times New Roman" w:eastAsia="Times New Roman" w:hAnsi="Times New Roman" w:cs="Times New Roman"/>
                <w:sz w:val="24"/>
                <w:szCs w:val="24"/>
                <w:lang w:val="en-GB" w:eastAsia="cs-CZ"/>
              </w:rPr>
              <w:t>Option</w:t>
            </w:r>
            <w:r w:rsidRPr="00C67FEB">
              <w:rPr>
                <w:rFonts w:ascii="Times New Roman" w:eastAsia="Times New Roman" w:hAnsi="Times New Roman" w:cs="Times New Roman"/>
                <w:sz w:val="24"/>
                <w:szCs w:val="24"/>
                <w:lang w:val="en-GB" w:eastAsia="cs-CZ"/>
              </w:rPr>
              <w:t xml:space="preserve"> 1, which seems to be the most appropriate solution with regard to the cost and functionality of this system in banking. This solution </w:t>
            </w:r>
            <w:r w:rsidRPr="00C67FEB" w:rsidR="008136E6">
              <w:rPr>
                <w:rFonts w:ascii="Times New Roman" w:eastAsia="Times New Roman" w:hAnsi="Times New Roman" w:cs="Times New Roman"/>
                <w:sz w:val="24"/>
                <w:szCs w:val="24"/>
                <w:lang w:val="en-GB" w:eastAsia="cs-CZ"/>
              </w:rPr>
              <w:t>fulfils</w:t>
            </w:r>
            <w:r w:rsidRPr="00C67FEB">
              <w:rPr>
                <w:rFonts w:ascii="Times New Roman" w:eastAsia="Times New Roman" w:hAnsi="Times New Roman" w:cs="Times New Roman"/>
                <w:sz w:val="24"/>
                <w:szCs w:val="24"/>
                <w:lang w:val="en-GB" w:eastAsia="cs-CZ"/>
              </w:rPr>
              <w:t xml:space="preserve"> the measures of </w:t>
            </w:r>
            <w:r w:rsidRPr="00C67FEB" w:rsidR="008136E6">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No. 17 - Support for the use of XML format in requesting information from financial institutions in the execution. This option will result in a change of both the </w:t>
            </w:r>
            <w:r w:rsidRPr="00C67FEB" w:rsidR="008136E6">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and the related decrees. However, these legislative changes should not be significant. Option 0 would entail a large amount of costs, </w:t>
            </w:r>
            <w:r w:rsidR="00013C1C">
              <w:rPr>
                <w:rFonts w:ascii="Times New Roman" w:eastAsia="Times New Roman" w:hAnsi="Times New Roman" w:cs="Times New Roman"/>
                <w:sz w:val="24"/>
                <w:szCs w:val="24"/>
                <w:lang w:val="en-GB" w:eastAsia="cs-CZ"/>
              </w:rPr>
              <w:t>O</w:t>
            </w:r>
            <w:r w:rsidRPr="00C67FEB">
              <w:rPr>
                <w:rFonts w:ascii="Times New Roman" w:eastAsia="Times New Roman" w:hAnsi="Times New Roman" w:cs="Times New Roman"/>
                <w:sz w:val="24"/>
                <w:szCs w:val="24"/>
                <w:lang w:val="en-GB" w:eastAsia="cs-CZ"/>
              </w:rPr>
              <w:t xml:space="preserve">ption 2 would not specify a specific format, and therefore various electronic formats would be sent uneconomically. Option 3 would appear to be anti-competitive, and only one entity, a computer system provider who did not refute competition concerns, was in </w:t>
            </w:r>
            <w:r w:rsidRPr="00C67FEB" w:rsidR="008136E6">
              <w:rPr>
                <w:rFonts w:ascii="Times New Roman" w:eastAsia="Times New Roman" w:hAnsi="Times New Roman" w:cs="Times New Roman"/>
                <w:sz w:val="24"/>
                <w:szCs w:val="24"/>
                <w:lang w:val="en-GB" w:eastAsia="cs-CZ"/>
              </w:rPr>
              <w:t>favour</w:t>
            </w:r>
            <w:r w:rsidRPr="00C67FEB">
              <w:rPr>
                <w:rFonts w:ascii="Times New Roman" w:eastAsia="Times New Roman" w:hAnsi="Times New Roman" w:cs="Times New Roman"/>
                <w:sz w:val="24"/>
                <w:szCs w:val="24"/>
                <w:lang w:val="en-GB" w:eastAsia="cs-CZ"/>
              </w:rPr>
              <w:t xml:space="preserve"> of it in a public consultation. </w:t>
            </w:r>
          </w:p>
          <w:p w:rsidR="00403DFA" w:rsidRPr="00013C1C"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 xml:space="preserve">Summary of impacts of the chosen </w:t>
            </w:r>
            <w:r w:rsidRPr="00013C1C" w:rsidR="00013C1C">
              <w:rPr>
                <w:rFonts w:ascii="Times New Roman" w:eastAsia="Times New Roman" w:hAnsi="Times New Roman" w:cs="Times New Roman"/>
                <w:b/>
                <w:bCs/>
                <w:sz w:val="24"/>
                <w:szCs w:val="24"/>
                <w:lang w:val="en-GB" w:eastAsia="cs-CZ"/>
              </w:rPr>
              <w:t>Option 1</w:t>
            </w:r>
          </w:p>
          <w:tbl>
            <w:tblPr>
              <w:tblW w:w="5000" w:type="pct"/>
              <w:tblCellMar>
                <w:left w:w="0" w:type="dxa"/>
                <w:right w:w="0" w:type="dxa"/>
              </w:tblCellMar>
              <w:tblLook w:val="04A0"/>
            </w:tblPr>
            <w:tblGrid>
              <w:gridCol w:w="5358"/>
              <w:gridCol w:w="4265"/>
            </w:tblGrid>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013C1C"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013C1C">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2216"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013C1C"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color w:val="FFFFFF"/>
                      <w:sz w:val="24"/>
                      <w:szCs w:val="24"/>
                      <w:lang w:val="en-GB" w:eastAsia="cs-CZ"/>
                    </w:rPr>
                    <w:t>Costs / negatives</w:t>
                  </w:r>
                </w:p>
              </w:tc>
            </w:tr>
            <w:tr>
              <w:tblPrEx>
                <w:tblW w:w="5000" w:type="pct"/>
                <w:tblCellMar>
                  <w:left w:w="0" w:type="dxa"/>
                  <w:right w:w="0" w:type="dxa"/>
                </w:tblCellMar>
                <w:tblLook w:val="04A0"/>
              </w:tblPrEx>
              <w:tc>
                <w:tcPr>
                  <w:tcW w:w="27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w:t>
                  </w:r>
                  <w:r w:rsidRPr="00C67FEB" w:rsidR="003E0847">
                    <w:rPr>
                      <w:rFonts w:ascii="Times New Roman" w:eastAsia="Times New Roman" w:hAnsi="Times New Roman" w:cs="Times New Roman"/>
                      <w:sz w:val="24"/>
                      <w:szCs w:val="24"/>
                      <w:lang w:val="en-GB" w:eastAsia="cs-CZ"/>
                    </w:rPr>
                    <w:t>Fulfilment</w:t>
                  </w:r>
                  <w:r w:rsidRPr="00C67FEB">
                    <w:rPr>
                      <w:rFonts w:ascii="Times New Roman" w:eastAsia="Times New Roman" w:hAnsi="Times New Roman" w:cs="Times New Roman"/>
                      <w:sz w:val="24"/>
                      <w:szCs w:val="24"/>
                      <w:lang w:val="en-GB" w:eastAsia="cs-CZ"/>
                    </w:rPr>
                    <w:t xml:space="preserve"> of measures and plan of the </w:t>
                  </w:r>
                  <w:r w:rsidRPr="00C67FEB" w:rsidR="003E0847">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 xml:space="preserve"> (Support of the use of XML format in requesting information from financial institutions in </w:t>
                  </w:r>
                  <w:r w:rsidRPr="00C67FEB" w:rsidR="003E0847">
                    <w:rPr>
                      <w:rFonts w:ascii="Times New Roman" w:eastAsia="Times New Roman" w:hAnsi="Times New Roman" w:cs="Times New Roman"/>
                      <w:sz w:val="24"/>
                      <w:szCs w:val="24"/>
                      <w:lang w:val="en-GB" w:eastAsia="cs-CZ"/>
                    </w:rPr>
                    <w:t xml:space="preserve">particular in relation to </w:t>
                  </w:r>
                  <w:r w:rsidRPr="00C67FEB" w:rsidR="003E0847">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Capital market development - </w:t>
                  </w:r>
                  <w:r w:rsidRPr="00C67FEB" w:rsidR="003E0847">
                    <w:rPr>
                      <w:rFonts w:ascii="Times New Roman" w:eastAsia="Times New Roman" w:hAnsi="Times New Roman" w:cs="Times New Roman"/>
                      <w:sz w:val="24"/>
                      <w:szCs w:val="24"/>
                      <w:lang w:val="en-GB" w:eastAsia="cs-CZ"/>
                    </w:rPr>
                    <w:t>computerisation</w:t>
                  </w:r>
                  <w:r w:rsidRPr="00C67FEB">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Cost savings for financial institutions.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Investor Privacy.</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Cost savings for </w:t>
                  </w:r>
                  <w:r w:rsidRPr="00C67FEB" w:rsidR="003E0847">
                    <w:rPr>
                      <w:rFonts w:ascii="Times New Roman" w:eastAsia="Times New Roman" w:hAnsi="Times New Roman" w:cs="Times New Roman"/>
                      <w:sz w:val="24"/>
                      <w:szCs w:val="24"/>
                      <w:lang w:val="en-GB" w:eastAsia="cs-CZ"/>
                    </w:rPr>
                    <w:t>distrainers</w:t>
                  </w:r>
                  <w:r w:rsidRPr="00C67FEB">
                    <w:rPr>
                      <w:rFonts w:ascii="Times New Roman" w:eastAsia="Times New Roman" w:hAnsi="Times New Roman" w:cs="Times New Roman"/>
                      <w:sz w:val="24"/>
                      <w:szCs w:val="24"/>
                      <w:lang w:val="en-GB" w:eastAsia="cs-CZ"/>
                    </w:rPr>
                    <w:t>.</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p>
              </w:tc>
              <w:tc>
                <w:tcPr>
                  <w:tcW w:w="2216" w:type="pct"/>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need to amend legislation.</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Discontinuity of legislation.</w:t>
                  </w:r>
                  <w:r w:rsidR="0087579E">
                    <w:rPr>
                      <w:rFonts w:ascii="Times New Roman" w:eastAsia="Times New Roman" w:hAnsi="Times New Roman" w:cs="Times New Roman"/>
                      <w:sz w:val="14"/>
                      <w:szCs w:val="1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Initial costs for the non-banking financial institutions, the computeri</w:t>
                  </w:r>
                  <w:r w:rsidRPr="00C67FEB" w:rsidR="003E0847">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ation - optional </w:t>
                  </w:r>
                  <w:r w:rsidRPr="00C67FEB" w:rsidR="003E0847">
                    <w:rPr>
                      <w:rFonts w:ascii="Times New Roman" w:eastAsia="Times New Roman" w:hAnsi="Times New Roman" w:cs="Times New Roman"/>
                      <w:sz w:val="24"/>
                      <w:szCs w:val="24"/>
                      <w:lang w:val="en-GB" w:eastAsia="cs-CZ"/>
                    </w:rPr>
                    <w:t>possibility to fill in XML</w:t>
                  </w:r>
                  <w:r w:rsidRPr="00C67FEB">
                    <w:rPr>
                      <w:rFonts w:ascii="Times New Roman" w:eastAsia="Times New Roman" w:hAnsi="Times New Roman" w:cs="Times New Roman"/>
                      <w:sz w:val="24"/>
                      <w:szCs w:val="24"/>
                      <w:lang w:val="en-GB" w:eastAsia="cs-CZ"/>
                    </w:rPr>
                    <w:t xml:space="preserve"> manually.</w:t>
                  </w:r>
                  <w:r w:rsidR="0087579E">
                    <w:rPr>
                      <w:rFonts w:ascii="Times New Roman" w:eastAsia="Times New Roman" w:hAnsi="Times New Roman" w:cs="Times New Roman"/>
                      <w:sz w:val="14"/>
                      <w:szCs w:val="14"/>
                      <w:lang w:val="en-GB" w:eastAsia="cs-CZ"/>
                    </w:rPr>
                    <w:t xml:space="preserve"> </w:t>
                  </w:r>
                </w:p>
              </w:tc>
            </w:tr>
            <w:tr>
              <w:tblPrEx>
                <w:tblW w:w="5000" w:type="pct"/>
                <w:tblCellMar>
                  <w:left w:w="0" w:type="dxa"/>
                  <w:right w:w="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3DFA" w:rsidRPr="00C67FEB" w:rsidP="0087579E">
                  <w:pPr>
                    <w:keepNext/>
                    <w:spacing w:after="0" w:line="240" w:lineRule="auto"/>
                    <w:rPr>
                      <w:rFonts w:ascii="Times New Roman" w:eastAsia="Times New Roman" w:hAnsi="Times New Roman" w:cs="Times New Roman"/>
                      <w:sz w:val="24"/>
                      <w:szCs w:val="24"/>
                      <w:lang w:val="en-GB" w:eastAsia="cs-CZ"/>
                    </w:rPr>
                  </w:pPr>
                </w:p>
              </w:tc>
              <w:tc>
                <w:tcPr>
                  <w:tcW w:w="2216"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013C1C"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13C1C">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3E0847"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 Please describe how big the problem is for you regarding requests for cooperation in </w:t>
                  </w:r>
                  <w:r w:rsidRPr="00C67FEB">
                    <w:rPr>
                      <w:rFonts w:ascii="Times New Roman" w:eastAsia="Times New Roman" w:hAnsi="Times New Roman" w:cs="Times New Roman"/>
                      <w:color w:val="FFFFFF"/>
                      <w:sz w:val="24"/>
                      <w:szCs w:val="24"/>
                      <w:lang w:val="en-GB" w:eastAsia="cs-CZ"/>
                    </w:rPr>
                    <w:t>a</w:t>
                  </w:r>
                  <w:r w:rsidRPr="00C67FEB">
                    <w:rPr>
                      <w:rFonts w:ascii="Times New Roman" w:eastAsia="Times New Roman" w:hAnsi="Times New Roman" w:cs="Times New Roman"/>
                      <w:color w:val="FFFFFF"/>
                      <w:sz w:val="24"/>
                      <w:szCs w:val="24"/>
                      <w:lang w:val="en-GB" w:eastAsia="cs-CZ"/>
                    </w:rPr>
                    <w:t xml:space="preserve"> execution proceedings? </w:t>
                  </w:r>
                </w:p>
                <w:p w:rsidR="003E0847"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2) Do you consider it appropriate to extend the existing cooperation through XML formats for the banking sector to other financial market entities? Or do you prefer a </w:t>
                  </w:r>
                  <w:r w:rsidRPr="00C67FEB">
                    <w:rPr>
                      <w:rFonts w:ascii="Times New Roman" w:eastAsia="Times New Roman" w:hAnsi="Times New Roman" w:cs="Times New Roman"/>
                      <w:color w:val="FFFFFF"/>
                      <w:sz w:val="24"/>
                      <w:szCs w:val="24"/>
                      <w:lang w:val="en-GB" w:eastAsia="cs-CZ"/>
                    </w:rPr>
                    <w:t xml:space="preserve">variant that would make the executor's duty to request cooperation only in electronic form? Or what other solution would you prefer? </w:t>
                  </w:r>
                </w:p>
                <w:p w:rsidR="003E0847"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3) Is the regulation of XML formats that applies to financial institutions (banks) appropriate for other financial market entities? If so, what data should the XML format contain for other financial market players? </w:t>
                  </w:r>
                </w:p>
                <w:p w:rsidR="003E0847"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4) Should the new regulation apply only to entities for which the Execution order uses the legal abbreviation of a financial institution? (</w:t>
                  </w:r>
                  <w:r w:rsidRPr="00C67FEB">
                    <w:rPr>
                      <w:rFonts w:ascii="Times New Roman" w:eastAsia="Times New Roman" w:hAnsi="Times New Roman" w:cs="Times New Roman"/>
                      <w:color w:val="FFFFFF"/>
                      <w:sz w:val="24"/>
                      <w:szCs w:val="24"/>
                      <w:lang w:val="en-GB" w:eastAsia="cs-CZ"/>
                    </w:rPr>
                    <w:t>insurance</w:t>
                  </w:r>
                  <w:r w:rsidRPr="00C67FEB">
                    <w:rPr>
                      <w:rFonts w:ascii="Times New Roman" w:eastAsia="Times New Roman" w:hAnsi="Times New Roman" w:cs="Times New Roman"/>
                      <w:color w:val="FFFFFF"/>
                      <w:sz w:val="24"/>
                      <w:szCs w:val="24"/>
                      <w:lang w:val="en-GB" w:eastAsia="cs-CZ"/>
                    </w:rPr>
                    <w:t xml:space="preserve"> companies, investment companies, investment funds, investment firms, pension companies, pension funds under special legislation, Financial Market Guarantee System). </w:t>
                  </w:r>
                </w:p>
                <w:p w:rsidR="003E0847"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5) Is it compulsory to use the existing ISB system provided by the Central Securities Depository (CSD) as a suitable solution for judicial enforcement? </w:t>
                  </w:r>
                </w:p>
                <w:p w:rsidR="003E0847"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6) In your opinion, are there problems with requests for cooperation even in cases that do not concern judicial execution (e.g. cooperation in judicial proceedings)? </w:t>
                  </w:r>
                </w:p>
                <w:p w:rsidR="00403DFA" w:rsidRPr="00C67FEB" w:rsidP="0087579E">
                  <w:pPr>
                    <w:keepNext/>
                    <w:spacing w:after="0" w:line="240" w:lineRule="auto"/>
                    <w:jc w:val="both"/>
                    <w:rPr>
                      <w:rFonts w:ascii="Times New Roman" w:eastAsia="Times New Roman" w:hAnsi="Times New Roman" w:cs="Times New Roman"/>
                      <w:color w:val="FFFFFF"/>
                      <w:sz w:val="24"/>
                      <w:szCs w:val="24"/>
                      <w:lang w:eastAsia="cs-CZ"/>
                    </w:rPr>
                  </w:pPr>
                  <w:r w:rsidRPr="00C67FEB">
                    <w:rPr>
                      <w:rFonts w:ascii="Times New Roman" w:eastAsia="Times New Roman" w:hAnsi="Times New Roman" w:cs="Times New Roman"/>
                      <w:color w:val="FFFFFF"/>
                      <w:sz w:val="24"/>
                      <w:szCs w:val="24"/>
                      <w:lang w:val="en-GB" w:eastAsia="cs-CZ"/>
                    </w:rPr>
                    <w:t>7) Are there any related problems?</w:t>
                  </w:r>
                  <w:r w:rsidRPr="00C67FEB">
                    <w:rPr>
                      <w:rFonts w:ascii="Times New Roman" w:eastAsia="Times New Roman" w:hAnsi="Times New Roman" w:cs="Times New Roman"/>
                      <w:color w:val="FFFFFF"/>
                      <w:sz w:val="24"/>
                      <w:szCs w:val="24"/>
                      <w:lang w:eastAsia="cs-CZ"/>
                    </w:rPr>
                    <w:t xml:space="preserve"> </w:t>
                  </w:r>
                </w:p>
              </w:tc>
            </w:tr>
          </w:tbl>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Results of the consultation</w:t>
            </w:r>
          </w:p>
          <w:p w:rsidR="00403DFA" w:rsidRPr="000F2F94" w:rsidP="0087579E">
            <w:pPr>
              <w:keepNext/>
              <w:spacing w:before="120" w:after="120" w:line="240" w:lineRule="auto"/>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u w:val="single"/>
                <w:lang w:val="en-GB" w:eastAsia="cs-CZ"/>
              </w:rPr>
              <w:t>In general:</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Czech National Bank supports standardization, which will lead to more efficient processes in processing requests for cooperation by state authorities. However, as the MF states in its consultation paper, consultation with the relevant state authorities is necessary. From the perspective of supervision of financial market entities, we have no comments on the </w:t>
            </w:r>
            <w:r w:rsidRPr="00C67FEB" w:rsidR="006549D2">
              <w:rPr>
                <w:rFonts w:ascii="Times New Roman" w:eastAsia="Times New Roman" w:hAnsi="Times New Roman" w:cs="Times New Roman"/>
                <w:i/>
                <w:iCs/>
                <w:sz w:val="24"/>
                <w:szCs w:val="24"/>
                <w:lang w:val="en-GB" w:eastAsia="cs-CZ"/>
              </w:rPr>
              <w:t>proposal.</w:t>
            </w:r>
          </w:p>
          <w:p w:rsidR="00403DFA" w:rsidRPr="000F2F94" w:rsidP="0087579E">
            <w:pPr>
              <w:keepNext/>
              <w:spacing w:before="120" w:after="120" w:line="240" w:lineRule="auto"/>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u w:val="single"/>
                <w:lang w:val="en-GB" w:eastAsia="cs-CZ"/>
              </w:rPr>
              <w:t>Ad 1:</w:t>
            </w:r>
          </w:p>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0F2F94">
              <w:rPr>
                <w:rFonts w:ascii="Times New Roman" w:eastAsia="Times New Roman" w:hAnsi="Times New Roman" w:cs="Times New Roman"/>
                <w:b/>
                <w:bCs/>
                <w:sz w:val="24"/>
                <w:szCs w:val="24"/>
                <w:lang w:val="en-GB" w:eastAsia="cs-CZ"/>
              </w:rPr>
              <w:t xml:space="preserve">Market </w:t>
            </w:r>
            <w:r w:rsidRPr="000F2F94" w:rsidR="006549D2">
              <w:rPr>
                <w:rFonts w:ascii="Times New Roman" w:eastAsia="Times New Roman" w:hAnsi="Times New Roman" w:cs="Times New Roman"/>
                <w:b/>
                <w:bCs/>
                <w:sz w:val="24"/>
                <w:szCs w:val="24"/>
                <w:lang w:val="en-GB" w:eastAsia="cs-CZ"/>
              </w:rPr>
              <w:t>a</w:t>
            </w:r>
            <w:r w:rsidRPr="000F2F94" w:rsidR="00413F41">
              <w:rPr>
                <w:rFonts w:ascii="Times New Roman" w:eastAsia="Times New Roman" w:hAnsi="Times New Roman" w:cs="Times New Roman"/>
                <w:b/>
                <w:bCs/>
                <w:sz w:val="24"/>
                <w:szCs w:val="24"/>
                <w:lang w:val="en-GB" w:eastAsia="cs-CZ"/>
              </w:rPr>
              <w:t>ssociation</w:t>
            </w:r>
            <w:r w:rsidRPr="000F2F94">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These applications significantly increase the administrative agenda of pension companies and burden their costs. Every year, we process around 230,000 calls in the sector, usually manually in 4 steps: sorting, registering, processing</w:t>
            </w:r>
            <w:r w:rsidRPr="00C67FEB" w:rsidR="006549D2">
              <w:rPr>
                <w:rFonts w:ascii="Times New Roman" w:eastAsia="Times New Roman" w:hAnsi="Times New Roman" w:cs="Times New Roman"/>
                <w:i/>
                <w:iCs/>
                <w:sz w:val="24"/>
                <w:szCs w:val="24"/>
                <w:lang w:val="en-GB" w:eastAsia="cs-CZ"/>
              </w:rPr>
              <w:t xml:space="preserve"> of a response</w:t>
            </w:r>
            <w:r w:rsidRPr="00C67FEB">
              <w:rPr>
                <w:rFonts w:ascii="Times New Roman" w:eastAsia="Times New Roman" w:hAnsi="Times New Roman" w:cs="Times New Roman"/>
                <w:i/>
                <w:iCs/>
                <w:sz w:val="24"/>
                <w:szCs w:val="24"/>
                <w:lang w:val="en-GB" w:eastAsia="cs-CZ"/>
              </w:rPr>
              <w:t xml:space="preserve"> and sending a response.</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 xml:space="preserve">Market </w:t>
            </w:r>
            <w:r w:rsidRPr="000F2F94" w:rsidR="006549D2">
              <w:rPr>
                <w:rFonts w:ascii="Times New Roman" w:eastAsia="Times New Roman" w:hAnsi="Times New Roman" w:cs="Times New Roman"/>
                <w:b/>
                <w:bCs/>
                <w:sz w:val="24"/>
                <w:szCs w:val="24"/>
                <w:lang w:val="en-GB" w:eastAsia="cs-CZ"/>
              </w:rPr>
              <w:t>a</w:t>
            </w:r>
            <w:r w:rsidRPr="000F2F94" w:rsidR="00413F41">
              <w:rPr>
                <w:rFonts w:ascii="Times New Roman" w:eastAsia="Times New Roman" w:hAnsi="Times New Roman" w:cs="Times New Roman"/>
                <w:b/>
                <w:bCs/>
                <w:sz w:val="24"/>
                <w:szCs w:val="24"/>
                <w:lang w:val="en-GB" w:eastAsia="cs-CZ"/>
              </w:rPr>
              <w:t>ssociation</w:t>
            </w:r>
            <w:r w:rsidRPr="000F2F94">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Larger credit unions are already using communication in .xml format. However, our smaller members do not have the .xml format implemented to date (one of our members is currently working on full implementation, the other is now considering it).</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 xml:space="preserve">Market </w:t>
            </w:r>
            <w:r w:rsidRPr="000F2F94" w:rsidR="006549D2">
              <w:rPr>
                <w:rFonts w:ascii="Times New Roman" w:eastAsia="Times New Roman" w:hAnsi="Times New Roman" w:cs="Times New Roman"/>
                <w:b/>
                <w:bCs/>
                <w:sz w:val="24"/>
                <w:szCs w:val="24"/>
                <w:lang w:val="en-GB" w:eastAsia="cs-CZ"/>
              </w:rPr>
              <w:t>a</w:t>
            </w:r>
            <w:r w:rsidRPr="000F2F94" w:rsidR="00413F41">
              <w:rPr>
                <w:rFonts w:ascii="Times New Roman" w:eastAsia="Times New Roman" w:hAnsi="Times New Roman" w:cs="Times New Roman"/>
                <w:b/>
                <w:bCs/>
                <w:sz w:val="24"/>
                <w:szCs w:val="24"/>
                <w:lang w:val="en-GB" w:eastAsia="cs-CZ"/>
              </w:rPr>
              <w:t>ssociation</w:t>
            </w:r>
            <w:r w:rsidRPr="000F2F94">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If the XML format is used by the </w:t>
            </w:r>
            <w:r w:rsidRPr="00C67FEB" w:rsidR="006549D2">
              <w:rPr>
                <w:rFonts w:ascii="Times New Roman" w:eastAsia="Times New Roman" w:hAnsi="Times New Roman" w:cs="Times New Roman"/>
                <w:i/>
                <w:iCs/>
                <w:sz w:val="24"/>
                <w:szCs w:val="24"/>
                <w:lang w:val="en-GB" w:eastAsia="cs-CZ"/>
              </w:rPr>
              <w:t>distrainer</w:t>
            </w:r>
            <w:r w:rsidRPr="00C67FEB">
              <w:rPr>
                <w:rFonts w:ascii="Times New Roman" w:eastAsia="Times New Roman" w:hAnsi="Times New Roman" w:cs="Times New Roman"/>
                <w:i/>
                <w:iCs/>
                <w:sz w:val="24"/>
                <w:szCs w:val="24"/>
                <w:lang w:val="en-GB" w:eastAsia="cs-CZ"/>
              </w:rPr>
              <w:t xml:space="preserve"> in accordance with the Act, banks have no problems. Unfortunately, despite the existence of legislation, some </w:t>
            </w:r>
            <w:r w:rsidRPr="00C67FEB" w:rsidR="006549D2">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still use a mere scan of a written document (PDF format), which brings increased laboriousness to banks. It is also clear from discussions within the CBA's working structures that, in the case of multiple concurrent executions, complicated situations lead to the</w:t>
            </w:r>
            <w:r w:rsidRPr="00C67FEB" w:rsidR="006549D2">
              <w:rPr>
                <w:rFonts w:ascii="Times New Roman" w:eastAsia="Times New Roman" w:hAnsi="Times New Roman" w:cs="Times New Roman"/>
                <w:i/>
                <w:iCs/>
                <w:sz w:val="24"/>
                <w:szCs w:val="24"/>
                <w:lang w:val="en-GB" w:eastAsia="cs-CZ"/>
              </w:rPr>
              <w:t xml:space="preserve"> problematic</w:t>
            </w:r>
            <w:r w:rsidRPr="00C67FEB">
              <w:rPr>
                <w:rFonts w:ascii="Times New Roman" w:eastAsia="Times New Roman" w:hAnsi="Times New Roman" w:cs="Times New Roman"/>
                <w:i/>
                <w:iCs/>
                <w:sz w:val="24"/>
                <w:szCs w:val="24"/>
                <w:lang w:val="en-GB" w:eastAsia="cs-CZ"/>
              </w:rPr>
              <w:t xml:space="preserve"> payment of subsistence in banks. In view of the Supreme Court's statement, the bank must allow payment at the client's request through all channels offered by the bank. These situations are solved by individual banks differently depending on technical possibilities.</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From the point of view of the CNB's activities as a “financial institution” and a financial institution (the operator of the central depository), requests for cooperation in judicial execution are not a major problem. The CNB handles about 100 to 150 XML requests for cooperation daily. The internal </w:t>
            </w:r>
            <w:r w:rsidRPr="00C67FEB">
              <w:rPr>
                <w:rFonts w:ascii="Times New Roman" w:eastAsia="Times New Roman" w:hAnsi="Times New Roman" w:cs="Times New Roman"/>
                <w:i/>
                <w:iCs/>
                <w:sz w:val="24"/>
                <w:szCs w:val="24"/>
                <w:lang w:val="en-GB" w:eastAsia="cs-CZ"/>
              </w:rPr>
              <w:t xml:space="preserve">information system ensures automated processing both in relation to cash accounts and accounts within the </w:t>
            </w:r>
            <w:r w:rsidRPr="00C67FEB" w:rsidR="006549D2">
              <w:rPr>
                <w:rFonts w:ascii="Times New Roman" w:eastAsia="Times New Roman" w:hAnsi="Times New Roman" w:cs="Times New Roman"/>
                <w:i/>
                <w:iCs/>
                <w:sz w:val="24"/>
                <w:szCs w:val="24"/>
                <w:lang w:val="en-GB" w:eastAsia="cs-CZ"/>
              </w:rPr>
              <w:t>central depository</w:t>
            </w:r>
            <w:r w:rsidRPr="00C67FEB">
              <w:rPr>
                <w:rFonts w:ascii="Times New Roman" w:eastAsia="Times New Roman" w:hAnsi="Times New Roman" w:cs="Times New Roman"/>
                <w:i/>
                <w:iCs/>
                <w:sz w:val="24"/>
                <w:szCs w:val="24"/>
                <w:lang w:val="en-GB" w:eastAsia="cs-CZ"/>
              </w:rPr>
              <w:t>.</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CSD</w:t>
            </w:r>
            <w:r w:rsidRPr="00C67FEB" w:rsidR="006549D2">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has a sophisticated system of providing information to public authorities</w:t>
            </w:r>
            <w:r w:rsidRPr="00C67FEB" w:rsidR="006549D2">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including </w:t>
            </w:r>
            <w:r w:rsidRPr="00C67FEB" w:rsidR="006549D2">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Requests are handled through the ISB system. All </w:t>
            </w:r>
            <w:r w:rsidRPr="00C67FEB" w:rsidR="006549D2">
              <w:rPr>
                <w:rFonts w:ascii="Times New Roman" w:eastAsia="Times New Roman" w:hAnsi="Times New Roman" w:cs="Times New Roman"/>
                <w:i/>
                <w:iCs/>
                <w:sz w:val="24"/>
                <w:szCs w:val="24"/>
                <w:lang w:val="en-GB" w:eastAsia="cs-CZ"/>
              </w:rPr>
              <w:t xml:space="preserve">public </w:t>
            </w:r>
            <w:r w:rsidRPr="00C67FEB" w:rsidR="006549D2">
              <w:rPr>
                <w:rFonts w:ascii="Times New Roman" w:eastAsia="Times New Roman" w:hAnsi="Times New Roman" w:cs="Times New Roman"/>
                <w:i/>
                <w:iCs/>
                <w:sz w:val="24"/>
                <w:szCs w:val="24"/>
                <w:lang w:val="en-GB" w:eastAsia="cs-CZ"/>
              </w:rPr>
              <w:t>authoritites</w:t>
            </w:r>
            <w:r w:rsidRPr="00C67FEB">
              <w:rPr>
                <w:rFonts w:ascii="Times New Roman" w:eastAsia="Times New Roman" w:hAnsi="Times New Roman" w:cs="Times New Roman"/>
                <w:i/>
                <w:iCs/>
                <w:sz w:val="24"/>
                <w:szCs w:val="24"/>
                <w:lang w:val="en-GB" w:eastAsia="cs-CZ"/>
              </w:rPr>
              <w:t xml:space="preserve"> that have signed a contract with the CSD</w:t>
            </w:r>
            <w:r w:rsidRPr="00C67FEB" w:rsidR="006549D2">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to use this system have access to this system. On January 25, 2012, a meeting was held with representatives of the Chamber of </w:t>
            </w:r>
            <w:r w:rsidRPr="00C67FEB" w:rsidR="006549D2">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on the possibility of using ISB by </w:t>
            </w:r>
            <w:r w:rsidRPr="00C67FEB" w:rsidR="006549D2">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where, among other things, discussed further steps, namely to find out the possibility of linking ISB with the register of seizure orders</w:t>
            </w:r>
            <w:r w:rsidRPr="00C67FEB" w:rsidR="00943BC8">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by the fact that the activity </w:t>
            </w:r>
            <w:r w:rsidRPr="00C67FEB" w:rsidR="00943BC8">
              <w:rPr>
                <w:rFonts w:ascii="Times New Roman" w:eastAsia="Times New Roman" w:hAnsi="Times New Roman" w:cs="Times New Roman"/>
                <w:i/>
                <w:iCs/>
                <w:sz w:val="24"/>
                <w:szCs w:val="24"/>
                <w:lang w:val="en-GB" w:eastAsia="cs-CZ"/>
              </w:rPr>
              <w:t>will come</w:t>
            </w:r>
            <w:r w:rsidRPr="00C67FEB">
              <w:rPr>
                <w:rFonts w:ascii="Times New Roman" w:eastAsia="Times New Roman" w:hAnsi="Times New Roman" w:cs="Times New Roman"/>
                <w:i/>
                <w:iCs/>
                <w:sz w:val="24"/>
                <w:szCs w:val="24"/>
                <w:lang w:val="en-GB" w:eastAsia="cs-CZ"/>
              </w:rPr>
              <w:t xml:space="preserve"> from the IT staff of the </w:t>
            </w:r>
            <w:r w:rsidRPr="00C67FEB" w:rsidR="00943BC8">
              <w:rPr>
                <w:rFonts w:ascii="Times New Roman" w:eastAsia="Times New Roman" w:hAnsi="Times New Roman" w:cs="Times New Roman"/>
                <w:i/>
                <w:iCs/>
                <w:sz w:val="24"/>
                <w:szCs w:val="24"/>
                <w:lang w:val="en-GB" w:eastAsia="cs-CZ"/>
              </w:rPr>
              <w:t xml:space="preserve">Chamber of </w:t>
            </w:r>
            <w:r w:rsidRPr="00C67FEB" w:rsidR="00943BC8">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Despite this arrangement, no further activity has taken place by the </w:t>
            </w:r>
            <w:r w:rsidRPr="00C67FEB" w:rsidR="00943BC8">
              <w:rPr>
                <w:rFonts w:ascii="Times New Roman" w:eastAsia="Times New Roman" w:hAnsi="Times New Roman" w:cs="Times New Roman"/>
                <w:i/>
                <w:iCs/>
                <w:sz w:val="24"/>
                <w:szCs w:val="24"/>
                <w:lang w:val="en-GB" w:eastAsia="cs-CZ"/>
              </w:rPr>
              <w:t xml:space="preserve">Chamber of </w:t>
            </w:r>
            <w:r w:rsidRPr="00C67FEB" w:rsidR="00943BC8">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w:t>
            </w:r>
            <w:r w:rsidRPr="00C67FEB" w:rsidR="00943BC8">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therefore use a written form or electronic completion of forms for individual requirements. This method is not user-friendly for any of the parties involved, as it unnecessarily time-consumes both </w:t>
            </w:r>
            <w:r w:rsidRPr="00C67FEB" w:rsidR="00943BC8">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and </w:t>
            </w:r>
            <w:r w:rsidRPr="00C67FEB" w:rsidR="00943BC8">
              <w:rPr>
                <w:rFonts w:ascii="Times New Roman" w:eastAsia="Times New Roman" w:hAnsi="Times New Roman" w:cs="Times New Roman"/>
                <w:i/>
                <w:iCs/>
                <w:sz w:val="24"/>
                <w:szCs w:val="24"/>
                <w:lang w:val="en-GB" w:eastAsia="cs-CZ"/>
              </w:rPr>
              <w:t>public authorities</w:t>
            </w:r>
            <w:r w:rsidRPr="00C67FEB">
              <w:rPr>
                <w:rFonts w:ascii="Times New Roman" w:eastAsia="Times New Roman" w:hAnsi="Times New Roman" w:cs="Times New Roman"/>
                <w:i/>
                <w:iCs/>
                <w:sz w:val="24"/>
                <w:szCs w:val="24"/>
                <w:lang w:val="en-GB" w:eastAsia="cs-CZ"/>
              </w:rPr>
              <w:t xml:space="preserve"> information staff.</w:t>
            </w:r>
            <w:r w:rsidR="0087579E">
              <w:rPr>
                <w:rFonts w:ascii="Times New Roman" w:eastAsia="Times New Roman" w:hAnsi="Times New Roman" w:cs="Times New Roman"/>
                <w:i/>
                <w:iCs/>
                <w:sz w:val="24"/>
                <w:szCs w:val="24"/>
                <w:lang w:val="en-GB" w:eastAsia="cs-CZ"/>
              </w:rPr>
              <w:t xml:space="preserve"> </w:t>
            </w:r>
          </w:p>
          <w:p w:rsidR="00403DFA" w:rsidRPr="000F2F94" w:rsidP="0087579E">
            <w:pPr>
              <w:keepNext/>
              <w:spacing w:before="120" w:after="120" w:line="240" w:lineRule="auto"/>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u w:val="single"/>
                <w:lang w:val="en-GB" w:eastAsia="cs-CZ"/>
              </w:rPr>
              <w:t>Ad 2:</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 xml:space="preserve">Market </w:t>
            </w:r>
            <w:r w:rsidRPr="000F2F94" w:rsidR="00DC7E1F">
              <w:rPr>
                <w:rFonts w:ascii="Times New Roman" w:eastAsia="Times New Roman" w:hAnsi="Times New Roman" w:cs="Times New Roman"/>
                <w:b/>
                <w:bCs/>
                <w:sz w:val="24"/>
                <w:szCs w:val="24"/>
                <w:lang w:val="en-GB" w:eastAsia="cs-CZ"/>
              </w:rPr>
              <w:t>a</w:t>
            </w:r>
            <w:r w:rsidRPr="000F2F94" w:rsidR="00413F41">
              <w:rPr>
                <w:rFonts w:ascii="Times New Roman" w:eastAsia="Times New Roman" w:hAnsi="Times New Roman" w:cs="Times New Roman"/>
                <w:b/>
                <w:bCs/>
                <w:sz w:val="24"/>
                <w:szCs w:val="24"/>
                <w:lang w:val="en-GB" w:eastAsia="cs-CZ"/>
              </w:rPr>
              <w:t>ssociation</w:t>
            </w:r>
            <w:r w:rsidRPr="000F2F94">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Even the electronic form is not completely cost-free for subjects providing cooperation, on the contrary, the costs of software development and updating are </w:t>
            </w:r>
            <w:r w:rsidRPr="00C67FEB" w:rsidR="00DC7E1F">
              <w:rPr>
                <w:rFonts w:ascii="Times New Roman" w:eastAsia="Times New Roman" w:hAnsi="Times New Roman" w:cs="Times New Roman"/>
                <w:i/>
                <w:iCs/>
                <w:sz w:val="24"/>
                <w:szCs w:val="24"/>
                <w:lang w:val="en-GB" w:eastAsia="cs-CZ"/>
              </w:rPr>
              <w:t>significant</w:t>
            </w:r>
            <w:r w:rsidRPr="00C67FEB">
              <w:rPr>
                <w:rFonts w:ascii="Times New Roman" w:eastAsia="Times New Roman" w:hAnsi="Times New Roman" w:cs="Times New Roman"/>
                <w:i/>
                <w:iCs/>
                <w:sz w:val="24"/>
                <w:szCs w:val="24"/>
                <w:lang w:val="en-GB" w:eastAsia="cs-CZ"/>
              </w:rPr>
              <w:t xml:space="preserve">. We therefore propose the following amendment to Section 34 (1) of the </w:t>
            </w:r>
            <w:r w:rsidRPr="00C67FEB" w:rsidR="00DC7E1F">
              <w:rPr>
                <w:rFonts w:ascii="Times New Roman" w:eastAsia="Times New Roman" w:hAnsi="Times New Roman" w:cs="Times New Roman"/>
                <w:i/>
                <w:iCs/>
                <w:sz w:val="24"/>
                <w:szCs w:val="24"/>
                <w:lang w:val="en-GB" w:eastAsia="cs-CZ"/>
              </w:rPr>
              <w:t>Execution Order</w:t>
            </w:r>
            <w:r w:rsidRPr="00C67FEB">
              <w:rPr>
                <w:rFonts w:ascii="Times New Roman" w:eastAsia="Times New Roman" w:hAnsi="Times New Roman" w:cs="Times New Roman"/>
                <w:i/>
                <w:iCs/>
                <w:sz w:val="24"/>
                <w:szCs w:val="24"/>
                <w:lang w:val="en-GB" w:eastAsia="cs-CZ"/>
              </w:rPr>
              <w:t xml:space="preserve"> as follows (amendment highlighted):</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'(1) For the purposes of enforcement proceedings, the </w:t>
            </w:r>
            <w:r w:rsidRPr="00C67FEB" w:rsidR="00DC7E1F">
              <w:rPr>
                <w:rFonts w:ascii="Times New Roman" w:eastAsia="Times New Roman" w:hAnsi="Times New Roman" w:cs="Times New Roman"/>
                <w:i/>
                <w:iCs/>
                <w:sz w:val="24"/>
                <w:szCs w:val="24"/>
                <w:lang w:val="en-GB" w:eastAsia="cs-CZ"/>
              </w:rPr>
              <w:t>distrainer</w:t>
            </w:r>
            <w:r w:rsidRPr="00C67FEB">
              <w:rPr>
                <w:rFonts w:ascii="Times New Roman" w:eastAsia="Times New Roman" w:hAnsi="Times New Roman" w:cs="Times New Roman"/>
                <w:i/>
                <w:iCs/>
                <w:sz w:val="24"/>
                <w:szCs w:val="24"/>
                <w:lang w:val="en-GB" w:eastAsia="cs-CZ"/>
              </w:rPr>
              <w:t xml:space="preserve"> may request the cooperation of a third party pursuant to Section 33 and they shall be obliged to provide it free of charge. The persons referred to in </w:t>
            </w:r>
            <w:r w:rsidRPr="00C67FEB" w:rsidR="00DC7E1F">
              <w:rPr>
                <w:rFonts w:ascii="Times New Roman" w:eastAsia="Times New Roman" w:hAnsi="Times New Roman" w:cs="Times New Roman"/>
                <w:i/>
                <w:iCs/>
                <w:sz w:val="24"/>
                <w:szCs w:val="24"/>
                <w:lang w:val="en-GB" w:eastAsia="cs-CZ"/>
              </w:rPr>
              <w:t>Section</w:t>
            </w:r>
            <w:r w:rsidRPr="00C67FEB">
              <w:rPr>
                <w:rFonts w:ascii="Times New Roman" w:eastAsia="Times New Roman" w:hAnsi="Times New Roman" w:cs="Times New Roman"/>
                <w:i/>
                <w:iCs/>
                <w:sz w:val="24"/>
                <w:szCs w:val="24"/>
                <w:lang w:val="en-GB" w:eastAsia="cs-CZ"/>
              </w:rPr>
              <w:t xml:space="preserve"> 33 </w:t>
            </w:r>
            <w:r w:rsidRPr="00C67FEB" w:rsidR="00DC7E1F">
              <w:rPr>
                <w:rFonts w:ascii="Times New Roman" w:eastAsia="Times New Roman" w:hAnsi="Times New Roman" w:cs="Times New Roman"/>
                <w:i/>
                <w:iCs/>
                <w:sz w:val="24"/>
                <w:szCs w:val="24"/>
                <w:lang w:val="en-GB" w:eastAsia="cs-CZ"/>
              </w:rPr>
              <w:t>(</w:t>
            </w:r>
            <w:r w:rsidR="00757542">
              <w:rPr>
                <w:rFonts w:ascii="Times New Roman" w:eastAsia="Times New Roman" w:hAnsi="Times New Roman" w:cs="Times New Roman"/>
                <w:i/>
                <w:iCs/>
                <w:sz w:val="24"/>
                <w:szCs w:val="24"/>
                <w:lang w:val="en-GB" w:eastAsia="cs-CZ"/>
              </w:rPr>
              <w:t>4</w:t>
            </w:r>
            <w:r w:rsidRPr="00C67FEB" w:rsidR="00DC7E1F">
              <w:rPr>
                <w:rFonts w:ascii="Times New Roman" w:eastAsia="Times New Roman" w:hAnsi="Times New Roman" w:cs="Times New Roman"/>
                <w:i/>
                <w:iCs/>
                <w:sz w:val="24"/>
                <w:szCs w:val="24"/>
                <w:lang w:val="en-GB" w:eastAsia="cs-CZ"/>
              </w:rPr>
              <w:t>) to (</w:t>
            </w:r>
            <w:r w:rsidR="00757542">
              <w:rPr>
                <w:rFonts w:ascii="Times New Roman" w:eastAsia="Times New Roman" w:hAnsi="Times New Roman" w:cs="Times New Roman"/>
                <w:i/>
                <w:iCs/>
                <w:sz w:val="24"/>
                <w:szCs w:val="24"/>
                <w:lang w:val="en-GB" w:eastAsia="cs-CZ"/>
              </w:rPr>
              <w:t>9</w:t>
            </w:r>
            <w:r w:rsidRPr="00C67FEB" w:rsidR="00DC7E1F">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and commodity markets, the regulated market, central depository and other entities entitled to keep records of investment instruments have in providing information the right to reimbursement of reasonable cash expenses, unless special legislation</w:t>
            </w:r>
            <w:r w:rsidRPr="00C67FEB">
              <w:rPr>
                <w:rFonts w:ascii="Times New Roman" w:eastAsia="Times New Roman" w:hAnsi="Times New Roman" w:cs="Times New Roman"/>
                <w:i/>
                <w:iCs/>
                <w:sz w:val="16"/>
                <w:szCs w:val="16"/>
                <w:vertAlign w:val="superscript"/>
                <w:lang w:val="en-GB" w:eastAsia="cs-CZ"/>
              </w:rPr>
              <w:t xml:space="preserve">33) </w:t>
            </w:r>
            <w:r w:rsidRPr="00C67FEB" w:rsidR="00DC7E1F">
              <w:rPr>
                <w:rFonts w:ascii="Times New Roman" w:eastAsia="Times New Roman" w:hAnsi="Times New Roman" w:cs="Times New Roman"/>
                <w:i/>
                <w:iCs/>
                <w:sz w:val="24"/>
                <w:szCs w:val="24"/>
                <w:lang w:val="en-GB" w:eastAsia="cs-CZ"/>
              </w:rPr>
              <w:t xml:space="preserve">states </w:t>
            </w:r>
            <w:r w:rsidRPr="00C67FEB">
              <w:rPr>
                <w:rFonts w:ascii="Times New Roman" w:eastAsia="Times New Roman" w:hAnsi="Times New Roman" w:cs="Times New Roman"/>
                <w:i/>
                <w:iCs/>
                <w:sz w:val="24"/>
                <w:szCs w:val="24"/>
                <w:lang w:val="en-GB" w:eastAsia="cs-CZ"/>
              </w:rPr>
              <w:t>their the right to reimbursement of costs incurred.</w:t>
            </w:r>
          </w:p>
          <w:p w:rsidR="00DC7E1F"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16"/>
                <w:szCs w:val="16"/>
                <w:vertAlign w:val="superscript"/>
                <w:lang w:val="en-GB" w:eastAsia="cs-CZ"/>
              </w:rPr>
              <w:t xml:space="preserve">33) </w:t>
            </w:r>
            <w:r w:rsidRPr="00C67FEB">
              <w:rPr>
                <w:rFonts w:ascii="Times New Roman" w:eastAsia="Times New Roman" w:hAnsi="Times New Roman" w:cs="Times New Roman"/>
                <w:i/>
                <w:iCs/>
                <w:sz w:val="24"/>
                <w:szCs w:val="24"/>
                <w:lang w:val="en-GB" w:eastAsia="cs-CZ"/>
              </w:rPr>
              <w:t xml:space="preserve">Section 115 (5) of </w:t>
            </w:r>
            <w:r w:rsidRPr="00C67FEB">
              <w:rPr>
                <w:rFonts w:ascii="Times New Roman" w:eastAsia="Times New Roman" w:hAnsi="Times New Roman" w:cs="Times New Roman"/>
                <w:i/>
                <w:iCs/>
                <w:sz w:val="24"/>
                <w:szCs w:val="24"/>
                <w:lang w:val="en-GB" w:eastAsia="cs-CZ"/>
              </w:rPr>
              <w:t>Act No. 256/2004 Coll., on Capital Market Business, as amended</w:t>
            </w:r>
            <w:r w:rsidRPr="00C67FEB">
              <w:rPr>
                <w:rFonts w:ascii="Times New Roman" w:eastAsia="Times New Roman" w:hAnsi="Times New Roman" w:cs="Times New Roman"/>
                <w:sz w:val="24"/>
                <w:szCs w:val="24"/>
                <w:lang w:val="en-GB" w:eastAsia="cs-CZ"/>
              </w:rPr>
              <w:t>”</w:t>
            </w:r>
          </w:p>
          <w:p w:rsidR="00403DFA" w:rsidRPr="000F2F9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0F2F94">
              <w:rPr>
                <w:rFonts w:ascii="Times New Roman" w:eastAsia="Times New Roman" w:hAnsi="Times New Roman" w:cs="Times New Roman"/>
                <w:b/>
                <w:bCs/>
                <w:sz w:val="24"/>
                <w:szCs w:val="24"/>
                <w:lang w:val="en-GB" w:eastAsia="cs-CZ"/>
              </w:rPr>
              <w:t xml:space="preserve">Market </w:t>
            </w:r>
            <w:r w:rsidRPr="000F2F94" w:rsidR="00DC7E1F">
              <w:rPr>
                <w:rFonts w:ascii="Times New Roman" w:eastAsia="Times New Roman" w:hAnsi="Times New Roman" w:cs="Times New Roman"/>
                <w:b/>
                <w:bCs/>
                <w:sz w:val="24"/>
                <w:szCs w:val="24"/>
                <w:lang w:val="en-GB" w:eastAsia="cs-CZ"/>
              </w:rPr>
              <w:t>a</w:t>
            </w:r>
            <w:r w:rsidRPr="000F2F94" w:rsidR="00413F41">
              <w:rPr>
                <w:rFonts w:ascii="Times New Roman" w:eastAsia="Times New Roman" w:hAnsi="Times New Roman" w:cs="Times New Roman"/>
                <w:b/>
                <w:bCs/>
                <w:sz w:val="24"/>
                <w:szCs w:val="24"/>
                <w:lang w:val="en-GB" w:eastAsia="cs-CZ"/>
              </w:rPr>
              <w:t>ssociation</w:t>
            </w:r>
            <w:r w:rsidRPr="000F2F94">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strongly support the solution via XML format, as well as extending existing legislation on financial institutions to other financial institutions.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DC7E1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believe that the use of XML formats within credit unions is appropriate. However, at the time of its mandatory anchoring, relatively high costs of its implementation could arise on the part of small </w:t>
            </w:r>
            <w:r w:rsidRPr="00C67FEB" w:rsidR="00DC7E1F">
              <w:rPr>
                <w:rFonts w:ascii="Times New Roman" w:eastAsia="Times New Roman" w:hAnsi="Times New Roman" w:cs="Times New Roman"/>
                <w:i/>
                <w:iCs/>
                <w:sz w:val="24"/>
                <w:szCs w:val="24"/>
                <w:lang w:val="en-GB" w:eastAsia="cs-CZ"/>
              </w:rPr>
              <w:t>credit unions</w:t>
            </w:r>
            <w:r w:rsidRPr="00C67FEB">
              <w:rPr>
                <w:rFonts w:ascii="Times New Roman" w:eastAsia="Times New Roman" w:hAnsi="Times New Roman" w:cs="Times New Roman"/>
                <w:i/>
                <w:iCs/>
                <w:sz w:val="24"/>
                <w:szCs w:val="24"/>
                <w:lang w:val="en-GB" w:eastAsia="cs-CZ"/>
              </w:rPr>
              <w:t xml:space="preserve">. However, </w:t>
            </w:r>
            <w:r w:rsidRPr="00C67FEB" w:rsidR="00DC7E1F">
              <w:rPr>
                <w:rFonts w:ascii="Times New Roman" w:eastAsia="Times New Roman" w:hAnsi="Times New Roman" w:cs="Times New Roman"/>
                <w:i/>
                <w:iCs/>
                <w:sz w:val="24"/>
                <w:szCs w:val="24"/>
                <w:lang w:val="en-GB" w:eastAsia="cs-CZ"/>
              </w:rPr>
              <w:t>that</w:t>
            </w:r>
            <w:r w:rsidRPr="00C67FEB">
              <w:rPr>
                <w:rFonts w:ascii="Times New Roman" w:eastAsia="Times New Roman" w:hAnsi="Times New Roman" w:cs="Times New Roman"/>
                <w:i/>
                <w:iCs/>
                <w:sz w:val="24"/>
                <w:szCs w:val="24"/>
                <w:lang w:val="en-GB" w:eastAsia="cs-CZ"/>
              </w:rPr>
              <w:t xml:space="preserve"> can be expected to be implemented in the future. Now perhaps a variant of the mandatory electronic form of communication is possible.</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DC7E1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Banks clearly prefer the duty of the </w:t>
            </w:r>
            <w:r w:rsidRPr="00C67FEB" w:rsidR="00DC7E1F">
              <w:rPr>
                <w:rFonts w:ascii="Times New Roman" w:eastAsia="Times New Roman" w:hAnsi="Times New Roman" w:cs="Times New Roman"/>
                <w:i/>
                <w:iCs/>
                <w:sz w:val="24"/>
                <w:szCs w:val="24"/>
                <w:lang w:val="en-GB" w:eastAsia="cs-CZ"/>
              </w:rPr>
              <w:t>distrainer</w:t>
            </w:r>
            <w:r w:rsidRPr="00C67FEB">
              <w:rPr>
                <w:rFonts w:ascii="Times New Roman" w:eastAsia="Times New Roman" w:hAnsi="Times New Roman" w:cs="Times New Roman"/>
                <w:i/>
                <w:iCs/>
                <w:sz w:val="24"/>
                <w:szCs w:val="24"/>
                <w:lang w:val="en-GB" w:eastAsia="cs-CZ"/>
              </w:rPr>
              <w:t xml:space="preserve"> to request cooperation only in electronic form. The proposal applies to other financial institutions other than banks in the sense that the already compulsory automated system for the cooperation of banks could be extended to other financial institutions. CBA understands this effort, supports it, but also appeals that the existing interface in this context should not change in any way and thus not incur additional costs on the part of banks. The material mentions the calculation of the costs of processing responses, and the law talks about reimbursement of immediate costs, but the real fact is that banks respond to a massive number of inquiries completely free of charge (there is perhaps the only institution that is able to recover fees - C</w:t>
            </w:r>
            <w:r w:rsidRPr="00C67FEB" w:rsidR="00DC7E1F">
              <w:rPr>
                <w:rFonts w:ascii="Times New Roman" w:eastAsia="Times New Roman" w:hAnsi="Times New Roman" w:cs="Times New Roman"/>
                <w:i/>
                <w:iCs/>
                <w:sz w:val="24"/>
                <w:szCs w:val="24"/>
                <w:lang w:val="en-GB" w:eastAsia="cs-CZ"/>
              </w:rPr>
              <w:t>SD</w:t>
            </w:r>
            <w:r w:rsidRPr="00C67FEB">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prefer extending the existing synergies through XML formats for the banking sector to other financial market entities. We believe that standardization in this direction is a trend that is also taking place, for example, in financial or other reporting, especially according to European regulations.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At present, requests of </w:t>
            </w:r>
            <w:r w:rsidRPr="00C67FEB" w:rsidR="00DC7E1F">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for data from C</w:t>
            </w:r>
            <w:r w:rsidRPr="00C67FEB" w:rsidR="00DC7E1F">
              <w:rPr>
                <w:rFonts w:ascii="Times New Roman" w:eastAsia="Times New Roman" w:hAnsi="Times New Roman" w:cs="Times New Roman"/>
                <w:i/>
                <w:iCs/>
                <w:sz w:val="24"/>
                <w:szCs w:val="24"/>
                <w:lang w:val="en-GB" w:eastAsia="cs-CZ"/>
              </w:rPr>
              <w:t>SD</w:t>
            </w:r>
            <w:r w:rsidRPr="00C67FEB">
              <w:rPr>
                <w:rFonts w:ascii="Times New Roman" w:eastAsia="Times New Roman" w:hAnsi="Times New Roman" w:cs="Times New Roman"/>
                <w:i/>
                <w:iCs/>
                <w:sz w:val="24"/>
                <w:szCs w:val="24"/>
                <w:lang w:val="en-GB" w:eastAsia="cs-CZ"/>
              </w:rPr>
              <w:t xml:space="preserve">P records are minimal in relation to other </w:t>
            </w:r>
            <w:r w:rsidRPr="00C67FEB" w:rsidR="00DC7E1F">
              <w:rPr>
                <w:rFonts w:ascii="Times New Roman" w:eastAsia="Times New Roman" w:hAnsi="Times New Roman" w:cs="Times New Roman"/>
                <w:i/>
                <w:iCs/>
                <w:sz w:val="24"/>
                <w:szCs w:val="24"/>
                <w:lang w:val="en-GB" w:eastAsia="cs-CZ"/>
              </w:rPr>
              <w:t>public authorities’</w:t>
            </w:r>
            <w:r w:rsidRPr="00C67FEB">
              <w:rPr>
                <w:rFonts w:ascii="Times New Roman" w:eastAsia="Times New Roman" w:hAnsi="Times New Roman" w:cs="Times New Roman"/>
                <w:i/>
                <w:iCs/>
                <w:sz w:val="24"/>
                <w:szCs w:val="24"/>
                <w:lang w:val="en-GB" w:eastAsia="cs-CZ"/>
              </w:rPr>
              <w:t xml:space="preserve"> applicants, up to approximately 200 queries per year. Despite this fact, the CSD</w:t>
            </w:r>
            <w:r w:rsidRPr="00C67FEB" w:rsidR="00DC7E1F">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would prefer to join the ISB system in their case, which would also bring an economic advantage for the CSD</w:t>
            </w:r>
            <w:r w:rsidRPr="00C67FEB" w:rsidR="00DC7E1F">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w:t>
            </w:r>
            <w:r w:rsidR="0087579E">
              <w:rPr>
                <w:rFonts w:ascii="Times New Roman" w:eastAsia="Times New Roman" w:hAnsi="Times New Roman" w:cs="Times New Roman"/>
                <w:i/>
                <w:iCs/>
                <w:sz w:val="24"/>
                <w:szCs w:val="24"/>
                <w:lang w:val="en-GB" w:eastAsia="cs-CZ"/>
              </w:rPr>
              <w:t xml:space="preserve"> </w:t>
            </w:r>
          </w:p>
          <w:p w:rsidR="00403DFA" w:rsidRPr="00757542" w:rsidP="0087579E">
            <w:pPr>
              <w:keepNext/>
              <w:spacing w:before="120" w:after="120" w:line="240" w:lineRule="auto"/>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3:</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DC7E1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it is a suitable adjustment. Since 2016, there has been a proposal for a detailed description of electronic communication within the pension companies sector, which describes a proposal for extending the documents sent to pension companies by </w:t>
            </w:r>
            <w:r w:rsidRPr="00C67FEB" w:rsidR="008F6F4A">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by a descriptive XML file, which was prepared together with the external project support department of the </w:t>
            </w:r>
            <w:r w:rsidRPr="00C67FEB" w:rsidR="008F6F4A">
              <w:rPr>
                <w:rFonts w:ascii="Times New Roman" w:eastAsia="Times New Roman" w:hAnsi="Times New Roman" w:cs="Times New Roman"/>
                <w:i/>
                <w:iCs/>
                <w:sz w:val="24"/>
                <w:szCs w:val="24"/>
                <w:lang w:val="en-GB" w:eastAsia="cs-CZ"/>
              </w:rPr>
              <w:t xml:space="preserve">Chamber of </w:t>
            </w:r>
            <w:r w:rsidRPr="00C67FEB" w:rsidR="008F6F4A">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However, the final statement of the Chamber of </w:t>
            </w:r>
            <w:r w:rsidRPr="00C67FEB" w:rsidR="008F6F4A">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is still missing, nor has it been possible to implement it on a voluntary basis.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DC7E1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believe that the use of XML formats within credit unions is appropriate. However, at the time of its mandatory anchoring, relatively high costs of its implementation could arise on the part of small </w:t>
            </w:r>
            <w:r w:rsidRPr="00C67FEB" w:rsidR="008F6F4A">
              <w:rPr>
                <w:rFonts w:ascii="Times New Roman" w:eastAsia="Times New Roman" w:hAnsi="Times New Roman" w:cs="Times New Roman"/>
                <w:i/>
                <w:iCs/>
                <w:sz w:val="24"/>
                <w:szCs w:val="24"/>
                <w:lang w:val="en-GB" w:eastAsia="cs-CZ"/>
              </w:rPr>
              <w:t>credit unions</w:t>
            </w:r>
            <w:r w:rsidRPr="00C67FEB">
              <w:rPr>
                <w:rFonts w:ascii="Times New Roman" w:eastAsia="Times New Roman" w:hAnsi="Times New Roman" w:cs="Times New Roman"/>
                <w:i/>
                <w:iCs/>
                <w:sz w:val="24"/>
                <w:szCs w:val="24"/>
                <w:lang w:val="en-GB" w:eastAsia="cs-CZ"/>
              </w:rPr>
              <w:t xml:space="preserve">. However, </w:t>
            </w:r>
            <w:r w:rsidRPr="00C67FEB" w:rsidR="008F6F4A">
              <w:rPr>
                <w:rFonts w:ascii="Times New Roman" w:eastAsia="Times New Roman" w:hAnsi="Times New Roman" w:cs="Times New Roman"/>
                <w:i/>
                <w:iCs/>
                <w:sz w:val="24"/>
                <w:szCs w:val="24"/>
                <w:lang w:val="en-GB" w:eastAsia="cs-CZ"/>
              </w:rPr>
              <w:t>that</w:t>
            </w:r>
            <w:r w:rsidRPr="00C67FEB">
              <w:rPr>
                <w:rFonts w:ascii="Times New Roman" w:eastAsia="Times New Roman" w:hAnsi="Times New Roman" w:cs="Times New Roman"/>
                <w:i/>
                <w:iCs/>
                <w:sz w:val="24"/>
                <w:szCs w:val="24"/>
                <w:lang w:val="en-GB" w:eastAsia="cs-CZ"/>
              </w:rPr>
              <w:t xml:space="preserve"> can be expected to be implemented in the future. Now perhaps a variant of the mandatory electronic form of communication is possible.</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DC7E1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the case of coexistence of paper (PDF format) and electronic (XML format) versions of relevant documents (call for cooperation, execution order, etc.), it is necessary to legally establish the responsibility of the person issuing the document that the content of both types of documents in practice</w:t>
            </w:r>
            <w:r w:rsidRPr="00C67FEB" w:rsidR="008F6F4A">
              <w:rPr>
                <w:rFonts w:ascii="Times New Roman" w:eastAsia="Times New Roman" w:hAnsi="Times New Roman" w:cs="Times New Roman"/>
                <w:i/>
                <w:iCs/>
                <w:sz w:val="24"/>
                <w:szCs w:val="24"/>
                <w:lang w:val="en-GB" w:eastAsia="cs-CZ"/>
              </w:rPr>
              <w:t xml:space="preserve"> is identical</w:t>
            </w:r>
            <w:r w:rsidRPr="00C67FEB">
              <w:rPr>
                <w:rFonts w:ascii="Times New Roman" w:eastAsia="Times New Roman" w:hAnsi="Times New Roman" w:cs="Times New Roman"/>
                <w:i/>
                <w:iCs/>
                <w:sz w:val="24"/>
                <w:szCs w:val="24"/>
                <w:lang w:val="en-GB" w:eastAsia="cs-CZ"/>
              </w:rPr>
              <w:t>, there have been cases where the PDF version contained data other than the XML version). CBA has issued a standard for its members, which in addition to the existing decree of the Ministry of Justice contains some other data. Recent changes also concern the possibility of extending the exchange of data in the existing XML format with other authorities (</w:t>
            </w:r>
            <w:r w:rsidRPr="00C67FEB" w:rsidR="008F6F4A">
              <w:rPr>
                <w:rFonts w:ascii="Times New Roman" w:eastAsia="Times New Roman" w:hAnsi="Times New Roman" w:cs="Times New Roman"/>
                <w:i/>
                <w:iCs/>
                <w:sz w:val="24"/>
                <w:szCs w:val="24"/>
                <w:lang w:val="en-GB" w:eastAsia="cs-CZ"/>
              </w:rPr>
              <w:t>issuers</w:t>
            </w:r>
            <w:r w:rsidRPr="00C67FEB">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consider the legal regulation of XML formats, which applies to financial institutions, also suitable for other financial market entities. </w:t>
            </w:r>
            <w:r w:rsidRPr="00C67FEB" w:rsidR="008F6F4A">
              <w:rPr>
                <w:rFonts w:ascii="Times New Roman" w:eastAsia="Times New Roman" w:hAnsi="Times New Roman" w:cs="Times New Roman"/>
                <w:i/>
                <w:iCs/>
                <w:sz w:val="24"/>
                <w:szCs w:val="24"/>
                <w:lang w:val="en-GB" w:eastAsia="cs-CZ"/>
              </w:rPr>
              <w:t>Particular</w:t>
            </w:r>
            <w:r w:rsidRPr="00C67FEB">
              <w:rPr>
                <w:rFonts w:ascii="Times New Roman" w:eastAsia="Times New Roman" w:hAnsi="Times New Roman" w:cs="Times New Roman"/>
                <w:i/>
                <w:iCs/>
                <w:sz w:val="24"/>
                <w:szCs w:val="24"/>
                <w:lang w:val="en-GB" w:eastAsia="cs-CZ"/>
              </w:rPr>
              <w:t xml:space="preserve"> format should be discussed with </w:t>
            </w:r>
            <w:r w:rsidRPr="00C67FEB" w:rsidR="008F6F4A">
              <w:rPr>
                <w:rFonts w:ascii="Times New Roman" w:eastAsia="Times New Roman" w:hAnsi="Times New Roman" w:cs="Times New Roman"/>
                <w:i/>
                <w:iCs/>
                <w:sz w:val="24"/>
                <w:szCs w:val="24"/>
                <w:lang w:val="en-GB" w:eastAsia="cs-CZ"/>
              </w:rPr>
              <w:t>stakeholders.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activities of financial market players are diverse and broad. For this reason, we believe that it would be necessary to create several different input sentences in XML format, according to the specifics and scope of work of these entities. Due to the specifics of C</w:t>
            </w:r>
            <w:r w:rsidRPr="00C67FEB" w:rsidR="008F6F4A">
              <w:rPr>
                <w:rFonts w:ascii="Times New Roman" w:eastAsia="Times New Roman" w:hAnsi="Times New Roman" w:cs="Times New Roman"/>
                <w:i/>
                <w:iCs/>
                <w:sz w:val="24"/>
                <w:szCs w:val="24"/>
                <w:lang w:val="en-GB" w:eastAsia="cs-CZ"/>
              </w:rPr>
              <w:t>SD</w:t>
            </w:r>
            <w:r w:rsidRPr="00C67FEB">
              <w:rPr>
                <w:rFonts w:ascii="Times New Roman" w:eastAsia="Times New Roman" w:hAnsi="Times New Roman" w:cs="Times New Roman"/>
                <w:i/>
                <w:iCs/>
                <w:sz w:val="24"/>
                <w:szCs w:val="24"/>
                <w:lang w:val="en-GB" w:eastAsia="cs-CZ"/>
              </w:rPr>
              <w:t xml:space="preserve">P activities, the ISB system is fully sufficient in the area of ​​central records and related records of book-entry securities. In case if it was decided to create a unified XML format, then this would have to include all data, which currently includes input sentence for entering the data requirements for the registration of </w:t>
            </w:r>
            <w:r w:rsidRPr="00C67FEB" w:rsidR="008F6F4A">
              <w:rPr>
                <w:rFonts w:ascii="Times New Roman" w:eastAsia="Times New Roman" w:hAnsi="Times New Roman" w:cs="Times New Roman"/>
                <w:i/>
                <w:iCs/>
                <w:sz w:val="24"/>
                <w:szCs w:val="24"/>
                <w:lang w:val="en-GB" w:eastAsia="cs-CZ"/>
              </w:rPr>
              <w:t>book-entry</w:t>
            </w:r>
            <w:r w:rsidRPr="00C67FEB">
              <w:rPr>
                <w:rFonts w:ascii="Times New Roman" w:eastAsia="Times New Roman" w:hAnsi="Times New Roman" w:cs="Times New Roman"/>
                <w:i/>
                <w:iCs/>
                <w:sz w:val="24"/>
                <w:szCs w:val="24"/>
                <w:lang w:val="en-GB" w:eastAsia="cs-CZ"/>
              </w:rPr>
              <w:t xml:space="preserve"> securities by </w:t>
            </w:r>
            <w:r w:rsidRPr="00C67FEB" w:rsidR="008F6F4A">
              <w:rPr>
                <w:rFonts w:ascii="Times New Roman" w:eastAsia="Times New Roman" w:hAnsi="Times New Roman" w:cs="Times New Roman"/>
                <w:i/>
                <w:iCs/>
                <w:sz w:val="24"/>
                <w:szCs w:val="24"/>
                <w:lang w:val="en-GB" w:eastAsia="cs-CZ"/>
              </w:rPr>
              <w:t>ISB.</w:t>
            </w:r>
            <w:r w:rsidR="0087579E">
              <w:rPr>
                <w:rFonts w:ascii="Times New Roman" w:eastAsia="Times New Roman" w:hAnsi="Times New Roman" w:cs="Times New Roman"/>
                <w:i/>
                <w:iCs/>
                <w:sz w:val="24"/>
                <w:szCs w:val="24"/>
                <w:lang w:val="en-GB" w:eastAsia="cs-CZ"/>
              </w:rPr>
              <w:t xml:space="preserve"> </w:t>
            </w:r>
          </w:p>
          <w:p w:rsidR="00403DFA" w:rsidRPr="00757542" w:rsidP="0087579E">
            <w:pPr>
              <w:keepNext/>
              <w:spacing w:before="120" w:after="120" w:line="240" w:lineRule="auto"/>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4:</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F97517">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It would be useful to extend such arrangements to other entities such as tax authorities, </w:t>
            </w:r>
            <w:r w:rsidRPr="00C67FEB" w:rsidR="008F6F4A">
              <w:rPr>
                <w:rFonts w:ascii="Times New Roman" w:eastAsia="Times New Roman" w:hAnsi="Times New Roman" w:cs="Times New Roman"/>
                <w:i/>
                <w:iCs/>
                <w:sz w:val="24"/>
                <w:szCs w:val="24"/>
                <w:lang w:val="en-GB" w:eastAsia="cs-CZ"/>
              </w:rPr>
              <w:t>the Czech Social Security Administration</w:t>
            </w:r>
            <w:r w:rsidRPr="00C67FEB">
              <w:rPr>
                <w:rFonts w:ascii="Times New Roman" w:eastAsia="Times New Roman" w:hAnsi="Times New Roman" w:cs="Times New Roman"/>
                <w:i/>
                <w:iCs/>
                <w:sz w:val="24"/>
                <w:szCs w:val="24"/>
                <w:lang w:val="en-GB" w:eastAsia="cs-CZ"/>
              </w:rPr>
              <w:t xml:space="preserve">, city authorities, customs authorities, which also send a large number of calls for </w:t>
            </w:r>
            <w:r w:rsidRPr="00C67FEB" w:rsidR="00007614">
              <w:rPr>
                <w:rFonts w:ascii="Times New Roman" w:eastAsia="Times New Roman" w:hAnsi="Times New Roman" w:cs="Times New Roman"/>
                <w:i/>
                <w:iCs/>
                <w:sz w:val="24"/>
                <w:szCs w:val="24"/>
                <w:lang w:val="en-GB" w:eastAsia="cs-CZ"/>
              </w:rPr>
              <w:t>cooperation.</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F97517">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If you regulate it compulsorily, then apparently with this definition of entities (</w:t>
            </w:r>
            <w:r w:rsidRPr="00C67FEB" w:rsidR="008F6F4A">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including </w:t>
            </w:r>
            <w:r w:rsidRPr="00C67FEB" w:rsidR="008F6F4A">
              <w:rPr>
                <w:rFonts w:ascii="Times New Roman" w:eastAsia="Times New Roman" w:hAnsi="Times New Roman" w:cs="Times New Roman"/>
                <w:i/>
                <w:iCs/>
                <w:sz w:val="24"/>
                <w:szCs w:val="24"/>
                <w:lang w:val="en-GB" w:eastAsia="cs-CZ"/>
              </w:rPr>
              <w:t>credit unions</w:t>
            </w:r>
            <w:r w:rsidRPr="00C67FEB">
              <w:rPr>
                <w:rFonts w:ascii="Times New Roman" w:eastAsia="Times New Roman" w:hAnsi="Times New Roman" w:cs="Times New Roman"/>
                <w:i/>
                <w:iCs/>
                <w:sz w:val="24"/>
                <w:szCs w:val="24"/>
                <w:lang w:val="en-GB" w:eastAsia="cs-CZ"/>
              </w:rPr>
              <w: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F97517">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would like to remind you that there are currently many other issuers of cooperation calls - public administration bodies (</w:t>
            </w:r>
            <w:r w:rsidRPr="00C67FEB" w:rsidR="00007614">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social security administration, health insurance companies, police, courts) that communicate with banks very intensively but are not yet able to use XML query structures. It </w:t>
            </w:r>
            <w:r w:rsidRPr="00C67FEB" w:rsidR="00CC5C6F">
              <w:rPr>
                <w:rFonts w:ascii="Times New Roman" w:eastAsia="Times New Roman" w:hAnsi="Times New Roman" w:cs="Times New Roman"/>
                <w:i/>
                <w:iCs/>
                <w:sz w:val="24"/>
                <w:szCs w:val="24"/>
                <w:lang w:val="en-GB" w:eastAsia="cs-CZ"/>
              </w:rPr>
              <w:t>is</w:t>
            </w:r>
            <w:r w:rsidRPr="00C67FEB">
              <w:rPr>
                <w:rFonts w:ascii="Times New Roman" w:eastAsia="Times New Roman" w:hAnsi="Times New Roman" w:cs="Times New Roman"/>
                <w:i/>
                <w:iCs/>
                <w:sz w:val="24"/>
                <w:szCs w:val="24"/>
                <w:lang w:val="en-GB" w:eastAsia="cs-CZ"/>
              </w:rPr>
              <w:t xml:space="preserve"> therefore logical to consider a more complex automated call processing system and to adapt and expand it in order to reduce costs and increase efficiency on both </w:t>
            </w:r>
            <w:r w:rsidRPr="00C67FEB" w:rsidR="00007614">
              <w:rPr>
                <w:rFonts w:ascii="Times New Roman" w:eastAsia="Times New Roman" w:hAnsi="Times New Roman" w:cs="Times New Roman"/>
                <w:i/>
                <w:iCs/>
                <w:sz w:val="24"/>
                <w:szCs w:val="24"/>
                <w:lang w:val="en-GB" w:eastAsia="cs-CZ"/>
              </w:rPr>
              <w:t>sides.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we believe that the new regulation should apply to financial institutions within the meaning of the </w:t>
            </w:r>
            <w:r w:rsidRPr="00C67FEB" w:rsidR="00CC5C6F">
              <w:rPr>
                <w:rFonts w:ascii="Times New Roman" w:eastAsia="Times New Roman" w:hAnsi="Times New Roman" w:cs="Times New Roman"/>
                <w:i/>
                <w:iCs/>
                <w:sz w:val="24"/>
                <w:szCs w:val="24"/>
                <w:lang w:val="en-GB" w:eastAsia="cs-CZ"/>
              </w:rPr>
              <w:t>Execution</w:t>
            </w:r>
            <w:r w:rsidRPr="00C67FEB">
              <w:rPr>
                <w:rFonts w:ascii="Times New Roman" w:eastAsia="Times New Roman" w:hAnsi="Times New Roman" w:cs="Times New Roman"/>
                <w:i/>
                <w:iCs/>
                <w:sz w:val="24"/>
                <w:szCs w:val="24"/>
                <w:lang w:val="en-GB" w:eastAsia="cs-CZ"/>
              </w:rPr>
              <w:t xml:space="preserve"> Order. We believe that, in terms of the number of applications, this is a typical group of entities where standardization makes </w:t>
            </w:r>
            <w:r w:rsidRPr="00C67FEB" w:rsidR="00CC5C6F">
              <w:rPr>
                <w:rFonts w:ascii="Times New Roman" w:eastAsia="Times New Roman" w:hAnsi="Times New Roman" w:cs="Times New Roman"/>
                <w:i/>
                <w:iCs/>
                <w:sz w:val="24"/>
                <w:szCs w:val="24"/>
                <w:lang w:val="en-GB" w:eastAsia="cs-CZ"/>
              </w:rPr>
              <w:t>sense.</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CSD</w:t>
            </w:r>
            <w:r w:rsidRPr="00C67FEB" w:rsidR="00CC5C6F">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does not fall under </w:t>
            </w:r>
            <w:r w:rsidRPr="00C67FEB" w:rsidR="00CC5C6F">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financial institutions</w:t>
            </w:r>
            <w:r w:rsidRPr="00C67FEB" w:rsidR="00CC5C6F">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 xml:space="preserve"> or financial institutions pursuant to Section 33 (4) of the </w:t>
            </w:r>
            <w:r w:rsidRPr="00C67FEB" w:rsidR="00CC5C6F">
              <w:rPr>
                <w:rFonts w:ascii="Times New Roman" w:eastAsia="Times New Roman" w:hAnsi="Times New Roman" w:cs="Times New Roman"/>
                <w:i/>
                <w:iCs/>
                <w:sz w:val="24"/>
                <w:szCs w:val="24"/>
                <w:lang w:val="en-GB" w:eastAsia="cs-CZ"/>
              </w:rPr>
              <w:t>Execution</w:t>
            </w:r>
            <w:r w:rsidRPr="00C67FEB">
              <w:rPr>
                <w:rFonts w:ascii="Times New Roman" w:eastAsia="Times New Roman" w:hAnsi="Times New Roman" w:cs="Times New Roman"/>
                <w:i/>
                <w:iCs/>
                <w:sz w:val="24"/>
                <w:szCs w:val="24"/>
                <w:lang w:val="en-GB" w:eastAsia="cs-CZ"/>
              </w:rPr>
              <w:t xml:space="preserve"> </w:t>
            </w:r>
            <w:r w:rsidRPr="00C67FEB" w:rsidR="00CC5C6F">
              <w:rPr>
                <w:rFonts w:ascii="Times New Roman" w:eastAsia="Times New Roman" w:hAnsi="Times New Roman" w:cs="Times New Roman"/>
                <w:i/>
                <w:iCs/>
                <w:sz w:val="24"/>
                <w:szCs w:val="24"/>
                <w:lang w:val="en-GB" w:eastAsia="cs-CZ"/>
              </w:rPr>
              <w:t>Order</w:t>
            </w:r>
            <w:r w:rsidRPr="00C67FEB">
              <w:rPr>
                <w:rFonts w:ascii="Times New Roman" w:eastAsia="Times New Roman" w:hAnsi="Times New Roman" w:cs="Times New Roman"/>
                <w:i/>
                <w:iCs/>
                <w:sz w:val="24"/>
                <w:szCs w:val="24"/>
                <w:lang w:val="en-GB" w:eastAsia="cs-CZ"/>
              </w:rPr>
              <w:t xml:space="preserve">, but nevertheless believes that a system should be set up that will enable electronic filing and processing of requests not only by </w:t>
            </w:r>
            <w:r w:rsidRPr="00C67FEB" w:rsidR="00CC5C6F">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but also by other </w:t>
            </w:r>
            <w:r w:rsidRPr="00C67FEB" w:rsidR="00CC5C6F">
              <w:rPr>
                <w:rFonts w:ascii="Times New Roman" w:eastAsia="Times New Roman" w:hAnsi="Times New Roman" w:cs="Times New Roman"/>
                <w:i/>
                <w:iCs/>
                <w:sz w:val="24"/>
                <w:szCs w:val="24"/>
                <w:lang w:val="en-GB" w:eastAsia="cs-CZ"/>
              </w:rPr>
              <w:t>public authorities</w:t>
            </w:r>
            <w:r w:rsidRPr="00C67FEB">
              <w:rPr>
                <w:rFonts w:ascii="Times New Roman" w:eastAsia="Times New Roman" w:hAnsi="Times New Roman" w:cs="Times New Roman"/>
                <w:i/>
                <w:iCs/>
                <w:sz w:val="24"/>
                <w:szCs w:val="24"/>
                <w:lang w:val="en-GB" w:eastAsia="cs-CZ"/>
              </w:rPr>
              <w:t>. C</w:t>
            </w:r>
            <w:r w:rsidRPr="00C67FEB" w:rsidR="00CC5C6F">
              <w:rPr>
                <w:rFonts w:ascii="Times New Roman" w:eastAsia="Times New Roman" w:hAnsi="Times New Roman" w:cs="Times New Roman"/>
                <w:i/>
                <w:iCs/>
                <w:sz w:val="24"/>
                <w:szCs w:val="24"/>
                <w:lang w:val="en-GB" w:eastAsia="cs-CZ"/>
              </w:rPr>
              <w:t>SD</w:t>
            </w:r>
            <w:r w:rsidRPr="00C67FEB">
              <w:rPr>
                <w:rFonts w:ascii="Times New Roman" w:eastAsia="Times New Roman" w:hAnsi="Times New Roman" w:cs="Times New Roman"/>
                <w:i/>
                <w:iCs/>
                <w:sz w:val="24"/>
                <w:szCs w:val="24"/>
                <w:lang w:val="en-GB" w:eastAsia="cs-CZ"/>
              </w:rPr>
              <w:t>P has its ISB system, which is fully functional and able to cover all requirements for data collection from C</w:t>
            </w:r>
            <w:r w:rsidRPr="00C67FEB" w:rsidR="00CC5C6F">
              <w:rPr>
                <w:rFonts w:ascii="Times New Roman" w:eastAsia="Times New Roman" w:hAnsi="Times New Roman" w:cs="Times New Roman"/>
                <w:i/>
                <w:iCs/>
                <w:sz w:val="24"/>
                <w:szCs w:val="24"/>
                <w:lang w:val="en-GB" w:eastAsia="cs-CZ"/>
              </w:rPr>
              <w:t>SD</w:t>
            </w:r>
            <w:r w:rsidRPr="00C67FEB">
              <w:rPr>
                <w:rFonts w:ascii="Times New Roman" w:eastAsia="Times New Roman" w:hAnsi="Times New Roman" w:cs="Times New Roman"/>
                <w:i/>
                <w:iCs/>
                <w:sz w:val="24"/>
                <w:szCs w:val="24"/>
                <w:lang w:val="en-GB" w:eastAsia="cs-CZ"/>
              </w:rPr>
              <w:t xml:space="preserve">P records. A certain disadvantage of the ISB system, which is removable, however, is that it currently does not allow batch processing of applications that would be desirable in the case of a large volume of requested entities. It is not excluded that some other entities affected by this legislation use their own systems for handling </w:t>
            </w:r>
            <w:r w:rsidRPr="00C67FEB" w:rsidR="00CC5C6F">
              <w:rPr>
                <w:rFonts w:ascii="Times New Roman" w:eastAsia="Times New Roman" w:hAnsi="Times New Roman" w:cs="Times New Roman"/>
                <w:i/>
                <w:iCs/>
                <w:sz w:val="24"/>
                <w:szCs w:val="24"/>
                <w:lang w:val="en-GB" w:eastAsia="cs-CZ"/>
              </w:rPr>
              <w:t xml:space="preserve">public </w:t>
            </w:r>
            <w:r w:rsidRPr="00C67FEB" w:rsidR="00757542">
              <w:rPr>
                <w:rFonts w:ascii="Times New Roman" w:eastAsia="Times New Roman" w:hAnsi="Times New Roman" w:cs="Times New Roman"/>
                <w:i/>
                <w:iCs/>
                <w:sz w:val="24"/>
                <w:szCs w:val="24"/>
                <w:lang w:val="en-GB" w:eastAsia="cs-CZ"/>
              </w:rPr>
              <w:t>authorities’</w:t>
            </w:r>
            <w:r w:rsidRPr="00C67FEB">
              <w:rPr>
                <w:rFonts w:ascii="Times New Roman" w:eastAsia="Times New Roman" w:hAnsi="Times New Roman" w:cs="Times New Roman"/>
                <w:i/>
                <w:iCs/>
                <w:sz w:val="24"/>
                <w:szCs w:val="24"/>
                <w:lang w:val="en-GB" w:eastAsia="cs-CZ"/>
              </w:rPr>
              <w:t xml:space="preserve"> requirements. If it were decided on a unified XML format, then there is a realistic assumption that an interface could be created that would allow connection to ISB and other individually used </w:t>
            </w:r>
            <w:r w:rsidRPr="00C67FEB" w:rsidR="00F97517">
              <w:rPr>
                <w:rFonts w:ascii="Times New Roman" w:eastAsia="Times New Roman" w:hAnsi="Times New Roman" w:cs="Times New Roman"/>
                <w:i/>
                <w:iCs/>
                <w:sz w:val="24"/>
                <w:szCs w:val="24"/>
                <w:lang w:val="en-GB" w:eastAsia="cs-CZ"/>
              </w:rPr>
              <w:t>systems.</w:t>
            </w:r>
            <w:r w:rsidR="0087579E">
              <w:rPr>
                <w:rFonts w:ascii="Times New Roman" w:eastAsia="Times New Roman" w:hAnsi="Times New Roman" w:cs="Times New Roman"/>
                <w:i/>
                <w:iCs/>
                <w:sz w:val="24"/>
                <w:szCs w:val="24"/>
                <w:lang w:val="en-GB" w:eastAsia="cs-CZ"/>
              </w:rPr>
              <w:t xml:space="preserve"> </w:t>
            </w:r>
          </w:p>
          <w:p w:rsidR="00403DFA" w:rsidRPr="00757542" w:rsidP="0087579E">
            <w:pPr>
              <w:keepNext/>
              <w:spacing w:before="120" w:after="120" w:line="240" w:lineRule="auto"/>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5:</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F97517">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use the ISB system in administrative </w:t>
            </w:r>
            <w:r w:rsidRPr="00C67FEB" w:rsidR="00F97517">
              <w:rPr>
                <w:rFonts w:ascii="Times New Roman" w:eastAsia="Times New Roman" w:hAnsi="Times New Roman" w:cs="Times New Roman"/>
                <w:i/>
                <w:iCs/>
                <w:sz w:val="24"/>
                <w:szCs w:val="24"/>
                <w:lang w:val="en-GB" w:eastAsia="cs-CZ"/>
              </w:rPr>
              <w:t>proceedings.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F97517">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w:t>
            </w:r>
            <w:r w:rsidRPr="00C67FEB" w:rsidR="00F97517">
              <w:rPr>
                <w:rFonts w:ascii="Times New Roman" w:eastAsia="Times New Roman" w:hAnsi="Times New Roman" w:cs="Times New Roman"/>
                <w:i/>
                <w:iCs/>
                <w:sz w:val="24"/>
                <w:szCs w:val="24"/>
                <w:lang w:val="en-GB" w:eastAsia="cs-CZ"/>
              </w:rPr>
              <w:t>o</w:t>
            </w:r>
            <w:r w:rsidRPr="00C67FEB">
              <w:rPr>
                <w:rFonts w:ascii="Times New Roman" w:eastAsia="Times New Roman" w:hAnsi="Times New Roman" w:cs="Times New Roman"/>
                <w:i/>
                <w:iCs/>
                <w:sz w:val="24"/>
                <w:szCs w:val="24"/>
                <w:lang w:val="en-GB" w:eastAsia="cs-CZ"/>
              </w:rPr>
              <w: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do not consider using the existing ISB system provided by the Central Securities Depository</w:t>
            </w:r>
            <w:r w:rsidRPr="00C67FEB" w:rsidR="00CC5C6F">
              <w:rPr>
                <w:rFonts w:ascii="Times New Roman" w:eastAsia="Times New Roman" w:hAnsi="Times New Roman" w:cs="Times New Roman"/>
                <w:i/>
                <w:iCs/>
                <w:sz w:val="24"/>
                <w:szCs w:val="24"/>
                <w:lang w:val="en-GB" w:eastAsia="cs-CZ"/>
              </w:rPr>
              <w:t xml:space="preserve"> </w:t>
            </w:r>
            <w:r w:rsidRPr="00C67FEB" w:rsidR="00757542">
              <w:rPr>
                <w:rFonts w:ascii="Times New Roman" w:eastAsia="Times New Roman" w:hAnsi="Times New Roman" w:cs="Times New Roman"/>
                <w:i/>
                <w:iCs/>
                <w:sz w:val="24"/>
                <w:szCs w:val="24"/>
                <w:lang w:val="en-GB" w:eastAsia="cs-CZ"/>
              </w:rPr>
              <w:t>Prague</w:t>
            </w:r>
            <w:r w:rsidRPr="00C67FEB">
              <w:rPr>
                <w:rFonts w:ascii="Times New Roman" w:eastAsia="Times New Roman" w:hAnsi="Times New Roman" w:cs="Times New Roman"/>
                <w:i/>
                <w:iCs/>
                <w:sz w:val="24"/>
                <w:szCs w:val="24"/>
                <w:lang w:val="en-GB" w:eastAsia="cs-CZ"/>
              </w:rPr>
              <w:t xml:space="preserve"> to be a suitable solution. The legislation should provide for a technology-neutral solution and standardize only the formats or methods of sending, not the designation of a specific entity through which a legal obligation would be </w:t>
            </w:r>
            <w:r w:rsidRPr="00C67FEB" w:rsidR="00F97517">
              <w:rPr>
                <w:rFonts w:ascii="Times New Roman" w:eastAsia="Times New Roman" w:hAnsi="Times New Roman" w:cs="Times New Roman"/>
                <w:i/>
                <w:iCs/>
                <w:sz w:val="24"/>
                <w:szCs w:val="24"/>
                <w:lang w:val="en-GB" w:eastAsia="cs-CZ"/>
              </w:rPr>
              <w:t>ensured.</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 ISB system, as used by the CSD</w:t>
            </w:r>
            <w:r w:rsidRPr="00C67FEB" w:rsidR="00CC5C6F">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is prepared for the needs of keeping records of </w:t>
            </w:r>
            <w:r w:rsidRPr="00C67FEB" w:rsidR="00CC5C6F">
              <w:rPr>
                <w:rFonts w:ascii="Times New Roman" w:eastAsia="Times New Roman" w:hAnsi="Times New Roman" w:cs="Times New Roman"/>
                <w:i/>
                <w:iCs/>
                <w:sz w:val="24"/>
                <w:szCs w:val="24"/>
                <w:lang w:val="en-GB" w:eastAsia="cs-CZ"/>
              </w:rPr>
              <w:t>book-entry</w:t>
            </w:r>
            <w:r w:rsidRPr="00C67FEB">
              <w:rPr>
                <w:rFonts w:ascii="Times New Roman" w:eastAsia="Times New Roman" w:hAnsi="Times New Roman" w:cs="Times New Roman"/>
                <w:i/>
                <w:iCs/>
                <w:sz w:val="24"/>
                <w:szCs w:val="24"/>
                <w:lang w:val="en-GB" w:eastAsia="cs-CZ"/>
              </w:rPr>
              <w:t xml:space="preserve"> securities. However, it is a flexible platform that can also be adapted for other </w:t>
            </w:r>
            <w:r w:rsidRPr="00C67FEB" w:rsidR="00CC5C6F">
              <w:rPr>
                <w:rFonts w:ascii="Times New Roman" w:eastAsia="Times New Roman" w:hAnsi="Times New Roman" w:cs="Times New Roman"/>
                <w:i/>
                <w:iCs/>
                <w:sz w:val="24"/>
                <w:szCs w:val="24"/>
                <w:lang w:val="en-GB" w:eastAsia="cs-CZ"/>
              </w:rPr>
              <w:t>subjects</w:t>
            </w:r>
            <w:r w:rsidRPr="00C67FEB">
              <w:rPr>
                <w:rFonts w:ascii="Times New Roman" w:eastAsia="Times New Roman" w:hAnsi="Times New Roman" w:cs="Times New Roman"/>
                <w:i/>
                <w:iCs/>
                <w:sz w:val="24"/>
                <w:szCs w:val="24"/>
                <w:lang w:val="en-GB" w:eastAsia="cs-CZ"/>
              </w:rPr>
              <w:t xml:space="preserve"> according to their type of activity and we are not opposed to this </w:t>
            </w:r>
            <w:r w:rsidRPr="00C67FEB" w:rsidR="00F97517">
              <w:rPr>
                <w:rFonts w:ascii="Times New Roman" w:eastAsia="Times New Roman" w:hAnsi="Times New Roman" w:cs="Times New Roman"/>
                <w:i/>
                <w:iCs/>
                <w:sz w:val="24"/>
                <w:szCs w:val="24"/>
                <w:lang w:val="en-GB" w:eastAsia="cs-CZ"/>
              </w:rPr>
              <w:t>discussion.</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757542" w:rsidP="0087579E">
            <w:pPr>
              <w:keepNext/>
              <w:spacing w:before="120" w:after="120" w:line="240" w:lineRule="auto"/>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6:</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C5C6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mostly in court proceedings, the court requests wider information than court executions, and to a large extent it is required to send copies of documents to the client's </w:t>
            </w:r>
            <w:r w:rsidRPr="00C67FEB" w:rsidR="00F97517">
              <w:rPr>
                <w:rFonts w:ascii="Times New Roman" w:eastAsia="Times New Roman" w:hAnsi="Times New Roman" w:cs="Times New Roman"/>
                <w:i/>
                <w:iCs/>
                <w:sz w:val="24"/>
                <w:szCs w:val="24"/>
                <w:lang w:val="en-GB" w:eastAsia="cs-CZ"/>
              </w:rPr>
              <w:t>contract.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C5C6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The problem exists with tax authorities that do not always use the possibility of obtaining information from the CE</w:t>
            </w:r>
            <w:r w:rsidRPr="00C67FEB" w:rsidR="00D36012">
              <w:rPr>
                <w:rFonts w:ascii="Times New Roman" w:eastAsia="Times New Roman" w:hAnsi="Times New Roman" w:cs="Times New Roman"/>
                <w:i/>
                <w:iCs/>
                <w:sz w:val="24"/>
                <w:szCs w:val="24"/>
                <w:lang w:val="en-GB" w:eastAsia="cs-CZ"/>
              </w:rPr>
              <w:t>Ú (central accounting of accounts)</w:t>
            </w:r>
            <w:r w:rsidRPr="00C67FEB">
              <w:rPr>
                <w:rFonts w:ascii="Times New Roman" w:eastAsia="Times New Roman" w:hAnsi="Times New Roman" w:cs="Times New Roman"/>
                <w:i/>
                <w:iCs/>
                <w:sz w:val="24"/>
                <w:szCs w:val="24"/>
                <w:lang w:val="en-GB" w:eastAsia="cs-CZ"/>
              </w:rPr>
              <w:t xml:space="preserve">. Another problematic subject is the Czech Social Security </w:t>
            </w:r>
            <w:r w:rsidRPr="00C67FEB" w:rsidR="00F97517">
              <w:rPr>
                <w:rFonts w:ascii="Times New Roman" w:eastAsia="Times New Roman" w:hAnsi="Times New Roman" w:cs="Times New Roman"/>
                <w:i/>
                <w:iCs/>
                <w:sz w:val="24"/>
                <w:szCs w:val="24"/>
                <w:lang w:val="en-GB" w:eastAsia="cs-CZ"/>
              </w:rPr>
              <w:t>Administration,</w:t>
            </w:r>
            <w:r w:rsidRPr="00C67FEB">
              <w:rPr>
                <w:rFonts w:ascii="Times New Roman" w:eastAsia="Times New Roman" w:hAnsi="Times New Roman" w:cs="Times New Roman"/>
                <w:i/>
                <w:iCs/>
                <w:sz w:val="24"/>
                <w:szCs w:val="24"/>
                <w:lang w:val="en-GB" w:eastAsia="cs-CZ"/>
              </w:rPr>
              <w:t xml:space="preserve"> which does not use the XML </w:t>
            </w:r>
            <w:r w:rsidRPr="00C67FEB" w:rsidR="00F97517">
              <w:rPr>
                <w:rFonts w:ascii="Times New Roman" w:eastAsia="Times New Roman" w:hAnsi="Times New Roman" w:cs="Times New Roman"/>
                <w:i/>
                <w:iCs/>
                <w:sz w:val="24"/>
                <w:szCs w:val="24"/>
                <w:lang w:val="en-GB" w:eastAsia="cs-CZ"/>
              </w:rPr>
              <w:t>format.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When providing the </w:t>
            </w:r>
            <w:r w:rsidRPr="00C67FEB" w:rsidR="00D36012">
              <w:rPr>
                <w:rFonts w:ascii="Times New Roman" w:eastAsia="Times New Roman" w:hAnsi="Times New Roman" w:cs="Times New Roman"/>
                <w:i/>
                <w:iCs/>
                <w:sz w:val="24"/>
                <w:szCs w:val="24"/>
                <w:lang w:val="en-GB" w:eastAsia="cs-CZ"/>
              </w:rPr>
              <w:t>public authorities with</w:t>
            </w:r>
            <w:r w:rsidRPr="00C67FEB">
              <w:rPr>
                <w:rFonts w:ascii="Times New Roman" w:eastAsia="Times New Roman" w:hAnsi="Times New Roman" w:cs="Times New Roman"/>
                <w:i/>
                <w:iCs/>
                <w:sz w:val="24"/>
                <w:szCs w:val="24"/>
                <w:lang w:val="en-GB" w:eastAsia="cs-CZ"/>
              </w:rPr>
              <w:t xml:space="preserve"> data, the CSD</w:t>
            </w:r>
            <w:r w:rsidRPr="00C67FEB" w:rsidR="00CC5C6F">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encounters problems of an administrative nature only; for example, the applicant has incorrectly filled in the form (typing errors, etc.). Therefore, these are not systemic </w:t>
            </w:r>
            <w:r w:rsidRPr="00C67FEB" w:rsidR="00F97517">
              <w:rPr>
                <w:rFonts w:ascii="Times New Roman" w:eastAsia="Times New Roman" w:hAnsi="Times New Roman" w:cs="Times New Roman"/>
                <w:i/>
                <w:iCs/>
                <w:sz w:val="24"/>
                <w:szCs w:val="24"/>
                <w:lang w:val="en-GB" w:eastAsia="cs-CZ"/>
              </w:rPr>
              <w:t>problems.</w:t>
            </w:r>
            <w:r w:rsidRPr="00C67FEB">
              <w:rPr>
                <w:rFonts w:ascii="Times New Roman" w:eastAsia="Times New Roman" w:hAnsi="Times New Roman" w:cs="Times New Roman"/>
                <w:i/>
                <w:iCs/>
                <w:sz w:val="24"/>
                <w:szCs w:val="24"/>
                <w:lang w:val="en-GB" w:eastAsia="cs-CZ"/>
              </w:rPr>
              <w:t> </w:t>
            </w:r>
          </w:p>
          <w:p w:rsidR="00403DFA" w:rsidRPr="00757542" w:rsidP="0087579E">
            <w:pPr>
              <w:keepNext/>
              <w:spacing w:before="120" w:after="120" w:line="240" w:lineRule="auto"/>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7:</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C5C6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Related implementation into internal information </w:t>
            </w:r>
            <w:r w:rsidRPr="00C67FEB" w:rsidR="00F97517">
              <w:rPr>
                <w:rFonts w:ascii="Times New Roman" w:eastAsia="Times New Roman" w:hAnsi="Times New Roman" w:cs="Times New Roman"/>
                <w:i/>
                <w:iCs/>
                <w:sz w:val="24"/>
                <w:szCs w:val="24"/>
                <w:lang w:val="en-GB" w:eastAsia="cs-CZ"/>
              </w:rPr>
              <w:t>systems.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C5C6F">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6</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See previous </w:t>
            </w:r>
            <w:r w:rsidRPr="00C67FEB" w:rsidR="00F97517">
              <w:rPr>
                <w:rFonts w:ascii="Times New Roman" w:eastAsia="Times New Roman" w:hAnsi="Times New Roman" w:cs="Times New Roman"/>
                <w:i/>
                <w:iCs/>
                <w:sz w:val="24"/>
                <w:szCs w:val="24"/>
                <w:lang w:val="en-GB" w:eastAsia="cs-CZ"/>
              </w:rPr>
              <w:t>answer.</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are not aware of the related </w:t>
            </w:r>
            <w:r w:rsidRPr="00C67FEB" w:rsidR="00F97517">
              <w:rPr>
                <w:rFonts w:ascii="Times New Roman" w:eastAsia="Times New Roman" w:hAnsi="Times New Roman" w:cs="Times New Roman"/>
                <w:i/>
                <w:iCs/>
                <w:sz w:val="24"/>
                <w:szCs w:val="24"/>
                <w:lang w:val="en-GB" w:eastAsia="cs-CZ"/>
              </w:rPr>
              <w:t>problems.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the opinion of the CSD</w:t>
            </w:r>
            <w:r w:rsidRPr="00C67FEB" w:rsidR="00CC5C6F">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 the biggest problem is the need to address the method of verifying the legitimacy of the inquiry by </w:t>
            </w:r>
            <w:r w:rsidRPr="00C67FEB" w:rsidR="00D36012">
              <w:rPr>
                <w:rFonts w:ascii="Times New Roman" w:eastAsia="Times New Roman" w:hAnsi="Times New Roman" w:cs="Times New Roman"/>
                <w:i/>
                <w:iCs/>
                <w:sz w:val="24"/>
                <w:szCs w:val="24"/>
                <w:lang w:val="en-GB" w:eastAsia="cs-CZ"/>
              </w:rPr>
              <w:t>distrainers</w:t>
            </w:r>
            <w:r w:rsidRPr="00C67FEB">
              <w:rPr>
                <w:rFonts w:ascii="Times New Roman" w:eastAsia="Times New Roman" w:hAnsi="Times New Roman" w:cs="Times New Roman"/>
                <w:i/>
                <w:iCs/>
                <w:sz w:val="24"/>
                <w:szCs w:val="24"/>
                <w:lang w:val="en-GB" w:eastAsia="cs-CZ"/>
              </w:rPr>
              <w:t xml:space="preserve">, for example by verifying the requirement of a specific </w:t>
            </w:r>
            <w:r w:rsidRPr="00C67FEB" w:rsidR="00D36012">
              <w:rPr>
                <w:rFonts w:ascii="Times New Roman" w:eastAsia="Times New Roman" w:hAnsi="Times New Roman" w:cs="Times New Roman"/>
                <w:i/>
                <w:iCs/>
                <w:sz w:val="24"/>
                <w:szCs w:val="24"/>
                <w:lang w:val="en-GB" w:eastAsia="cs-CZ"/>
              </w:rPr>
              <w:t>distrainer</w:t>
            </w:r>
            <w:r w:rsidRPr="00C67FEB">
              <w:rPr>
                <w:rFonts w:ascii="Times New Roman" w:eastAsia="Times New Roman" w:hAnsi="Times New Roman" w:cs="Times New Roman"/>
                <w:i/>
                <w:iCs/>
                <w:sz w:val="24"/>
                <w:szCs w:val="24"/>
                <w:lang w:val="en-GB" w:eastAsia="cs-CZ"/>
              </w:rPr>
              <w:t xml:space="preserve"> against the register of enforceable orders. It is also necessary to solve the following problems, as will be the case, for example, when the requesting entity sends an erroneously processed entry sentence, </w:t>
            </w:r>
            <w:r w:rsidRPr="00C67FEB" w:rsidR="00F97517">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in batch mode, whether the whole batch is not processed or only a specific erroneous entry sentence</w:t>
            </w:r>
            <w:r w:rsidRPr="00C67FEB" w:rsidR="00D36012">
              <w:rPr>
                <w:rFonts w:ascii="Times New Roman" w:eastAsia="Times New Roman" w:hAnsi="Times New Roman" w:cs="Times New Roman"/>
                <w:i/>
                <w:iCs/>
                <w:sz w:val="24"/>
                <w:szCs w:val="24"/>
                <w:lang w:val="en-GB" w:eastAsia="cs-CZ"/>
              </w:rPr>
              <w:t>, how to proceed when</w:t>
            </w:r>
            <w:r w:rsidRPr="00C67FEB">
              <w:rPr>
                <w:rFonts w:ascii="Times New Roman" w:eastAsia="Times New Roman" w:hAnsi="Times New Roman" w:cs="Times New Roman"/>
                <w:i/>
                <w:iCs/>
                <w:sz w:val="24"/>
                <w:szCs w:val="24"/>
                <w:lang w:val="en-GB" w:eastAsia="cs-CZ"/>
              </w:rPr>
              <w:t xml:space="preserve"> it does not demonstrate </w:t>
            </w:r>
            <w:r w:rsidRPr="00C67FEB" w:rsidR="00D36012">
              <w:rPr>
                <w:rFonts w:ascii="Times New Roman" w:eastAsia="Times New Roman" w:hAnsi="Times New Roman" w:cs="Times New Roman"/>
                <w:i/>
                <w:iCs/>
                <w:sz w:val="24"/>
                <w:szCs w:val="24"/>
                <w:lang w:val="en-GB" w:eastAsia="cs-CZ"/>
              </w:rPr>
              <w:t>the</w:t>
            </w:r>
            <w:r w:rsidRPr="00C67FEB">
              <w:rPr>
                <w:rFonts w:ascii="Times New Roman" w:eastAsia="Times New Roman" w:hAnsi="Times New Roman" w:cs="Times New Roman"/>
                <w:i/>
                <w:iCs/>
                <w:sz w:val="24"/>
                <w:szCs w:val="24"/>
                <w:lang w:val="en-GB" w:eastAsia="cs-CZ"/>
              </w:rPr>
              <w:t xml:space="preserve"> authority to obtain data for a particular entity and a number of other practical issues. Another problem is that, for some requesting entities, there is no real idea of ​​the amount of costs involved in providing information electronically. Their perception of cash or material costs is based on past times, when only postage, travel etc. were recognized as these. </w:t>
            </w:r>
            <w:r w:rsidRPr="00C67FEB" w:rsidR="00F97517">
              <w:rPr>
                <w:rFonts w:ascii="Times New Roman" w:eastAsia="Times New Roman" w:hAnsi="Times New Roman" w:cs="Times New Roman"/>
                <w:i/>
                <w:iCs/>
                <w:sz w:val="24"/>
                <w:szCs w:val="24"/>
                <w:lang w:val="en-GB" w:eastAsia="cs-CZ"/>
              </w:rPr>
              <w:t>However,</w:t>
            </w:r>
            <w:r w:rsidRPr="00C67FEB">
              <w:rPr>
                <w:rFonts w:ascii="Times New Roman" w:eastAsia="Times New Roman" w:hAnsi="Times New Roman" w:cs="Times New Roman"/>
                <w:i/>
                <w:iCs/>
                <w:sz w:val="24"/>
                <w:szCs w:val="24"/>
                <w:lang w:val="en-GB" w:eastAsia="cs-CZ"/>
              </w:rPr>
              <w:t xml:space="preserve"> in the time of IT technology, this view cannot be accepted. Creating suitable SW, its development with changing legislation, maintenance of systems, purchase of HW equipment brings considerable costs for users and therefore the costs stated in this material for service providers in the amount of CZK 10 are absolutely </w:t>
            </w:r>
            <w:r w:rsidRPr="00C67FEB" w:rsidR="00F97517">
              <w:rPr>
                <w:rFonts w:ascii="Times New Roman" w:eastAsia="Times New Roman" w:hAnsi="Times New Roman" w:cs="Times New Roman"/>
                <w:i/>
                <w:iCs/>
                <w:sz w:val="24"/>
                <w:szCs w:val="24"/>
                <w:lang w:val="en-GB" w:eastAsia="cs-CZ"/>
              </w:rPr>
              <w:t>unrealistic.</w:t>
            </w:r>
            <w:r w:rsidR="0087579E">
              <w:rPr>
                <w:rFonts w:ascii="Times New Roman" w:eastAsia="Times New Roman" w:hAnsi="Times New Roman" w:cs="Times New Roman"/>
                <w:sz w:val="24"/>
                <w:szCs w:val="24"/>
                <w:lang w:val="en-GB" w:eastAsia="cs-CZ"/>
              </w:rPr>
              <w:t xml:space="preserve"> </w:t>
            </w:r>
          </w:p>
          <w:p w:rsidR="00403DFA" w:rsidRPr="00757542" w:rsidP="0087579E">
            <w:pPr>
              <w:pStyle w:val="Heading1"/>
              <w:keepLines w:val="0"/>
              <w:jc w:val="center"/>
              <w:rPr>
                <w:rFonts w:ascii="Times New Roman" w:eastAsia="Times New Roman" w:hAnsi="Times New Roman" w:cs="Times New Roman"/>
                <w:b/>
                <w:bCs/>
                <w:sz w:val="24"/>
                <w:szCs w:val="24"/>
                <w:lang w:val="en-GB" w:eastAsia="cs-CZ"/>
              </w:rPr>
            </w:pPr>
            <w:bookmarkStart w:id="63" w:name="_Toc36479380"/>
            <w:bookmarkStart w:id="64" w:name="_Toc38555314"/>
            <w:r w:rsidRPr="00757542">
              <w:rPr>
                <w:rFonts w:ascii="Times New Roman" w:hAnsi="Times New Roman" w:cs="Times New Roman"/>
                <w:b/>
                <w:bCs/>
                <w:color w:val="000000" w:themeColor="text1"/>
                <w:sz w:val="24"/>
                <w:szCs w:val="24"/>
                <w:bdr w:val="single" w:sz="4" w:space="0" w:color="auto"/>
                <w:lang w:val="en-GB" w:eastAsia="cs-CZ"/>
              </w:rPr>
              <w:t>2</w:t>
            </w:r>
            <w:r w:rsidRPr="00757542" w:rsidR="001B5781">
              <w:rPr>
                <w:rFonts w:ascii="Times New Roman" w:hAnsi="Times New Roman" w:cs="Times New Roman"/>
                <w:b/>
                <w:bCs/>
                <w:color w:val="000000" w:themeColor="text1"/>
                <w:sz w:val="24"/>
                <w:szCs w:val="24"/>
                <w:bdr w:val="single" w:sz="4" w:space="0" w:color="auto"/>
                <w:lang w:val="en-GB" w:eastAsia="cs-CZ"/>
              </w:rPr>
              <w:t>.</w:t>
            </w:r>
            <w:r w:rsidRPr="00757542">
              <w:rPr>
                <w:rFonts w:ascii="Times New Roman" w:hAnsi="Times New Roman" w:cs="Times New Roman"/>
                <w:b/>
                <w:bCs/>
                <w:color w:val="000000" w:themeColor="text1"/>
                <w:sz w:val="24"/>
                <w:szCs w:val="24"/>
                <w:bdr w:val="single" w:sz="4" w:space="0" w:color="auto"/>
                <w:lang w:val="en-GB" w:eastAsia="cs-CZ"/>
              </w:rPr>
              <w:t xml:space="preserve">8 Support </w:t>
            </w:r>
            <w:r w:rsidRPr="00757542" w:rsidR="001B5781">
              <w:rPr>
                <w:rFonts w:ascii="Times New Roman" w:hAnsi="Times New Roman" w:cs="Times New Roman"/>
                <w:b/>
                <w:bCs/>
                <w:color w:val="000000" w:themeColor="text1"/>
                <w:sz w:val="24"/>
                <w:szCs w:val="24"/>
                <w:bdr w:val="single" w:sz="4" w:space="0" w:color="auto"/>
                <w:lang w:val="en-GB" w:eastAsia="cs-CZ"/>
              </w:rPr>
              <w:t xml:space="preserve">of </w:t>
            </w:r>
            <w:r w:rsidRPr="00757542">
              <w:rPr>
                <w:rFonts w:ascii="Times New Roman" w:hAnsi="Times New Roman" w:cs="Times New Roman"/>
                <w:b/>
                <w:bCs/>
                <w:color w:val="000000" w:themeColor="text1"/>
                <w:sz w:val="24"/>
                <w:szCs w:val="24"/>
                <w:bdr w:val="single" w:sz="4" w:space="0" w:color="auto"/>
                <w:lang w:val="en-GB" w:eastAsia="cs-CZ"/>
              </w:rPr>
              <w:t xml:space="preserve">trading </w:t>
            </w:r>
            <w:r w:rsidRPr="00757542" w:rsidR="001B5781">
              <w:rPr>
                <w:rFonts w:ascii="Times New Roman" w:hAnsi="Times New Roman" w:cs="Times New Roman"/>
                <w:b/>
                <w:bCs/>
                <w:color w:val="000000" w:themeColor="text1"/>
                <w:sz w:val="24"/>
                <w:szCs w:val="24"/>
                <w:bdr w:val="single" w:sz="4" w:space="0" w:color="auto"/>
                <w:lang w:val="en-GB" w:eastAsia="cs-CZ"/>
              </w:rPr>
              <w:t>with</w:t>
            </w:r>
            <w:r w:rsidRPr="00757542">
              <w:rPr>
                <w:rFonts w:ascii="Times New Roman" w:hAnsi="Times New Roman" w:cs="Times New Roman"/>
                <w:b/>
                <w:bCs/>
                <w:color w:val="000000" w:themeColor="text1"/>
                <w:sz w:val="24"/>
                <w:szCs w:val="24"/>
                <w:bdr w:val="single" w:sz="4" w:space="0" w:color="auto"/>
                <w:lang w:val="en-GB" w:eastAsia="cs-CZ"/>
              </w:rPr>
              <w:t xml:space="preserve"> corporate bonds and increase </w:t>
            </w:r>
            <w:r w:rsidRPr="00757542" w:rsidR="001B5781">
              <w:rPr>
                <w:rFonts w:ascii="Times New Roman" w:hAnsi="Times New Roman" w:cs="Times New Roman"/>
                <w:b/>
                <w:bCs/>
                <w:color w:val="000000" w:themeColor="text1"/>
                <w:sz w:val="24"/>
                <w:szCs w:val="24"/>
                <w:bdr w:val="single" w:sz="4" w:space="0" w:color="auto"/>
                <w:lang w:val="en-GB" w:eastAsia="cs-CZ"/>
              </w:rPr>
              <w:t xml:space="preserve">of </w:t>
            </w:r>
            <w:r w:rsidRPr="00757542">
              <w:rPr>
                <w:rFonts w:ascii="Times New Roman" w:hAnsi="Times New Roman" w:cs="Times New Roman"/>
                <w:b/>
                <w:bCs/>
                <w:color w:val="000000" w:themeColor="text1"/>
                <w:sz w:val="24"/>
                <w:szCs w:val="24"/>
                <w:bdr w:val="single" w:sz="4" w:space="0" w:color="auto"/>
                <w:lang w:val="en-GB" w:eastAsia="cs-CZ"/>
              </w:rPr>
              <w:t>protection of investors in bonds</w:t>
            </w:r>
            <w:bookmarkEnd w:id="63"/>
            <w:bookmarkEnd w:id="64"/>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development of the market for corporate bonds has occurred since August 2012 due to the amendment </w:t>
            </w:r>
            <w:r w:rsidRPr="00C67FEB" w:rsidR="001B5781">
              <w:rPr>
                <w:rFonts w:ascii="Times New Roman" w:eastAsia="Times New Roman" w:hAnsi="Times New Roman" w:cs="Times New Roman"/>
                <w:sz w:val="24"/>
                <w:szCs w:val="24"/>
                <w:lang w:val="en-GB" w:eastAsia="cs-CZ"/>
              </w:rPr>
              <w:t>of the Bonds Act</w:t>
            </w:r>
            <w:r w:rsidRPr="00C67FEB">
              <w:rPr>
                <w:rFonts w:ascii="Times New Roman" w:eastAsia="Times New Roman" w:hAnsi="Times New Roman" w:cs="Times New Roman"/>
                <w:sz w:val="24"/>
                <w:szCs w:val="24"/>
                <w:lang w:val="en-GB" w:eastAsia="cs-CZ"/>
              </w:rPr>
              <w:t xml:space="preserve"> when approval </w:t>
            </w:r>
            <w:r w:rsidRPr="00C67FEB" w:rsidR="001B5781">
              <w:rPr>
                <w:rFonts w:ascii="Times New Roman" w:eastAsia="Times New Roman" w:hAnsi="Times New Roman" w:cs="Times New Roman"/>
                <w:sz w:val="24"/>
                <w:szCs w:val="24"/>
                <w:lang w:val="en-GB" w:eastAsia="cs-CZ"/>
              </w:rPr>
              <w:t>of terms</w:t>
            </w:r>
            <w:r w:rsidRPr="00C67FEB">
              <w:rPr>
                <w:rFonts w:ascii="Times New Roman" w:eastAsia="Times New Roman" w:hAnsi="Times New Roman" w:cs="Times New Roman"/>
                <w:sz w:val="24"/>
                <w:szCs w:val="24"/>
                <w:lang w:val="en-GB" w:eastAsia="cs-CZ"/>
              </w:rPr>
              <w:t xml:space="preserve"> of issue </w:t>
            </w:r>
            <w:r w:rsidRPr="00C67FEB" w:rsidR="001B5781">
              <w:rPr>
                <w:rFonts w:ascii="Times New Roman" w:eastAsia="Times New Roman" w:hAnsi="Times New Roman" w:cs="Times New Roman"/>
                <w:sz w:val="24"/>
                <w:szCs w:val="24"/>
                <w:lang w:val="en-GB" w:eastAsia="cs-CZ"/>
              </w:rPr>
              <w:t>was cancelled</w:t>
            </w:r>
            <w:r w:rsidRPr="00C67FEB">
              <w:rPr>
                <w:rFonts w:ascii="Times New Roman" w:eastAsia="Times New Roman" w:hAnsi="Times New Roman" w:cs="Times New Roman"/>
                <w:sz w:val="24"/>
                <w:szCs w:val="24"/>
                <w:lang w:val="en-GB" w:eastAsia="cs-CZ"/>
              </w:rPr>
              <w:t xml:space="preserve">, which </w:t>
            </w:r>
            <w:r w:rsidRPr="00C67FEB" w:rsidR="001B5781">
              <w:rPr>
                <w:rFonts w:ascii="Times New Roman" w:eastAsia="Times New Roman" w:hAnsi="Times New Roman" w:cs="Times New Roman"/>
                <w:sz w:val="24"/>
                <w:szCs w:val="24"/>
                <w:lang w:val="en-GB" w:eastAsia="cs-CZ"/>
              </w:rPr>
              <w:t>made</w:t>
            </w:r>
            <w:r w:rsidRPr="00C67FEB">
              <w:rPr>
                <w:rFonts w:ascii="Times New Roman" w:eastAsia="Times New Roman" w:hAnsi="Times New Roman" w:cs="Times New Roman"/>
                <w:sz w:val="24"/>
                <w:szCs w:val="24"/>
                <w:lang w:val="en-GB" w:eastAsia="cs-CZ"/>
              </w:rPr>
              <w:t xml:space="preserve"> </w:t>
            </w:r>
            <w:r w:rsidRPr="00C67FEB" w:rsidR="001B5781">
              <w:rPr>
                <w:rFonts w:ascii="Times New Roman" w:eastAsia="Times New Roman" w:hAnsi="Times New Roman" w:cs="Times New Roman"/>
                <w:sz w:val="24"/>
                <w:szCs w:val="24"/>
                <w:lang w:val="en-GB" w:eastAsia="cs-CZ"/>
              </w:rPr>
              <w:t xml:space="preserve">issues cheaper and </w:t>
            </w:r>
            <w:r w:rsidRPr="00C67FEB">
              <w:rPr>
                <w:rFonts w:ascii="Times New Roman" w:eastAsia="Times New Roman" w:hAnsi="Times New Roman" w:cs="Times New Roman"/>
                <w:sz w:val="24"/>
                <w:szCs w:val="24"/>
                <w:lang w:val="en-GB" w:eastAsia="cs-CZ"/>
              </w:rPr>
              <w:t xml:space="preserve">more accessible to issuers. The search for alternative ways of </w:t>
            </w:r>
            <w:r w:rsidRPr="00C67FEB" w:rsidR="001B5781">
              <w:rPr>
                <w:rFonts w:ascii="Times New Roman" w:eastAsia="Times New Roman" w:hAnsi="Times New Roman" w:cs="Times New Roman"/>
                <w:sz w:val="24"/>
                <w:szCs w:val="24"/>
                <w:lang w:val="en-GB" w:eastAsia="cs-CZ"/>
              </w:rPr>
              <w:t>valorising</w:t>
            </w:r>
            <w:r w:rsidRPr="00C67FEB">
              <w:rPr>
                <w:rFonts w:ascii="Times New Roman" w:eastAsia="Times New Roman" w:hAnsi="Times New Roman" w:cs="Times New Roman"/>
                <w:sz w:val="24"/>
                <w:szCs w:val="24"/>
                <w:lang w:val="en-GB" w:eastAsia="cs-CZ"/>
              </w:rPr>
              <w:t xml:space="preserve"> money over time, not too much interest on deposits, the above-mentioned facts and other factors have recently taken corporate bonds to the forefront of both investors and issuers. However, this also entails a risk of default in the event of economic shocks or a higher incidence of issuers who do not plan to repay </w:t>
            </w:r>
            <w:r w:rsidRPr="00C67FEB">
              <w:rPr>
                <w:rFonts w:ascii="Times New Roman" w:eastAsia="Times New Roman" w:hAnsi="Times New Roman" w:cs="Times New Roman"/>
                <w:sz w:val="24"/>
                <w:szCs w:val="24"/>
                <w:lang w:val="en-GB" w:eastAsia="cs-CZ"/>
              </w:rPr>
              <w:t xml:space="preserve">bonds from the outset. Retail investors who </w:t>
            </w:r>
            <w:r w:rsidRPr="00C67FEB" w:rsidR="001B5781">
              <w:rPr>
                <w:rFonts w:ascii="Times New Roman" w:eastAsia="Times New Roman" w:hAnsi="Times New Roman" w:cs="Times New Roman"/>
                <w:sz w:val="24"/>
                <w:szCs w:val="24"/>
                <w:lang w:val="en-GB" w:eastAsia="cs-CZ"/>
              </w:rPr>
              <w:t>do not have experience with similar investments</w:t>
            </w:r>
            <w:r w:rsidRPr="00C67FEB">
              <w:rPr>
                <w:rFonts w:ascii="Times New Roman" w:eastAsia="Times New Roman" w:hAnsi="Times New Roman" w:cs="Times New Roman"/>
                <w:sz w:val="24"/>
                <w:szCs w:val="24"/>
                <w:lang w:val="en-GB" w:eastAsia="cs-CZ"/>
              </w:rPr>
              <w:t>, are not able to evaluate such risks and in pursuit of a better return on investment may wrongly decide and lose their money.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At the same time, however, it should be noted that as of January 2018 investment intermediaries cannot offer bonds without a prospectus approved by </w:t>
            </w:r>
            <w:r w:rsidRPr="00C67FEB" w:rsidR="001B5781">
              <w:rPr>
                <w:rFonts w:ascii="Times New Roman" w:eastAsia="Times New Roman" w:hAnsi="Times New Roman" w:cs="Times New Roman"/>
                <w:sz w:val="24"/>
                <w:szCs w:val="24"/>
                <w:lang w:val="en-GB" w:eastAsia="cs-CZ"/>
              </w:rPr>
              <w:t>the CNB.</w:t>
            </w:r>
            <w:r w:rsidRPr="00C67FEB">
              <w:rPr>
                <w:rFonts w:ascii="Times New Roman" w:eastAsia="Times New Roman" w:hAnsi="Times New Roman" w:cs="Times New Roman"/>
                <w:sz w:val="24"/>
                <w:szCs w:val="24"/>
                <w:lang w:val="en-GB" w:eastAsia="cs-CZ"/>
              </w:rPr>
              <w:t xml:space="preserve"> In addition, the topic of bonds without a prospectus (issues up to CZK 25 million) was part of the public consultation of the Ministry of Finance in the same month. As a result, </w:t>
            </w:r>
            <w:r w:rsidRPr="00C67FEB" w:rsidR="00FE0ACD">
              <w:rPr>
                <w:rFonts w:ascii="Times New Roman" w:eastAsia="Times New Roman" w:hAnsi="Times New Roman" w:cs="Times New Roman"/>
                <w:sz w:val="24"/>
                <w:szCs w:val="24"/>
                <w:lang w:val="en-GB" w:eastAsia="cs-CZ"/>
              </w:rPr>
              <w:t>the</w:t>
            </w:r>
            <w:r w:rsidRPr="00C67FEB">
              <w:rPr>
                <w:rFonts w:ascii="Times New Roman" w:eastAsia="Times New Roman" w:hAnsi="Times New Roman" w:cs="Times New Roman"/>
                <w:sz w:val="24"/>
                <w:szCs w:val="24"/>
                <w:lang w:val="en-GB" w:eastAsia="cs-CZ"/>
              </w:rPr>
              <w:t xml:space="preserve"> </w:t>
            </w:r>
            <w:r w:rsidRPr="00C67FEB" w:rsidR="00FE0ACD">
              <w:rPr>
                <w:rFonts w:ascii="Times New Roman" w:eastAsia="Times New Roman" w:hAnsi="Times New Roman" w:cs="Times New Roman"/>
                <w:sz w:val="24"/>
                <w:szCs w:val="24"/>
                <w:lang w:val="en-GB" w:eastAsia="cs-CZ"/>
              </w:rPr>
              <w:t xml:space="preserve">act </w:t>
            </w:r>
            <w:r w:rsidRPr="00C67FEB" w:rsidR="001B5781">
              <w:rPr>
                <w:rFonts w:ascii="Times New Roman" w:eastAsia="Times New Roman" w:hAnsi="Times New Roman" w:cs="Times New Roman"/>
                <w:sz w:val="24"/>
                <w:szCs w:val="24"/>
                <w:lang w:val="en-GB" w:eastAsia="cs-CZ"/>
              </w:rPr>
              <w:t xml:space="preserve">that </w:t>
            </w:r>
            <w:r w:rsidRPr="00C67FEB">
              <w:rPr>
                <w:rFonts w:ascii="Times New Roman" w:eastAsia="Times New Roman" w:hAnsi="Times New Roman" w:cs="Times New Roman"/>
                <w:sz w:val="24"/>
                <w:szCs w:val="24"/>
                <w:lang w:val="en-GB" w:eastAsia="cs-CZ"/>
              </w:rPr>
              <w:t xml:space="preserve">was prepared passed the third reading in the Chamber of Deputies on 27 November 2019 and is now heading to the Senate (Parliamentary Press 398). The proposal </w:t>
            </w:r>
            <w:r w:rsidRPr="00C67FEB" w:rsidR="001B5781">
              <w:rPr>
                <w:rFonts w:ascii="Times New Roman" w:eastAsia="Times New Roman" w:hAnsi="Times New Roman" w:cs="Times New Roman"/>
                <w:sz w:val="24"/>
                <w:szCs w:val="24"/>
                <w:lang w:val="en-GB" w:eastAsia="cs-CZ"/>
              </w:rPr>
              <w:t>states that even</w:t>
            </w:r>
            <w:r w:rsidRPr="00C67FEB">
              <w:rPr>
                <w:rFonts w:ascii="Times New Roman" w:eastAsia="Times New Roman" w:hAnsi="Times New Roman" w:cs="Times New Roman"/>
                <w:sz w:val="24"/>
                <w:szCs w:val="24"/>
                <w:lang w:val="en-GB" w:eastAsia="cs-CZ"/>
              </w:rPr>
              <w:t xml:space="preserve"> documentary bonds </w:t>
            </w:r>
            <w:r w:rsidRPr="00C67FEB" w:rsidR="001B5781">
              <w:rPr>
                <w:rFonts w:ascii="Times New Roman" w:eastAsia="Times New Roman" w:hAnsi="Times New Roman" w:cs="Times New Roman"/>
                <w:sz w:val="24"/>
                <w:szCs w:val="24"/>
                <w:lang w:val="en-GB" w:eastAsia="cs-CZ"/>
              </w:rPr>
              <w:t xml:space="preserve">must have </w:t>
            </w:r>
            <w:r w:rsidRPr="00C67FEB">
              <w:rPr>
                <w:rFonts w:ascii="Times New Roman" w:eastAsia="Times New Roman" w:hAnsi="Times New Roman" w:cs="Times New Roman"/>
                <w:sz w:val="24"/>
                <w:szCs w:val="24"/>
                <w:lang w:val="en-GB" w:eastAsia="cs-CZ"/>
              </w:rPr>
              <w:t xml:space="preserve">assigned ISIN (because of easier traceability </w:t>
            </w:r>
            <w:r w:rsidRPr="00C67FEB" w:rsidR="001B5781">
              <w:rPr>
                <w:rFonts w:ascii="Times New Roman" w:eastAsia="Times New Roman" w:hAnsi="Times New Roman" w:cs="Times New Roman"/>
                <w:sz w:val="24"/>
                <w:szCs w:val="24"/>
                <w:lang w:val="en-GB" w:eastAsia="cs-CZ"/>
              </w:rPr>
              <w:t>of issues</w:t>
            </w:r>
            <w:r w:rsidRPr="00C67FEB">
              <w:rPr>
                <w:rFonts w:ascii="Times New Roman" w:eastAsia="Times New Roman" w:hAnsi="Times New Roman" w:cs="Times New Roman"/>
                <w:sz w:val="24"/>
                <w:szCs w:val="24"/>
                <w:lang w:val="en-GB" w:eastAsia="cs-CZ"/>
              </w:rPr>
              <w:t xml:space="preserve">) and </w:t>
            </w:r>
            <w:r w:rsidRPr="00C67FEB" w:rsidR="001B5781">
              <w:rPr>
                <w:rFonts w:ascii="Times New Roman" w:eastAsia="Times New Roman" w:hAnsi="Times New Roman" w:cs="Times New Roman"/>
                <w:sz w:val="24"/>
                <w:szCs w:val="24"/>
                <w:lang w:val="en-GB" w:eastAsia="cs-CZ"/>
              </w:rPr>
              <w:t>terms of issue</w:t>
            </w:r>
            <w:r w:rsidRPr="00C67FEB">
              <w:rPr>
                <w:rFonts w:ascii="Times New Roman" w:eastAsia="Times New Roman" w:hAnsi="Times New Roman" w:cs="Times New Roman"/>
                <w:sz w:val="24"/>
                <w:szCs w:val="24"/>
                <w:lang w:val="en-GB" w:eastAsia="cs-CZ"/>
              </w:rPr>
              <w:t xml:space="preserve"> must contain a warning that even the approval of the prospectus by the CNB does not guarantee low risk because CNB does not assess the issuer's ability to repay the bonds nor the veracity of the information contained in the prospectus.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It is also necessary to take into account Supervision </w:t>
            </w:r>
            <w:r w:rsidRPr="00C67FEB">
              <w:rPr>
                <w:rFonts w:ascii="Times New Roman" w:eastAsia="Times New Roman" w:hAnsi="Times New Roman" w:cs="Times New Roman"/>
                <w:i/>
                <w:iCs/>
                <w:sz w:val="24"/>
                <w:szCs w:val="24"/>
                <w:lang w:val="en-GB" w:eastAsia="cs-CZ"/>
              </w:rPr>
              <w:t xml:space="preserve">Benchmark </w:t>
            </w:r>
            <w:r w:rsidRPr="00C67FEB">
              <w:rPr>
                <w:rFonts w:ascii="Times New Roman" w:eastAsia="Times New Roman" w:hAnsi="Times New Roman" w:cs="Times New Roman"/>
                <w:sz w:val="24"/>
                <w:szCs w:val="24"/>
                <w:lang w:val="en-GB" w:eastAsia="cs-CZ"/>
              </w:rPr>
              <w:t xml:space="preserve">No. 2/2019, published by the CNB on 14 March 2019 on its </w:t>
            </w:r>
            <w:r w:rsidRPr="00C67FEB" w:rsidR="001B5781">
              <w:rPr>
                <w:rFonts w:ascii="Times New Roman" w:eastAsia="Times New Roman" w:hAnsi="Times New Roman" w:cs="Times New Roman"/>
                <w:sz w:val="24"/>
                <w:szCs w:val="24"/>
                <w:lang w:val="en-GB" w:eastAsia="cs-CZ"/>
              </w:rPr>
              <w:t>website.</w:t>
            </w:r>
            <w:r w:rsidRPr="00C67FEB">
              <w:rPr>
                <w:rFonts w:ascii="Times New Roman" w:eastAsia="Times New Roman" w:hAnsi="Times New Roman" w:cs="Times New Roman"/>
                <w:sz w:val="24"/>
                <w:szCs w:val="24"/>
                <w:lang w:val="en-GB" w:eastAsia="cs-CZ"/>
              </w:rPr>
              <w:t xml:space="preserve"> In principle, however, it prohibits offering small inexperienced investors corporate bonds that are not admitted to trading on a regulated market.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However, we still see room for optimizing the market situation by providing more information to retail investors and thereby extending their </w:t>
            </w:r>
            <w:r w:rsidRPr="00C67FEB" w:rsidR="001B5781">
              <w:rPr>
                <w:rFonts w:ascii="Times New Roman" w:eastAsia="Times New Roman" w:hAnsi="Times New Roman" w:cs="Times New Roman"/>
                <w:sz w:val="24"/>
                <w:szCs w:val="24"/>
                <w:lang w:val="en-GB" w:eastAsia="cs-CZ"/>
              </w:rPr>
              <w:t>protection.</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Three variants of the solution are considered:</w:t>
            </w:r>
          </w:p>
          <w:p w:rsidR="00403DFA" w:rsidRPr="00C67FEB" w:rsidP="0087579E">
            <w:pPr>
              <w:keepNext/>
              <w:numPr>
                <w:ilvl w:val="0"/>
                <w:numId w:val="18"/>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0 - maintaining the current status</w:t>
            </w:r>
          </w:p>
          <w:p w:rsidR="00403DFA" w:rsidRPr="00C67FEB" w:rsidP="0087579E">
            <w:pPr>
              <w:keepNext/>
              <w:numPr>
                <w:ilvl w:val="0"/>
                <w:numId w:val="18"/>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w:t>
            </w:r>
            <w:r w:rsidRPr="00C67FEB" w:rsidR="001B5781">
              <w:rPr>
                <w:rFonts w:ascii="Times New Roman" w:eastAsia="Times New Roman" w:hAnsi="Times New Roman" w:cs="Times New Roman"/>
                <w:sz w:val="24"/>
                <w:szCs w:val="24"/>
                <w:lang w:val="en-GB" w:eastAsia="cs-CZ"/>
              </w:rPr>
              <w:t>e</w:t>
            </w:r>
            <w:r w:rsidRPr="00C67FEB">
              <w:rPr>
                <w:rFonts w:ascii="Times New Roman" w:eastAsia="Times New Roman" w:hAnsi="Times New Roman" w:cs="Times New Roman"/>
                <w:sz w:val="24"/>
                <w:szCs w:val="24"/>
                <w:lang w:val="en-GB" w:eastAsia="cs-CZ"/>
              </w:rPr>
              <w:t xml:space="preserve">xtension of requirements for </w:t>
            </w:r>
            <w:r w:rsidRPr="00C67FEB" w:rsidR="001B5781">
              <w:rPr>
                <w:rFonts w:ascii="Times New Roman" w:eastAsia="Times New Roman" w:hAnsi="Times New Roman" w:cs="Times New Roman"/>
                <w:sz w:val="24"/>
                <w:szCs w:val="24"/>
                <w:lang w:val="en-GB" w:eastAsia="cs-CZ"/>
              </w:rPr>
              <w:t>terms of issue</w:t>
            </w:r>
          </w:p>
          <w:p w:rsidR="00403DFA" w:rsidRPr="00C67FEB" w:rsidP="0087579E">
            <w:pPr>
              <w:keepNext/>
              <w:numPr>
                <w:ilvl w:val="0"/>
                <w:numId w:val="18"/>
              </w:numPr>
              <w:spacing w:before="120" w:after="120" w:line="240" w:lineRule="auto"/>
              <w:ind w:left="527" w:firstLine="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2 - anchoring the mini-prospectus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At present the requirements for emission conditions are defined in </w:t>
            </w:r>
            <w:r w:rsidRPr="00C67FEB" w:rsidR="00062D55">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9 of the </w:t>
            </w:r>
            <w:r w:rsidRPr="00C67FEB" w:rsidR="00062D55">
              <w:rPr>
                <w:rFonts w:ascii="Times New Roman" w:eastAsia="Times New Roman" w:hAnsi="Times New Roman" w:cs="Times New Roman"/>
                <w:sz w:val="24"/>
                <w:szCs w:val="24"/>
                <w:lang w:val="en-GB" w:eastAsia="cs-CZ"/>
              </w:rPr>
              <w:t>Bonds Act</w:t>
            </w:r>
            <w:r w:rsidRPr="00C67FEB">
              <w:rPr>
                <w:rFonts w:ascii="Times New Roman" w:eastAsia="Times New Roman" w:hAnsi="Times New Roman" w:cs="Times New Roman"/>
                <w:sz w:val="24"/>
                <w:szCs w:val="24"/>
                <w:lang w:val="en-GB" w:eastAsia="cs-CZ"/>
              </w:rPr>
              <w:t xml:space="preserve">. The current legal situation is limited to the particulars that must be included in the terms of issue, without the current legislation being detailed in that it also requires that the terms and conditions would guide </w:t>
            </w:r>
            <w:r w:rsidRPr="00C67FEB">
              <w:rPr>
                <w:rFonts w:ascii="Times New Roman" w:eastAsia="Times New Roman" w:hAnsi="Times New Roman" w:cs="Times New Roman"/>
                <w:sz w:val="24"/>
                <w:szCs w:val="24"/>
                <w:lang w:val="en-GB" w:eastAsia="cs-CZ"/>
              </w:rPr>
              <w:t>investors</w:t>
            </w:r>
            <w:r w:rsidRPr="00C67FEB">
              <w:rPr>
                <w:rFonts w:ascii="Times New Roman" w:eastAsia="Times New Roman" w:hAnsi="Times New Roman" w:cs="Times New Roman"/>
                <w:sz w:val="24"/>
                <w:szCs w:val="24"/>
                <w:lang w:val="en-GB" w:eastAsia="cs-CZ"/>
              </w:rPr>
              <w:t xml:space="preserve"> </w:t>
            </w:r>
            <w:r w:rsidRPr="00C67FEB" w:rsidR="00062D55">
              <w:rPr>
                <w:rFonts w:ascii="Times New Roman" w:eastAsia="Times New Roman" w:hAnsi="Times New Roman" w:cs="Times New Roman"/>
                <w:sz w:val="24"/>
                <w:szCs w:val="24"/>
                <w:lang w:val="en-GB" w:eastAsia="cs-CZ"/>
              </w:rPr>
              <w:t xml:space="preserve">information </w:t>
            </w:r>
            <w:r w:rsidRPr="00C67FEB">
              <w:rPr>
                <w:rFonts w:ascii="Times New Roman" w:eastAsia="Times New Roman" w:hAnsi="Times New Roman" w:cs="Times New Roman"/>
                <w:sz w:val="24"/>
                <w:szCs w:val="24"/>
                <w:lang w:val="en-GB" w:eastAsia="cs-CZ"/>
              </w:rPr>
              <w:t xml:space="preserve">with regard to the appropriate choice of investment </w:t>
            </w:r>
            <w:r w:rsidRPr="00C67FEB" w:rsidR="00062D55">
              <w:rPr>
                <w:rFonts w:ascii="Times New Roman" w:eastAsia="Times New Roman" w:hAnsi="Times New Roman" w:cs="Times New Roman"/>
                <w:sz w:val="24"/>
                <w:szCs w:val="24"/>
                <w:lang w:val="en-GB" w:eastAsia="cs-CZ"/>
              </w:rPr>
              <w:t>mandatorily</w:t>
            </w:r>
            <w:r w:rsidRPr="00C67FEB">
              <w:rPr>
                <w:rFonts w:ascii="Times New Roman" w:eastAsia="Times New Roman" w:hAnsi="Times New Roman" w:cs="Times New Roman"/>
                <w:sz w:val="24"/>
                <w:szCs w:val="24"/>
                <w:lang w:val="en-GB" w:eastAsia="cs-CZ"/>
              </w:rPr>
              <w:t xml:space="preserve">. This option represents the </w:t>
            </w:r>
            <w:r w:rsidRPr="00C67FEB">
              <w:rPr>
                <w:rFonts w:ascii="Times New Roman" w:eastAsia="Times New Roman" w:hAnsi="Times New Roman" w:cs="Times New Roman"/>
                <w:i/>
                <w:iCs/>
                <w:sz w:val="24"/>
                <w:szCs w:val="24"/>
                <w:lang w:val="en-GB" w:eastAsia="cs-CZ"/>
              </w:rPr>
              <w:t xml:space="preserve">status quo </w:t>
            </w:r>
            <w:r w:rsidRPr="00C67FEB">
              <w:rPr>
                <w:rFonts w:ascii="Times New Roman" w:eastAsia="Times New Roman" w:hAnsi="Times New Roman" w:cs="Times New Roman"/>
                <w:sz w:val="24"/>
                <w:szCs w:val="24"/>
                <w:lang w:val="en-GB" w:eastAsia="cs-CZ"/>
              </w:rPr>
              <w:t xml:space="preserve">in terms of </w:t>
            </w:r>
            <w:r w:rsidRPr="00C67FEB" w:rsidR="00062D55">
              <w:rPr>
                <w:rFonts w:ascii="Times New Roman" w:eastAsia="Times New Roman" w:hAnsi="Times New Roman" w:cs="Times New Roman"/>
                <w:sz w:val="24"/>
                <w:szCs w:val="24"/>
                <w:lang w:val="en-GB" w:eastAsia="cs-CZ"/>
              </w:rPr>
              <w:t>costs.</w:t>
            </w:r>
            <w:r w:rsidRPr="00C67FEB">
              <w:rPr>
                <w:rFonts w:ascii="Times New Roman" w:eastAsia="Times New Roman" w:hAnsi="Times New Roman" w:cs="Times New Roman"/>
                <w:sz w:val="24"/>
                <w:szCs w:val="24"/>
                <w:lang w:val="en-GB" w:eastAsia="cs-CZ"/>
              </w:rPr>
              <w:t xml:space="preserve"> Maintaining this option in terms of benefits represents a reduction, as the current situation in the bond market represents insufficient investor protection.</w:t>
            </w:r>
            <w:r w:rsidR="0087579E">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Option 1 - extending the requirements for </w:t>
            </w:r>
            <w:r w:rsidRPr="00757542" w:rsidR="00062D55">
              <w:rPr>
                <w:rFonts w:ascii="Times New Roman" w:eastAsia="Times New Roman" w:hAnsi="Times New Roman" w:cs="Times New Roman"/>
                <w:b/>
                <w:bCs/>
                <w:sz w:val="24"/>
                <w:szCs w:val="24"/>
                <w:lang w:val="en-GB" w:eastAsia="cs-CZ"/>
              </w:rPr>
              <w:t>terms of issue</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In Option 1, it is </w:t>
            </w:r>
            <w:r w:rsidRPr="00C67FEB" w:rsidR="00062D55">
              <w:rPr>
                <w:rFonts w:ascii="Times New Roman" w:eastAsia="Times New Roman" w:hAnsi="Times New Roman" w:cs="Times New Roman"/>
                <w:sz w:val="24"/>
                <w:szCs w:val="24"/>
                <w:lang w:val="en-GB" w:eastAsia="cs-CZ"/>
              </w:rPr>
              <w:t>proposed,</w:t>
            </w:r>
            <w:r w:rsidRPr="00C67FEB">
              <w:rPr>
                <w:rFonts w:ascii="Times New Roman" w:eastAsia="Times New Roman" w:hAnsi="Times New Roman" w:cs="Times New Roman"/>
                <w:sz w:val="24"/>
                <w:szCs w:val="24"/>
                <w:lang w:val="en-GB" w:eastAsia="cs-CZ"/>
              </w:rPr>
              <w:t xml:space="preserve"> in the absence of a prospectus, to extend the terms of issue with information that can help the investor to better assess the issue and the issuer. Such information is, for example, a description of the purpose of the issue, the planned ratio of external funds to equity, annual reports and financial statements of the issuer for the last 2 financial years, information on how the repayment is secured or information that the repayment is not secured</w:t>
            </w:r>
            <w:r w:rsidRPr="00C67FEB" w:rsidR="00062D55">
              <w:rPr>
                <w:rFonts w:ascii="Times New Roman" w:eastAsia="Times New Roman" w:hAnsi="Times New Roman" w:cs="Times New Roman"/>
                <w:sz w:val="24"/>
                <w:szCs w:val="24"/>
                <w:lang w:val="en-GB" w:eastAsia="cs-CZ"/>
              </w:rPr>
              <w:t xml:space="preserve"> etc</w:t>
            </w:r>
            <w:r w:rsidRPr="00C67FEB">
              <w:rPr>
                <w:rFonts w:ascii="Times New Roman" w:eastAsia="Times New Roman" w:hAnsi="Times New Roman" w:cs="Times New Roman"/>
                <w:sz w:val="24"/>
                <w:szCs w:val="24"/>
                <w:lang w:val="en-GB" w:eastAsia="cs-CZ"/>
              </w:rPr>
              <w:t>. This variant idea is to increase costs for issuers while increasing benefits in relation to the protection of small investors and thus in relation to the development and capital market that can be developed with a view to improving the reputation of the market with lower tier bonds (</w:t>
            </w:r>
            <w:r w:rsidRPr="00C67FEB" w:rsidR="00062D55">
              <w:rPr>
                <w:rFonts w:ascii="Times New Roman" w:eastAsia="Times New Roman" w:hAnsi="Times New Roman" w:cs="Times New Roman"/>
                <w:sz w:val="24"/>
                <w:szCs w:val="24"/>
                <w:lang w:val="en-GB" w:eastAsia="cs-CZ"/>
              </w:rPr>
              <w:t>i.e.</w:t>
            </w:r>
            <w:r w:rsidRPr="00C67FEB">
              <w:rPr>
                <w:rFonts w:ascii="Times New Roman" w:eastAsia="Times New Roman" w:hAnsi="Times New Roman" w:cs="Times New Roman"/>
                <w:sz w:val="24"/>
                <w:szCs w:val="24"/>
                <w:lang w:val="en-GB" w:eastAsia="cs-CZ"/>
              </w:rPr>
              <w:t xml:space="preserve"> </w:t>
            </w:r>
            <w:r w:rsidRPr="00C67FEB" w:rsidR="00062D55">
              <w:rPr>
                <w:rFonts w:ascii="Times New Roman" w:eastAsia="Times New Roman" w:hAnsi="Times New Roman" w:cs="Times New Roman"/>
                <w:sz w:val="24"/>
                <w:szCs w:val="24"/>
                <w:lang w:val="en-GB" w:eastAsia="cs-CZ"/>
              </w:rPr>
              <w:t>issue of</w:t>
            </w:r>
            <w:r w:rsidRPr="00C67FEB">
              <w:rPr>
                <w:rFonts w:ascii="Times New Roman" w:eastAsia="Times New Roman" w:hAnsi="Times New Roman" w:cs="Times New Roman"/>
                <w:sz w:val="24"/>
                <w:szCs w:val="24"/>
                <w:lang w:val="en-GB" w:eastAsia="cs-CZ"/>
              </w:rPr>
              <w:t xml:space="preserve"> bonds to 1 mil </w:t>
            </w:r>
            <w:r w:rsidRPr="00C67FEB" w:rsidR="00062D55">
              <w:rPr>
                <w:rFonts w:ascii="Times New Roman" w:eastAsia="Times New Roman" w:hAnsi="Times New Roman" w:cs="Times New Roman"/>
                <w:sz w:val="24"/>
                <w:szCs w:val="24"/>
                <w:lang w:val="en-GB" w:eastAsia="cs-CZ"/>
              </w:rPr>
              <w:t>EUR</w:t>
            </w:r>
            <w:r w:rsidRPr="00C67FEB" w:rsidR="005E0473">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On the other hand, this option also represents a reduction in administration in terms of eliminating duplication in the </w:t>
            </w:r>
            <w:r w:rsidRPr="00C67FEB" w:rsidR="005E0473">
              <w:rPr>
                <w:rFonts w:ascii="Times New Roman" w:eastAsia="Times New Roman" w:hAnsi="Times New Roman" w:cs="Times New Roman"/>
                <w:sz w:val="24"/>
                <w:szCs w:val="24"/>
                <w:lang w:val="en-GB" w:eastAsia="cs-CZ"/>
              </w:rPr>
              <w:t>terms of issue</w:t>
            </w:r>
            <w:r w:rsidRPr="00C67FEB">
              <w:rPr>
                <w:rFonts w:ascii="Times New Roman" w:eastAsia="Times New Roman" w:hAnsi="Times New Roman" w:cs="Times New Roman"/>
                <w:sz w:val="24"/>
                <w:szCs w:val="24"/>
                <w:lang w:val="en-GB" w:eastAsia="cs-CZ"/>
              </w:rPr>
              <w:t xml:space="preserve"> and the prospectus.</w:t>
            </w:r>
            <w:r w:rsidR="0087579E">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Option 2 - anchoring the mini-prospectus</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Introduction of so-</w:t>
            </w:r>
            <w:r w:rsidRPr="00C67FEB">
              <w:rPr>
                <w:rFonts w:ascii="Times New Roman" w:eastAsia="Times New Roman" w:hAnsi="Times New Roman" w:cs="Times New Roman"/>
                <w:sz w:val="24"/>
                <w:szCs w:val="24"/>
                <w:lang w:val="en-GB" w:eastAsia="cs-CZ"/>
              </w:rPr>
              <w:t xml:space="preserve">called </w:t>
            </w:r>
            <w:r w:rsidRPr="00C67FEB">
              <w:rPr>
                <w:rFonts w:ascii="Times New Roman" w:eastAsia="Times New Roman" w:hAnsi="Times New Roman" w:cs="Times New Roman"/>
                <w:sz w:val="24"/>
                <w:szCs w:val="24"/>
                <w:lang w:val="en-GB" w:eastAsia="cs-CZ"/>
              </w:rPr>
              <w:t xml:space="preserve">mini-prospectus </w:t>
            </w:r>
            <w:r w:rsidRPr="00C67FEB">
              <w:rPr>
                <w:rFonts w:ascii="Times New Roman" w:eastAsia="Times New Roman" w:hAnsi="Times New Roman" w:cs="Times New Roman"/>
                <w:sz w:val="24"/>
                <w:szCs w:val="24"/>
                <w:lang w:val="en-GB" w:eastAsia="cs-CZ"/>
              </w:rPr>
              <w:t xml:space="preserve">would constitute a complement </w:t>
            </w:r>
            <w:r w:rsidRPr="00C67FEB">
              <w:rPr>
                <w:rFonts w:ascii="Times New Roman" w:eastAsia="Times New Roman" w:hAnsi="Times New Roman" w:cs="Times New Roman"/>
                <w:sz w:val="24"/>
                <w:szCs w:val="24"/>
                <w:lang w:val="en-GB" w:eastAsia="cs-CZ"/>
              </w:rPr>
              <w:t>to the terms of issue within the documentation</w:t>
            </w:r>
            <w:r w:rsidRPr="00C67FEB">
              <w:rPr>
                <w:rFonts w:ascii="Times New Roman" w:eastAsia="Times New Roman" w:hAnsi="Times New Roman" w:cs="Times New Roman"/>
                <w:sz w:val="24"/>
                <w:szCs w:val="24"/>
                <w:lang w:val="en-GB" w:eastAsia="cs-CZ"/>
              </w:rPr>
              <w:t xml:space="preserve">, which it is required </w:t>
            </w:r>
            <w:r w:rsidRPr="00C67FEB">
              <w:rPr>
                <w:rFonts w:ascii="Times New Roman" w:eastAsia="Times New Roman" w:hAnsi="Times New Roman" w:cs="Times New Roman"/>
                <w:sz w:val="24"/>
                <w:szCs w:val="24"/>
                <w:lang w:val="en-GB" w:eastAsia="cs-CZ"/>
              </w:rPr>
              <w:t xml:space="preserve">for the issuer </w:t>
            </w:r>
            <w:r w:rsidRPr="00C67FEB">
              <w:rPr>
                <w:rFonts w:ascii="Times New Roman" w:eastAsia="Times New Roman" w:hAnsi="Times New Roman" w:cs="Times New Roman"/>
                <w:sz w:val="24"/>
                <w:szCs w:val="24"/>
                <w:lang w:val="en-GB" w:eastAsia="cs-CZ"/>
              </w:rPr>
              <w:t xml:space="preserve">to develop and provide investors in bond issue. The mini-prospectus should allow investors to easily compare </w:t>
            </w:r>
            <w:r w:rsidRPr="00C67FEB">
              <w:rPr>
                <w:rFonts w:ascii="Times New Roman" w:eastAsia="Times New Roman" w:hAnsi="Times New Roman" w:cs="Times New Roman"/>
                <w:sz w:val="24"/>
                <w:szCs w:val="24"/>
                <w:lang w:val="en-GB" w:eastAsia="cs-CZ"/>
              </w:rPr>
              <w:t>issues</w:t>
            </w:r>
            <w:r w:rsidRPr="00C67FEB">
              <w:rPr>
                <w:rFonts w:ascii="Times New Roman" w:eastAsia="Times New Roman" w:hAnsi="Times New Roman" w:cs="Times New Roman"/>
                <w:sz w:val="24"/>
                <w:szCs w:val="24"/>
                <w:lang w:val="en-GB" w:eastAsia="cs-CZ"/>
              </w:rPr>
              <w:t xml:space="preserve"> by comparing key </w:t>
            </w:r>
            <w:r w:rsidRPr="00C67FEB" w:rsidR="00757542">
              <w:rPr>
                <w:rFonts w:ascii="Times New Roman" w:eastAsia="Times New Roman" w:hAnsi="Times New Roman" w:cs="Times New Roman"/>
                <w:sz w:val="24"/>
                <w:szCs w:val="24"/>
                <w:lang w:val="en-GB" w:eastAsia="cs-CZ"/>
              </w:rPr>
              <w:t>indicators.</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The mini-prospectus should contain a set of essential information in a clear form in the range of two A4 sheets. The </w:t>
            </w:r>
            <w:r w:rsidRPr="00C67FEB">
              <w:rPr>
                <w:rFonts w:ascii="Times New Roman" w:eastAsia="Times New Roman" w:hAnsi="Times New Roman" w:cs="Times New Roman"/>
                <w:sz w:val="24"/>
                <w:szCs w:val="24"/>
                <w:lang w:val="en-GB" w:eastAsia="cs-CZ"/>
              </w:rPr>
              <w:t>standard</w:t>
            </w:r>
            <w:r w:rsidRPr="00C67FEB">
              <w:rPr>
                <w:rFonts w:ascii="Times New Roman" w:eastAsia="Times New Roman" w:hAnsi="Times New Roman" w:cs="Times New Roman"/>
                <w:sz w:val="24"/>
                <w:szCs w:val="24"/>
                <w:lang w:val="en-GB" w:eastAsia="cs-CZ"/>
              </w:rPr>
              <w:t xml:space="preserve"> of the mini-prospectus would be established by the government by decree. This option would be associated with an increase in costs associated with the need to issue </w:t>
            </w:r>
            <w:r w:rsidRPr="00C67FEB">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 xml:space="preserve"> regulation. It would also entail some increase in costs for issuers, but at the cost of increasing the protection of bond investors.</w:t>
            </w:r>
            <w:r w:rsidR="0087579E">
              <w:rPr>
                <w:rFonts w:ascii="Times New Roman" w:eastAsia="Times New Roman" w:hAnsi="Times New Roman" w:cs="Times New Roman"/>
                <w:sz w:val="24"/>
                <w:szCs w:val="24"/>
                <w:lang w:val="en-GB" w:eastAsia="cs-CZ"/>
              </w:rPr>
              <w:t xml:space="preserve"> </w:t>
            </w:r>
          </w:p>
          <w:p w:rsidR="00403DFA" w:rsidRPr="00757542" w:rsidP="0087579E">
            <w:pPr>
              <w:keepNext/>
              <w:spacing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most suitable solution seems to be an extension of the requirements of emission </w:t>
            </w:r>
            <w:r w:rsidRPr="00C67FEB" w:rsidR="005E0473">
              <w:rPr>
                <w:rFonts w:ascii="Times New Roman" w:eastAsia="Times New Roman" w:hAnsi="Times New Roman" w:cs="Times New Roman"/>
                <w:sz w:val="24"/>
                <w:szCs w:val="24"/>
                <w:lang w:val="en-GB" w:eastAsia="cs-CZ"/>
              </w:rPr>
              <w:t>conditions,</w:t>
            </w:r>
            <w:r w:rsidRPr="00C67FEB">
              <w:rPr>
                <w:rFonts w:ascii="Times New Roman" w:eastAsia="Times New Roman" w:hAnsi="Times New Roman" w:cs="Times New Roman"/>
                <w:sz w:val="24"/>
                <w:szCs w:val="24"/>
                <w:lang w:val="en-GB" w:eastAsia="cs-CZ"/>
              </w:rPr>
              <w:t xml:space="preserve"> </w:t>
            </w:r>
            <w:r w:rsidRPr="00C67FEB" w:rsidR="005E0473">
              <w:rPr>
                <w:rFonts w:ascii="Times New Roman" w:eastAsia="Times New Roman" w:hAnsi="Times New Roman" w:cs="Times New Roman"/>
                <w:sz w:val="24"/>
                <w:szCs w:val="24"/>
                <w:lang w:val="en-GB" w:eastAsia="cs-CZ"/>
              </w:rPr>
              <w:t>i.e.</w:t>
            </w:r>
            <w:r w:rsidRPr="00C67FEB">
              <w:rPr>
                <w:rFonts w:ascii="Times New Roman" w:eastAsia="Times New Roman" w:hAnsi="Times New Roman" w:cs="Times New Roman"/>
                <w:sz w:val="24"/>
                <w:szCs w:val="24"/>
                <w:lang w:val="en-GB" w:eastAsia="cs-CZ"/>
              </w:rPr>
              <w:t xml:space="preserve"> the choice of option 1. This variant is compared with option 2, more economical and less burdensome, because it does not introduce a new institute and the need to issue implementing legislation, but merely an extension of an existing institution issuing conditions in the current </w:t>
            </w:r>
            <w:r w:rsidRPr="00C67FEB" w:rsidR="005E0473">
              <w:rPr>
                <w:rFonts w:ascii="Times New Roman" w:eastAsia="Times New Roman" w:hAnsi="Times New Roman" w:cs="Times New Roman"/>
                <w:sz w:val="24"/>
                <w:szCs w:val="24"/>
                <w:lang w:val="en-GB" w:eastAsia="cs-CZ"/>
              </w:rPr>
              <w:t>Bonds Act</w:t>
            </w:r>
            <w:r w:rsidRPr="00C67FEB">
              <w:rPr>
                <w:rFonts w:ascii="Times New Roman" w:eastAsia="Times New Roman" w:hAnsi="Times New Roman" w:cs="Times New Roman"/>
                <w:sz w:val="24"/>
                <w:szCs w:val="24"/>
                <w:lang w:val="en-GB" w:eastAsia="cs-CZ"/>
              </w:rPr>
              <w:t>, the content will contain important information about the issuer and the issue that will</w:t>
            </w:r>
            <w:r w:rsidR="0087579E">
              <w:rPr>
                <w:rFonts w:ascii="Times New Roman" w:eastAsia="Times New Roman" w:hAnsi="Times New Roman" w:cs="Times New Roman"/>
                <w:sz w:val="24"/>
                <w:szCs w:val="24"/>
                <w:lang w:val="en-GB" w:eastAsia="cs-CZ"/>
              </w:rPr>
              <w:t xml:space="preserve"> </w:t>
            </w:r>
            <w:r w:rsidRPr="00C67FEB" w:rsidR="005E0473">
              <w:rPr>
                <w:rFonts w:ascii="Times New Roman" w:eastAsia="Times New Roman" w:hAnsi="Times New Roman" w:cs="Times New Roman"/>
                <w:sz w:val="24"/>
                <w:szCs w:val="24"/>
                <w:lang w:val="en-GB" w:eastAsia="cs-CZ"/>
              </w:rPr>
              <w:t xml:space="preserve">be </w:t>
            </w:r>
            <w:r w:rsidRPr="00C67FEB">
              <w:rPr>
                <w:rFonts w:ascii="Times New Roman" w:eastAsia="Times New Roman" w:hAnsi="Times New Roman" w:cs="Times New Roman"/>
                <w:sz w:val="24"/>
                <w:szCs w:val="24"/>
                <w:lang w:val="en-GB" w:eastAsia="cs-CZ"/>
              </w:rPr>
              <w:t xml:space="preserve">part of the </w:t>
            </w:r>
            <w:r w:rsidRPr="00C67FEB" w:rsidR="005E0473">
              <w:rPr>
                <w:rFonts w:ascii="Times New Roman" w:eastAsia="Times New Roman" w:hAnsi="Times New Roman" w:cs="Times New Roman"/>
                <w:sz w:val="24"/>
                <w:szCs w:val="24"/>
                <w:lang w:val="en-GB" w:eastAsia="cs-CZ"/>
              </w:rPr>
              <w:t>terms of issue</w:t>
            </w:r>
            <w:r w:rsidRPr="00C67FEB">
              <w:rPr>
                <w:rFonts w:ascii="Times New Roman" w:eastAsia="Times New Roman" w:hAnsi="Times New Roman" w:cs="Times New Roman"/>
                <w:sz w:val="24"/>
                <w:szCs w:val="24"/>
                <w:lang w:val="en-GB" w:eastAsia="cs-CZ"/>
              </w:rPr>
              <w:t xml:space="preserve">. Investor protection will be enhanced by extending the data necessary for an objective </w:t>
            </w:r>
            <w:r w:rsidRPr="00C67FEB" w:rsidR="005E0473">
              <w:rPr>
                <w:rFonts w:ascii="Times New Roman" w:eastAsia="Times New Roman" w:hAnsi="Times New Roman" w:cs="Times New Roman"/>
                <w:sz w:val="24"/>
                <w:szCs w:val="24"/>
                <w:lang w:val="en-GB" w:eastAsia="cs-CZ"/>
              </w:rPr>
              <w:t>issue</w:t>
            </w:r>
            <w:r w:rsidRPr="00C67FEB">
              <w:rPr>
                <w:rFonts w:ascii="Times New Roman" w:eastAsia="Times New Roman" w:hAnsi="Times New Roman" w:cs="Times New Roman"/>
                <w:sz w:val="24"/>
                <w:szCs w:val="24"/>
                <w:lang w:val="en-GB" w:eastAsia="cs-CZ"/>
              </w:rPr>
              <w:t xml:space="preserve"> assessment. This option also increases the transparency of the issuer's activities and intentions. </w:t>
            </w:r>
          </w:p>
          <w:p w:rsidR="00403DFA" w:rsidRPr="00757542" w:rsidP="0087579E">
            <w:pPr>
              <w:keepNext/>
              <w:spacing w:after="120" w:line="240" w:lineRule="auto"/>
              <w:jc w:val="both"/>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Summary of impacts of the chosen </w:t>
            </w:r>
            <w:r w:rsidRPr="00757542" w:rsidR="00757542">
              <w:rPr>
                <w:rFonts w:ascii="Times New Roman" w:eastAsia="Times New Roman" w:hAnsi="Times New Roman" w:cs="Times New Roman"/>
                <w:b/>
                <w:bCs/>
                <w:sz w:val="24"/>
                <w:szCs w:val="24"/>
                <w:lang w:val="en-GB" w:eastAsia="cs-CZ"/>
              </w:rPr>
              <w:t>Option 1</w:t>
            </w:r>
          </w:p>
          <w:tbl>
            <w:tblPr>
              <w:tblW w:w="5000" w:type="pct"/>
              <w:tblCellMar>
                <w:left w:w="0" w:type="dxa"/>
                <w:right w:w="0" w:type="dxa"/>
              </w:tblCellMar>
              <w:tblLook w:val="04A0"/>
            </w:tblPr>
            <w:tblGrid>
              <w:gridCol w:w="5358"/>
              <w:gridCol w:w="4265"/>
            </w:tblGrid>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757542"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color w:val="FFFFFF"/>
                      <w:sz w:val="24"/>
                      <w:szCs w:val="24"/>
                      <w:lang w:val="en-GB" w:eastAsia="cs-CZ"/>
                    </w:rPr>
                    <w:t>Benefits / positives</w:t>
                  </w:r>
                </w:p>
              </w:tc>
              <w:tc>
                <w:tcPr>
                  <w:tcW w:w="2216"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757542"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color w:val="FFFFFF"/>
                      <w:sz w:val="24"/>
                      <w:szCs w:val="24"/>
                      <w:lang w:val="en-GB" w:eastAsia="cs-CZ"/>
                    </w:rPr>
                    <w:t>Costs / negatives</w:t>
                  </w:r>
                </w:p>
              </w:tc>
            </w:tr>
            <w:tr>
              <w:tblPrEx>
                <w:tblW w:w="5000" w:type="pct"/>
                <w:tblCellMar>
                  <w:left w:w="0" w:type="dxa"/>
                  <w:right w:w="0" w:type="dxa"/>
                </w:tblCellMar>
                <w:tblLook w:val="04A0"/>
              </w:tblPrEx>
              <w:trPr>
                <w:trHeight w:val="2422"/>
              </w:trPr>
              <w:tc>
                <w:tcPr>
                  <w:tcW w:w="27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03DFA" w:rsidRPr="00C67FEB" w:rsidP="0087579E">
                  <w:pPr>
                    <w:keepNext/>
                    <w:shd w:val="clear" w:color="auto" w:fill="FFFFFF"/>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protection of investors in bonds</w:t>
                  </w:r>
                </w:p>
                <w:p w:rsidR="00403DFA" w:rsidRPr="00C67FEB" w:rsidP="0087579E">
                  <w:pPr>
                    <w:keepNext/>
                    <w:shd w:val="clear" w:color="auto" w:fill="FFFFFF"/>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issue and issuer transparency</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eliminating duplication between the prospectus and the </w:t>
                  </w:r>
                  <w:r w:rsidRPr="00C67FEB" w:rsidR="005E0473">
                    <w:rPr>
                      <w:rFonts w:ascii="Times New Roman" w:eastAsia="Times New Roman" w:hAnsi="Times New Roman" w:cs="Times New Roman"/>
                      <w:sz w:val="24"/>
                      <w:szCs w:val="24"/>
                      <w:lang w:val="en-GB" w:eastAsia="cs-CZ"/>
                    </w:rPr>
                    <w:t>terms of issue</w:t>
                  </w:r>
                  <w:r w:rsidRPr="00C67FEB">
                    <w:rPr>
                      <w:rFonts w:ascii="Times New Roman" w:eastAsia="Times New Roman" w:hAnsi="Times New Roman" w:cs="Times New Roman"/>
                      <w:sz w:val="24"/>
                      <w:szCs w:val="24"/>
                      <w:lang w:val="en-GB" w:eastAsia="cs-CZ"/>
                    </w:rPr>
                    <w:t xml:space="preserve"> and, in this context, reducing the administrative burden</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w:t>
                  </w:r>
                  <w:r w:rsidRPr="00C67FEB" w:rsidR="005E0473">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mproving the reputation of the below-the-limit bond market (or state) through regulation </w:t>
                  </w:r>
                </w:p>
              </w:tc>
              <w:tc>
                <w:tcPr>
                  <w:tcW w:w="22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03DFA" w:rsidRPr="00C67FEB" w:rsidP="0087579E">
                  <w:pPr>
                    <w:keepNext/>
                    <w:shd w:val="clear" w:color="auto" w:fill="FFFFFF"/>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administrative costs of adapting to the new arrangements</w:t>
                  </w:r>
                  <w:r w:rsidR="0087579E">
                    <w:rPr>
                      <w:rFonts w:ascii="Times New Roman" w:eastAsia="Times New Roman" w:hAnsi="Times New Roman" w:cs="Times New Roman"/>
                      <w:sz w:val="14"/>
                      <w:szCs w:val="14"/>
                      <w:lang w:val="en-GB" w:eastAsia="cs-CZ"/>
                    </w:rPr>
                    <w:t xml:space="preserve"> </w:t>
                  </w:r>
                </w:p>
                <w:p w:rsidR="00403DFA" w:rsidRPr="00C67FEB" w:rsidP="0087579E">
                  <w:pPr>
                    <w:keepNext/>
                    <w:shd w:val="clear" w:color="auto" w:fill="FFFFFF"/>
                    <w:spacing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robustness of </w:t>
                  </w:r>
                  <w:r w:rsidRPr="00C67FEB" w:rsidR="005E0473">
                    <w:rPr>
                      <w:rFonts w:ascii="Times New Roman" w:eastAsia="Times New Roman" w:hAnsi="Times New Roman" w:cs="Times New Roman"/>
                      <w:sz w:val="24"/>
                      <w:szCs w:val="24"/>
                      <w:lang w:val="en-GB" w:eastAsia="cs-CZ"/>
                    </w:rPr>
                    <w:t>terms of issue</w:t>
                  </w:r>
                  <w:r w:rsidR="0087579E">
                    <w:rPr>
                      <w:rFonts w:ascii="Times New Roman" w:eastAsia="Times New Roman" w:hAnsi="Times New Roman" w:cs="Times New Roman"/>
                      <w:sz w:val="14"/>
                      <w:szCs w:val="14"/>
                      <w:lang w:val="en-GB" w:eastAsia="cs-CZ"/>
                    </w:rPr>
                    <w:t xml:space="preserve"> </w:t>
                  </w:r>
                </w:p>
              </w:tc>
            </w:tr>
          </w:tbl>
          <w:p w:rsidR="00403DFA" w:rsidRPr="00C67FEB" w:rsidP="0087579E">
            <w:pPr>
              <w:keepNext/>
              <w:spacing w:before="120" w:after="120" w:line="240" w:lineRule="auto"/>
              <w:jc w:val="center"/>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Consultation:</w:t>
            </w:r>
          </w:p>
          <w:tbl>
            <w:tblPr>
              <w:tblW w:w="0" w:type="auto"/>
              <w:tblCellMar>
                <w:left w:w="0" w:type="dxa"/>
                <w:right w:w="0" w:type="dxa"/>
              </w:tblCellMar>
              <w:tblLook w:val="04A0"/>
            </w:tblPr>
            <w:tblGrid>
              <w:gridCol w:w="1083"/>
              <w:gridCol w:w="8540"/>
            </w:tblGrid>
            <w:tr>
              <w:tblPrEx>
                <w:tblW w:w="0" w:type="auto"/>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0070C0"/>
                  <w:tcMar>
                    <w:top w:w="0" w:type="dxa"/>
                    <w:left w:w="108" w:type="dxa"/>
                    <w:bottom w:w="0" w:type="dxa"/>
                    <w:right w:w="108" w:type="dxa"/>
                  </w:tcMar>
                  <w:hideMark/>
                </w:tcPr>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Question </w:t>
                  </w:r>
                </w:p>
              </w:tc>
              <w:tc>
                <w:tcPr>
                  <w:tcW w:w="0" w:type="auto"/>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5E0473"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14.1. Do you agree with the proposal to extend the requirements of terms of issue?</w:t>
                  </w:r>
                </w:p>
                <w:p w:rsidR="005E0473" w:rsidRPr="00C67FEB" w:rsidP="0087579E">
                  <w:pPr>
                    <w:keepNext/>
                    <w:spacing w:after="0" w:line="240" w:lineRule="auto"/>
                    <w:jc w:val="both"/>
                    <w:rPr>
                      <w:rFonts w:ascii="Times New Roman" w:eastAsia="Times New Roman" w:hAnsi="Times New Roman" w:cs="Times New Roman"/>
                      <w:color w:val="FFFFFF"/>
                      <w:sz w:val="24"/>
                      <w:szCs w:val="24"/>
                      <w:lang w:val="en-GB" w:eastAsia="cs-CZ"/>
                    </w:rPr>
                  </w:pPr>
                  <w:r w:rsidRPr="00C67FEB">
                    <w:rPr>
                      <w:rFonts w:ascii="Times New Roman" w:eastAsia="Times New Roman" w:hAnsi="Times New Roman" w:cs="Times New Roman"/>
                      <w:color w:val="FFFFFF"/>
                      <w:sz w:val="24"/>
                      <w:szCs w:val="24"/>
                      <w:lang w:val="en-GB" w:eastAsia="cs-CZ"/>
                    </w:rPr>
                    <w:t>14.2. Would you agree with the introduction of a key information document (in the form of a min</w:t>
                  </w:r>
                  <w:r w:rsidRPr="00C67FEB" w:rsidR="009B5EB9">
                    <w:rPr>
                      <w:rFonts w:ascii="Times New Roman" w:eastAsia="Times New Roman" w:hAnsi="Times New Roman" w:cs="Times New Roman"/>
                      <w:color w:val="FFFFFF"/>
                      <w:sz w:val="24"/>
                      <w:szCs w:val="24"/>
                      <w:lang w:val="en-GB" w:eastAsia="cs-CZ"/>
                    </w:rPr>
                    <w:t>i-prospectus</w:t>
                  </w:r>
                  <w:r w:rsidRPr="00C67FEB">
                    <w:rPr>
                      <w:rFonts w:ascii="Times New Roman" w:eastAsia="Times New Roman" w:hAnsi="Times New Roman" w:cs="Times New Roman"/>
                      <w:color w:val="FFFFFF"/>
                      <w:sz w:val="24"/>
                      <w:szCs w:val="24"/>
                      <w:lang w:val="en-GB" w:eastAsia="cs-CZ"/>
                    </w:rPr>
                    <w:t xml:space="preserve"> or similar document) for all issues offered?</w:t>
                  </w:r>
                </w:p>
                <w:p w:rsidR="00403DFA" w:rsidRPr="00C67FEB" w:rsidP="0087579E">
                  <w:pPr>
                    <w:keepNext/>
                    <w:spacing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color w:val="FFFFFF"/>
                      <w:sz w:val="24"/>
                      <w:szCs w:val="24"/>
                      <w:lang w:val="en-GB" w:eastAsia="cs-CZ"/>
                    </w:rPr>
                    <w:t xml:space="preserve">14.3. What parameters do you think the key information document should include? For example, it is advisable to be inspired by </w:t>
                  </w:r>
                  <w:r w:rsidRPr="00C67FEB" w:rsidR="009B5EB9">
                    <w:rPr>
                      <w:rFonts w:ascii="Times New Roman" w:eastAsia="Times New Roman" w:hAnsi="Times New Roman" w:cs="Times New Roman"/>
                      <w:color w:val="FFFFFF"/>
                      <w:sz w:val="24"/>
                      <w:szCs w:val="24"/>
                      <w:lang w:val="en-GB" w:eastAsia="cs-CZ"/>
                    </w:rPr>
                    <w:t>Corporate Bond Scorecard</w:t>
                  </w:r>
                  <w:r w:rsidRPr="00C67FEB">
                    <w:rPr>
                      <w:rFonts w:ascii="Times New Roman" w:eastAsia="Times New Roman" w:hAnsi="Times New Roman" w:cs="Times New Roman"/>
                      <w:color w:val="FFFFFF"/>
                      <w:sz w:val="24"/>
                      <w:szCs w:val="24"/>
                      <w:lang w:val="en-GB" w:eastAsia="cs-CZ"/>
                    </w:rPr>
                    <w:t>?</w:t>
                  </w:r>
                </w:p>
              </w:tc>
            </w:tr>
          </w:tbl>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Results of the consultation</w:t>
            </w:r>
          </w:p>
          <w:p w:rsidR="00403DFA" w:rsidRPr="00757542" w:rsidP="0087579E">
            <w:pPr>
              <w:keepNext/>
              <w:spacing w:before="120" w:after="120" w:line="240" w:lineRule="auto"/>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In general:</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agree with extending the </w:t>
            </w:r>
            <w:r w:rsidRPr="00C67FEB" w:rsidR="00785F23">
              <w:rPr>
                <w:rFonts w:ascii="Times New Roman" w:eastAsia="Times New Roman" w:hAnsi="Times New Roman" w:cs="Times New Roman"/>
                <w:i/>
                <w:iCs/>
                <w:sz w:val="24"/>
                <w:szCs w:val="24"/>
                <w:lang w:val="en-GB" w:eastAsia="cs-CZ"/>
              </w:rPr>
              <w:t>terms</w:t>
            </w:r>
            <w:r w:rsidRPr="00C67FEB" w:rsidR="003F285B">
              <w:rPr>
                <w:rFonts w:ascii="Times New Roman" w:eastAsia="Times New Roman" w:hAnsi="Times New Roman" w:cs="Times New Roman"/>
                <w:i/>
                <w:iCs/>
                <w:sz w:val="24"/>
                <w:szCs w:val="24"/>
                <w:lang w:val="en-GB" w:eastAsia="cs-CZ"/>
              </w:rPr>
              <w:t xml:space="preserve"> of issue</w:t>
            </w:r>
            <w:r w:rsidRPr="00C67FEB">
              <w:rPr>
                <w:rFonts w:ascii="Times New Roman" w:eastAsia="Times New Roman" w:hAnsi="Times New Roman" w:cs="Times New Roman"/>
                <w:i/>
                <w:iCs/>
                <w:sz w:val="24"/>
                <w:szCs w:val="24"/>
                <w:lang w:val="en-GB" w:eastAsia="cs-CZ"/>
              </w:rPr>
              <w:t xml:space="preserve"> according to the MF proposal. We consider some of the indicators presented as an example to supplement </w:t>
            </w:r>
            <w:r w:rsidRPr="00C67FEB" w:rsidR="00785F23">
              <w:rPr>
                <w:rFonts w:ascii="Times New Roman" w:eastAsia="Times New Roman" w:hAnsi="Times New Roman" w:cs="Times New Roman"/>
                <w:i/>
                <w:iCs/>
                <w:sz w:val="24"/>
                <w:szCs w:val="24"/>
                <w:lang w:val="en-GB" w:eastAsia="cs-CZ"/>
              </w:rPr>
              <w:t>terms of issue</w:t>
            </w:r>
            <w:r w:rsidRPr="00C67FEB">
              <w:rPr>
                <w:rFonts w:ascii="Times New Roman" w:eastAsia="Times New Roman" w:hAnsi="Times New Roman" w:cs="Times New Roman"/>
                <w:i/>
                <w:iCs/>
                <w:sz w:val="24"/>
                <w:szCs w:val="24"/>
                <w:lang w:val="en-GB" w:eastAsia="cs-CZ"/>
              </w:rPr>
              <w:t xml:space="preserve"> as a suitable additional guide for the investor's decision. However, we have doubts about the need to introduce a document described as a mini-prospectus. On the one hand, we do not see added value in the creation of another document in the issue of bonds; on the other, we are afraid of confusion with the actual prospectus approved by the Czech National Bank under the EU Prospectus Regulation. However, we do not agree with the statement of the Ministry of Finance on Supervisory Benchmark No. 2/2019, published by the Czech National Bank on 14 March 2019. According to current CNB supervision, there are retail customers who do not pass the adequacy test for corporate bonds</w:t>
            </w:r>
            <w:r w:rsidRPr="00C67FEB" w:rsidR="00785F23">
              <w:rPr>
                <w:rFonts w:ascii="Times New Roman" w:eastAsia="Times New Roman" w:hAnsi="Times New Roman" w:cs="Times New Roman"/>
                <w:i/>
                <w:iCs/>
                <w:sz w:val="24"/>
                <w:szCs w:val="24"/>
                <w:lang w:val="en-GB" w:eastAsia="cs-CZ"/>
              </w:rPr>
              <w:t>, i.e. not demonstrating that they have knowledge</w:t>
            </w:r>
            <w:r w:rsidRPr="00C67FEB">
              <w:rPr>
                <w:rFonts w:ascii="Times New Roman" w:eastAsia="Times New Roman" w:hAnsi="Times New Roman" w:cs="Times New Roman"/>
                <w:i/>
                <w:iCs/>
                <w:sz w:val="24"/>
                <w:szCs w:val="24"/>
                <w:lang w:val="en-GB" w:eastAsia="cs-CZ"/>
              </w:rPr>
              <w:t xml:space="preserve"> and experience to understand the risks associated with investing in illiquid corporate </w:t>
            </w:r>
            <w:r w:rsidRPr="00C67FEB">
              <w:rPr>
                <w:rFonts w:ascii="Times New Roman" w:eastAsia="Times New Roman" w:hAnsi="Times New Roman" w:cs="Times New Roman"/>
                <w:i/>
                <w:iCs/>
                <w:sz w:val="24"/>
                <w:szCs w:val="24"/>
                <w:lang w:val="en-GB" w:eastAsia="cs-CZ"/>
              </w:rPr>
              <w:t>bonds while being either outside the target market or even within the negative target market. We do not therefore agree with the view that small investors should be able to invest 10% of their financial assets in high-risk investment instruments whose risks they do not understand.</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One can only agree with the description of the significance of corporate bonds within the standard market economy. The background material lacks one of the important aspects of the whole issue - insufficient liquidity in the corporate bond market and thus very limited pricing information. Scorecard is certainly a suitable tool for the initial analysis of the issuer, but the lack of market comparison limits the informative ability of such an instrument. We would also like to propose a small addition to the </w:t>
            </w:r>
            <w:r w:rsidRPr="00C67FEB" w:rsidR="00785F23">
              <w:rPr>
                <w:rFonts w:ascii="Times New Roman" w:eastAsia="Times New Roman" w:hAnsi="Times New Roman" w:cs="Times New Roman"/>
                <w:i/>
                <w:iCs/>
                <w:sz w:val="24"/>
                <w:szCs w:val="24"/>
                <w:lang w:val="en-GB" w:eastAsia="cs-CZ"/>
              </w:rPr>
              <w:t>mini-prospectus</w:t>
            </w:r>
            <w:r w:rsidRPr="00C67FEB">
              <w:rPr>
                <w:rFonts w:ascii="Times New Roman" w:eastAsia="Times New Roman" w:hAnsi="Times New Roman" w:cs="Times New Roman"/>
                <w:i/>
                <w:iCs/>
                <w:sz w:val="24"/>
                <w:szCs w:val="24"/>
                <w:lang w:val="en-GB" w:eastAsia="cs-CZ"/>
              </w:rPr>
              <w:t xml:space="preserve">. For </w:t>
            </w:r>
            <w:r w:rsidRPr="00C67FEB" w:rsidR="00785F23">
              <w:rPr>
                <w:rFonts w:ascii="Times New Roman" w:eastAsia="Times New Roman" w:hAnsi="Times New Roman" w:cs="Times New Roman"/>
                <w:i/>
                <w:iCs/>
                <w:sz w:val="24"/>
                <w:szCs w:val="24"/>
                <w:lang w:val="en-GB" w:eastAsia="cs-CZ"/>
              </w:rPr>
              <w:t>mini-prospectuses</w:t>
            </w:r>
            <w:r w:rsidRPr="00C67FEB">
              <w:rPr>
                <w:rFonts w:ascii="Times New Roman" w:eastAsia="Times New Roman" w:hAnsi="Times New Roman" w:cs="Times New Roman"/>
                <w:i/>
                <w:iCs/>
                <w:sz w:val="24"/>
                <w:szCs w:val="24"/>
                <w:lang w:val="en-GB" w:eastAsia="cs-CZ"/>
              </w:rPr>
              <w:t xml:space="preserve"> we would recommend, for example: </w:t>
            </w:r>
            <w:r w:rsidRPr="00C67FEB" w:rsidR="00785F23">
              <w:rPr>
                <w:rFonts w:ascii="Times New Roman" w:eastAsia="Times New Roman" w:hAnsi="Times New Roman" w:cs="Times New Roman"/>
                <w:i/>
                <w:iCs/>
                <w:sz w:val="24"/>
                <w:szCs w:val="24"/>
                <w:lang w:val="en-GB" w:eastAsia="cs-CZ"/>
              </w:rPr>
              <w:t>s</w:t>
            </w:r>
            <w:r w:rsidRPr="00C67FEB">
              <w:rPr>
                <w:rFonts w:ascii="Times New Roman" w:eastAsia="Times New Roman" w:hAnsi="Times New Roman" w:cs="Times New Roman"/>
                <w:i/>
                <w:iCs/>
                <w:sz w:val="24"/>
                <w:szCs w:val="24"/>
                <w:lang w:val="en-GB" w:eastAsia="cs-CZ"/>
              </w:rPr>
              <w:t xml:space="preserve">upplementing </w:t>
            </w:r>
            <w:r w:rsidRPr="00C67FEB" w:rsidR="00785F23">
              <w:rPr>
                <w:rFonts w:ascii="Times New Roman" w:eastAsia="Times New Roman" w:hAnsi="Times New Roman" w:cs="Times New Roman"/>
                <w:i/>
                <w:iCs/>
                <w:sz w:val="24"/>
                <w:szCs w:val="24"/>
                <w:lang w:val="en-GB" w:eastAsia="cs-CZ"/>
              </w:rPr>
              <w:t>mini-prospectus</w:t>
            </w:r>
            <w:r w:rsidRPr="00C67FEB">
              <w:rPr>
                <w:rFonts w:ascii="Times New Roman" w:eastAsia="Times New Roman" w:hAnsi="Times New Roman" w:cs="Times New Roman"/>
                <w:i/>
                <w:iCs/>
                <w:sz w:val="24"/>
                <w:szCs w:val="24"/>
                <w:lang w:val="en-GB" w:eastAsia="cs-CZ"/>
              </w:rPr>
              <w:t xml:space="preserve"> with an overview of covenants from the full-value prospectus, Regularly updated statement of the issuer's statutory bodies on covenant </w:t>
            </w:r>
            <w:r w:rsidRPr="00C67FEB" w:rsidR="00785F23">
              <w:rPr>
                <w:rFonts w:ascii="Times New Roman" w:eastAsia="Times New Roman" w:hAnsi="Times New Roman" w:cs="Times New Roman"/>
                <w:i/>
                <w:iCs/>
                <w:sz w:val="24"/>
                <w:szCs w:val="24"/>
                <w:lang w:val="en-GB" w:eastAsia="cs-CZ"/>
              </w:rPr>
              <w:t>fulfilment</w:t>
            </w:r>
            <w:r w:rsidRPr="00C67FEB">
              <w:rPr>
                <w:rFonts w:ascii="Times New Roman" w:eastAsia="Times New Roman" w:hAnsi="Times New Roman" w:cs="Times New Roman"/>
                <w:i/>
                <w:iCs/>
                <w:sz w:val="24"/>
                <w:szCs w:val="24"/>
                <w:lang w:val="en-GB" w:eastAsia="cs-CZ"/>
              </w:rPr>
              <w:t>. Suggestion: Only very limited</w:t>
            </w:r>
            <w:r w:rsidRPr="00C67FEB" w:rsidR="00785F23">
              <w:rPr>
                <w:rFonts w:ascii="Times New Roman" w:eastAsia="Times New Roman" w:hAnsi="Times New Roman" w:cs="Times New Roman"/>
                <w:i/>
                <w:iCs/>
                <w:sz w:val="24"/>
                <w:szCs w:val="24"/>
                <w:lang w:val="en-GB" w:eastAsia="cs-CZ"/>
              </w:rPr>
              <w:t>ly</w:t>
            </w:r>
            <w:r w:rsidRPr="00C67FEB">
              <w:rPr>
                <w:rFonts w:ascii="Times New Roman" w:eastAsia="Times New Roman" w:hAnsi="Times New Roman" w:cs="Times New Roman"/>
                <w:i/>
                <w:iCs/>
                <w:sz w:val="24"/>
                <w:szCs w:val="24"/>
                <w:lang w:val="en-GB" w:eastAsia="cs-CZ"/>
              </w:rPr>
              <w:t xml:space="preserve"> is it possible to motivate bond traders to higher activity. Nevertheless, it is possible to use the web signpost platform to present all available information from individual market participants. Individual banks issue reports on bond market activity, and although it is often only a partial part (issues realized only by the banking group), it is possible to compose a more comprehensive picture of the conditions in the bond market.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Private person No 4</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Unnecessary.</w:t>
            </w:r>
          </w:p>
          <w:p w:rsidR="00403DFA" w:rsidRPr="00757542"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1:</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We agree with the proposal to extend the issue conditions stipulated in Section 9 of the Bonds Act to include some indicators proposed in the consultation material. Specifically, this should include information on the purpose of the issue, the issuer's financial statements and their verification by the auditor, including the presentation of selected economic indicators (</w:t>
            </w:r>
            <w:r w:rsidRPr="00C67FEB" w:rsidR="00785F23">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EBITDA) and the structure of the consolidation unit to which the issuer belongs. In this context, we also draw attention to the ESMA General Guidelines on Alternative Performance Indicators (ESMA / 2015 / 1415en). The declared purpose of the Guidelines for the publication of prospectuses and so-called regulated information is to ensure that the information presented is understandable and allows easy analysis. Therefore, alternative performance indicators should be defined, meaningfully </w:t>
            </w:r>
            <w:r w:rsidRPr="00C67FEB" w:rsidR="00785F23">
              <w:rPr>
                <w:rFonts w:ascii="Times New Roman" w:eastAsia="Times New Roman" w:hAnsi="Times New Roman" w:cs="Times New Roman"/>
                <w:i/>
                <w:iCs/>
                <w:sz w:val="24"/>
                <w:szCs w:val="24"/>
                <w:lang w:val="en-GB" w:eastAsia="cs-CZ"/>
              </w:rPr>
              <w:t>labelled</w:t>
            </w:r>
            <w:r w:rsidRPr="00C67FEB">
              <w:rPr>
                <w:rFonts w:ascii="Times New Roman" w:eastAsia="Times New Roman" w:hAnsi="Times New Roman" w:cs="Times New Roman"/>
                <w:i/>
                <w:iCs/>
                <w:sz w:val="24"/>
                <w:szCs w:val="24"/>
                <w:lang w:val="en-GB" w:eastAsia="cs-CZ"/>
              </w:rPr>
              <w:t xml:space="preserve"> and reconciled with the financial statements and their meaning and reliability should be explained. Although the effectiveness of the guidelines is limited to prospectuses and so-called regulated information under the EU Transparency Directive, the stated purpose certainly applies also to issues outside the prospectus regime (perhaps even more due to the anticipated retail nature and lower expertise of investors in small bond issues). On the other hand, we consider the requirement for indicators to be presented for three accounting periods to be too extensive, even for the standard bond prospectus, it is sufficient to provide data for two accounting periods. Furthermore, the question is whether it would be more beneficial to protect retail investors by extending the content of the issuance terms to the issuer's financial statements for the last two accounting periods, either by listing them directly in the issuing terms or by reference (similar to documents included in the prospectus). Mere information as to whether the financial statements stored in the Collection of Documents</w:t>
            </w:r>
            <w:r w:rsidRPr="00C67FEB" w:rsidR="00C32594">
              <w:rPr>
                <w:rFonts w:ascii="Times New Roman" w:eastAsia="Times New Roman" w:hAnsi="Times New Roman" w:cs="Times New Roman"/>
                <w:i/>
                <w:iCs/>
                <w:sz w:val="24"/>
                <w:szCs w:val="24"/>
                <w:lang w:val="en-GB" w:eastAsia="cs-CZ"/>
              </w:rPr>
              <w:t xml:space="preserve"> of the Commercial Register</w:t>
            </w:r>
            <w:r w:rsidRPr="00C67FEB">
              <w:rPr>
                <w:rFonts w:ascii="Times New Roman" w:eastAsia="Times New Roman" w:hAnsi="Times New Roman" w:cs="Times New Roman"/>
                <w:i/>
                <w:iCs/>
                <w:sz w:val="24"/>
                <w:szCs w:val="24"/>
                <w:lang w:val="en-GB" w:eastAsia="cs-CZ"/>
              </w:rPr>
              <w:t>, as stated in the proposal of the Ministry of Finance, seems to us insufficient.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32594">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 Yes.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In particular, public awareness should be raised that unlisted bonds are not intended for individual retail investors. Just as the state does not regulate lending of money between businesses and citizens, it should not regulate the purchase of un</w:t>
            </w:r>
            <w:r w:rsidRPr="00C67FEB" w:rsidR="00C32594">
              <w:rPr>
                <w:rFonts w:ascii="Times New Roman" w:eastAsia="Times New Roman" w:hAnsi="Times New Roman" w:cs="Times New Roman"/>
                <w:i/>
                <w:iCs/>
                <w:sz w:val="24"/>
                <w:szCs w:val="24"/>
                <w:lang w:val="en-GB" w:eastAsia="cs-CZ"/>
              </w:rPr>
              <w:t>listed</w:t>
            </w:r>
            <w:r w:rsidRPr="00C67FEB">
              <w:rPr>
                <w:rFonts w:ascii="Times New Roman" w:eastAsia="Times New Roman" w:hAnsi="Times New Roman" w:cs="Times New Roman"/>
                <w:i/>
                <w:iCs/>
                <w:sz w:val="24"/>
                <w:szCs w:val="24"/>
                <w:lang w:val="en-GB" w:eastAsia="cs-CZ"/>
              </w:rPr>
              <w:t xml:space="preserve"> bonds, which is nothing more than a securitized lending of money. Mock regulation will only add legitimacy and confusion to retail investors. We strongly support the listing of corporate bonds. It will benefit all portfolio managers not only in fund business. The state should support not only state or semi-state firms in the demand for capital in the form of a public offer of corporate bonds.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32594">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We do not see a reason for this because, for most retail issues, the relevant information is available from the prospectus to be published on their public offer or their listing on a regulated market. In addition, the prospectus is approved by the CNB, which certifies that the information therein is sufficient to enable the investor to make an informed decision. Moreover, taking into account the fact that in the Czech conditions the prospectus is usually prepared in the form of a single document, </w:t>
            </w:r>
            <w:r w:rsidRPr="00C67FEB" w:rsidR="00C32594">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the single document contains the </w:t>
            </w:r>
            <w:r w:rsidRPr="00C67FEB" w:rsidR="00C32594">
              <w:rPr>
                <w:rFonts w:ascii="Times New Roman" w:eastAsia="Times New Roman" w:hAnsi="Times New Roman" w:cs="Times New Roman"/>
                <w:i/>
                <w:iCs/>
                <w:sz w:val="24"/>
                <w:szCs w:val="24"/>
                <w:lang w:val="en-GB" w:eastAsia="cs-CZ"/>
              </w:rPr>
              <w:t>terms of issue</w:t>
            </w:r>
            <w:r w:rsidRPr="00C67FEB">
              <w:rPr>
                <w:rFonts w:ascii="Times New Roman" w:eastAsia="Times New Roman" w:hAnsi="Times New Roman" w:cs="Times New Roman"/>
                <w:i/>
                <w:iCs/>
                <w:sz w:val="24"/>
                <w:szCs w:val="24"/>
                <w:lang w:val="en-GB" w:eastAsia="cs-CZ"/>
              </w:rPr>
              <w:t xml:space="preserve"> and other information published under the Prospectus Regulation, the measures under consideration could impose a duplicate obligation information. This could then be in direct contradiction with the Prospectus Regulation.</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C32594">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As we wrote in the previous comments, we do not have a problem with such a procedure. On the contrary, we welcome </w:t>
            </w:r>
            <w:r w:rsidRPr="00C67FEB" w:rsidR="00C32594">
              <w:rPr>
                <w:rFonts w:ascii="Times New Roman" w:eastAsia="Times New Roman" w:hAnsi="Times New Roman" w:cs="Times New Roman"/>
                <w:i/>
                <w:iCs/>
                <w:sz w:val="24"/>
                <w:szCs w:val="24"/>
                <w:lang w:val="en-GB" w:eastAsia="cs-CZ"/>
              </w:rPr>
              <w:t>it</w:t>
            </w:r>
            <w:r w:rsidRPr="00C67FEB">
              <w:rPr>
                <w:rFonts w:ascii="Times New Roman" w:eastAsia="Times New Roman" w:hAnsi="Times New Roman" w:cs="Times New Roman"/>
                <w:i/>
                <w:iCs/>
                <w:sz w:val="24"/>
                <w:szCs w:val="24"/>
                <w:lang w:val="en-GB" w:eastAsia="cs-CZ"/>
              </w:rPr>
              <w:t xml:space="preserve">. Due to our requirements, </w:t>
            </w:r>
            <w:r w:rsidRPr="00C67FEB" w:rsidR="00C32594">
              <w:rPr>
                <w:rFonts w:ascii="Times New Roman" w:eastAsia="Times New Roman" w:hAnsi="Times New Roman" w:cs="Times New Roman"/>
                <w:i/>
                <w:iCs/>
                <w:sz w:val="24"/>
                <w:szCs w:val="24"/>
                <w:lang w:val="en-GB" w:eastAsia="cs-CZ"/>
              </w:rPr>
              <w:t>terms of issue</w:t>
            </w:r>
            <w:r w:rsidRPr="00C67FEB">
              <w:rPr>
                <w:rFonts w:ascii="Times New Roman" w:eastAsia="Times New Roman" w:hAnsi="Times New Roman" w:cs="Times New Roman"/>
                <w:i/>
                <w:iCs/>
                <w:sz w:val="24"/>
                <w:szCs w:val="24"/>
                <w:lang w:val="en-GB" w:eastAsia="cs-CZ"/>
              </w:rPr>
              <w:t xml:space="preserve"> of issuers that are allowed to advertise their issues with us on the portal are becoming more extensive. However, issuers do not always want to disclose all relevant data. If there is a standard that every issuer will have to comply with, then the work on market cultivation will be greatly facilitated.</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Private person </w:t>
            </w:r>
            <w:r w:rsidRPr="00757542" w:rsidR="00757542">
              <w:rPr>
                <w:rFonts w:ascii="Times New Roman" w:eastAsia="Times New Roman" w:hAnsi="Times New Roman" w:cs="Times New Roman"/>
                <w:b/>
                <w:bCs/>
                <w:sz w:val="24"/>
                <w:szCs w:val="24"/>
                <w:lang w:val="en-GB" w:eastAsia="cs-CZ"/>
              </w:rPr>
              <w:t xml:space="preserve">No </w:t>
            </w:r>
            <w:r w:rsidRPr="00757542">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 the above information should be provided in the document below.</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757542"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2:</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In general, the introduction of this obligation could become an appropriate tool to discourage those issuers who have not considered paying the issue in the future. However, we have reservations about the concept of the so-called mini-prospectus. Firstly, we do not see the added value of creating another document in addition to the </w:t>
            </w:r>
            <w:r w:rsidRPr="00C67FEB" w:rsidR="002C0366">
              <w:rPr>
                <w:rFonts w:ascii="Times New Roman" w:eastAsia="Times New Roman" w:hAnsi="Times New Roman" w:cs="Times New Roman"/>
                <w:i/>
                <w:iCs/>
                <w:sz w:val="24"/>
                <w:szCs w:val="24"/>
                <w:lang w:val="en-GB" w:eastAsia="cs-CZ"/>
              </w:rPr>
              <w:t>terms of issue</w:t>
            </w:r>
            <w:r w:rsidRPr="00C67FEB">
              <w:rPr>
                <w:rFonts w:ascii="Times New Roman" w:eastAsia="Times New Roman" w:hAnsi="Times New Roman" w:cs="Times New Roman"/>
                <w:i/>
                <w:iCs/>
                <w:sz w:val="24"/>
                <w:szCs w:val="24"/>
                <w:lang w:val="en-GB" w:eastAsia="cs-CZ"/>
              </w:rPr>
              <w:t xml:space="preserve"> (we would prefer to extend them), and secondly, we do not agree with its designation. A “mini</w:t>
            </w:r>
            <w:r w:rsidRPr="00C67FEB" w:rsidR="002C0366">
              <w:rPr>
                <w:rFonts w:ascii="Times New Roman" w:eastAsia="Times New Roman" w:hAnsi="Times New Roman" w:cs="Times New Roman"/>
                <w:i/>
                <w:iCs/>
                <w:sz w:val="24"/>
                <w:szCs w:val="24"/>
                <w:lang w:val="en-GB" w:eastAsia="cs-CZ"/>
              </w:rPr>
              <w:t>-</w:t>
            </w:r>
            <w:r w:rsidRPr="00C67FEB">
              <w:rPr>
                <w:rFonts w:ascii="Times New Roman" w:eastAsia="Times New Roman" w:hAnsi="Times New Roman" w:cs="Times New Roman"/>
                <w:i/>
                <w:iCs/>
                <w:sz w:val="24"/>
                <w:szCs w:val="24"/>
                <w:lang w:val="en-GB" w:eastAsia="cs-CZ"/>
              </w:rPr>
              <w:t>prospectus” that an investor may confuse with a standardized prospectus under the EU Prospectus Regulation (may give the impression that it has been approved by the CNB). The CNB does not seek to supervise “below-the-limit” bonds under the EU Prospectus Regulation; it is not important for it in terms of financial stability, the protection of investors as a whole or the development of the capital market.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2C0366">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Yes, but the proposal in Annex 2 still seems somewhat </w:t>
            </w:r>
            <w:r w:rsidRPr="00C67FEB" w:rsidR="002C0366">
              <w:rPr>
                <w:rFonts w:ascii="Times New Roman" w:eastAsia="Times New Roman" w:hAnsi="Times New Roman" w:cs="Times New Roman"/>
                <w:i/>
                <w:iCs/>
                <w:sz w:val="24"/>
                <w:szCs w:val="24"/>
                <w:lang w:val="en-GB" w:eastAsia="cs-CZ"/>
              </w:rPr>
              <w:t>incomprehensible to</w:t>
            </w:r>
            <w:r w:rsidRPr="00C67FEB">
              <w:rPr>
                <w:rFonts w:ascii="Times New Roman" w:eastAsia="Times New Roman" w:hAnsi="Times New Roman" w:cs="Times New Roman"/>
                <w:i/>
                <w:iCs/>
                <w:sz w:val="24"/>
                <w:szCs w:val="24"/>
                <w:lang w:val="en-GB" w:eastAsia="cs-CZ"/>
              </w:rPr>
              <w:t xml:space="preserve"> the average consumer.</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2C0366">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No. We perceive a mini-prospectus or similar document as an unnecessary administrative burden. For most retail issues, there is an obligation under the Prospectus Regulation to produce a summary which, from the perspective of investors, </w:t>
            </w:r>
            <w:r w:rsidRPr="00C67FEB" w:rsidR="002C0366">
              <w:rPr>
                <w:rFonts w:ascii="Times New Roman" w:eastAsia="Times New Roman" w:hAnsi="Times New Roman" w:cs="Times New Roman"/>
                <w:i/>
                <w:iCs/>
                <w:sz w:val="24"/>
                <w:szCs w:val="24"/>
                <w:lang w:val="en-GB" w:eastAsia="cs-CZ"/>
              </w:rPr>
              <w:t>fulfils</w:t>
            </w:r>
            <w:r w:rsidRPr="00C67FEB">
              <w:rPr>
                <w:rFonts w:ascii="Times New Roman" w:eastAsia="Times New Roman" w:hAnsi="Times New Roman" w:cs="Times New Roman"/>
                <w:i/>
                <w:iCs/>
                <w:sz w:val="24"/>
                <w:szCs w:val="24"/>
                <w:lang w:val="en-GB" w:eastAsia="cs-CZ"/>
              </w:rPr>
              <w:t xml:space="preserve"> (or should </w:t>
            </w:r>
            <w:r w:rsidRPr="00C67FEB" w:rsidR="002C0366">
              <w:rPr>
                <w:rFonts w:ascii="Times New Roman" w:eastAsia="Times New Roman" w:hAnsi="Times New Roman" w:cs="Times New Roman"/>
                <w:i/>
                <w:iCs/>
                <w:sz w:val="24"/>
                <w:szCs w:val="24"/>
                <w:lang w:val="en-GB" w:eastAsia="cs-CZ"/>
              </w:rPr>
              <w:t>fulfil</w:t>
            </w:r>
            <w:r w:rsidRPr="00C67FEB">
              <w:rPr>
                <w:rFonts w:ascii="Times New Roman" w:eastAsia="Times New Roman" w:hAnsi="Times New Roman" w:cs="Times New Roman"/>
                <w:i/>
                <w:iCs/>
                <w:sz w:val="24"/>
                <w:szCs w:val="24"/>
                <w:lang w:val="en-GB" w:eastAsia="cs-CZ"/>
              </w:rPr>
              <w:t>) a function similar to the measure under consideration. Therefore, we also see no reason to produce a mini-prospectus (or similar document) which, in turn, would only represent a duplication (in relation to the summary) if not a triple (in relation to the summary in conjunction with the information in the prospectus also outside the summary</w:t>
            </w:r>
            <w:r w:rsidRPr="00C67FEB">
              <w:rPr>
                <w:rFonts w:ascii="Times New Roman" w:eastAsia="Times New Roman" w:hAnsi="Times New Roman" w:cs="Times New Roman"/>
                <w:i/>
                <w:iCs/>
                <w:sz w:val="24"/>
                <w:szCs w:val="24"/>
                <w:lang w:val="en-GB" w:eastAsia="cs-CZ"/>
              </w:rPr>
              <w:t>)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2C0366">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but the proposal in Annex 2 still seems somewhat incomprehensible to the average consumer.</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Need another document? Isn't it enough to </w:t>
            </w:r>
            <w:r w:rsidRPr="00C67FEB" w:rsidR="002C0366">
              <w:rPr>
                <w:rFonts w:ascii="Times New Roman" w:eastAsia="Times New Roman" w:hAnsi="Times New Roman" w:cs="Times New Roman"/>
                <w:i/>
                <w:iCs/>
                <w:sz w:val="24"/>
                <w:szCs w:val="24"/>
                <w:lang w:val="en-GB" w:eastAsia="cs-CZ"/>
              </w:rPr>
              <w:t>enlarge</w:t>
            </w:r>
            <w:r w:rsidRPr="00C67FEB">
              <w:rPr>
                <w:rFonts w:ascii="Times New Roman" w:eastAsia="Times New Roman" w:hAnsi="Times New Roman" w:cs="Times New Roman"/>
                <w:i/>
                <w:iCs/>
                <w:sz w:val="24"/>
                <w:szCs w:val="24"/>
                <w:lang w:val="en-GB" w:eastAsia="cs-CZ"/>
              </w:rPr>
              <w:t xml:space="preserve"> the content of the information in the </w:t>
            </w:r>
            <w:r w:rsidRPr="00C67FEB" w:rsidR="002C0366">
              <w:rPr>
                <w:rFonts w:ascii="Times New Roman" w:eastAsia="Times New Roman" w:hAnsi="Times New Roman" w:cs="Times New Roman"/>
                <w:i/>
                <w:iCs/>
                <w:sz w:val="24"/>
                <w:szCs w:val="24"/>
                <w:lang w:val="en-GB" w:eastAsia="cs-CZ"/>
              </w:rPr>
              <w:t>terms of issue</w:t>
            </w:r>
            <w:r w:rsidRPr="00C67FEB">
              <w:rPr>
                <w:rFonts w:ascii="Times New Roman" w:eastAsia="Times New Roman" w:hAnsi="Times New Roman" w:cs="Times New Roman"/>
                <w:i/>
                <w:iCs/>
                <w:sz w:val="24"/>
                <w:szCs w:val="24"/>
                <w:lang w:val="en-GB" w:eastAsia="cs-CZ"/>
              </w:rPr>
              <w:t xml:space="preserve"> or the </w:t>
            </w:r>
            <w:r w:rsidRPr="00C67FEB" w:rsidR="002C0366">
              <w:rPr>
                <w:rFonts w:ascii="Times New Roman" w:eastAsia="Times New Roman" w:hAnsi="Times New Roman" w:cs="Times New Roman"/>
                <w:i/>
                <w:iCs/>
                <w:sz w:val="24"/>
                <w:szCs w:val="24"/>
                <w:lang w:val="en-GB" w:eastAsia="cs-CZ"/>
              </w:rPr>
              <w:t>p</w:t>
            </w:r>
            <w:r w:rsidRPr="00C67FEB">
              <w:rPr>
                <w:rFonts w:ascii="Times New Roman" w:eastAsia="Times New Roman" w:hAnsi="Times New Roman" w:cs="Times New Roman"/>
                <w:i/>
                <w:iCs/>
                <w:sz w:val="24"/>
                <w:szCs w:val="24"/>
                <w:lang w:val="en-GB" w:eastAsia="cs-CZ"/>
              </w:rPr>
              <w:t xml:space="preserve">rospectus? It is possible to set certain information to always appear </w:t>
            </w:r>
            <w:r w:rsidRPr="00C67FEB" w:rsidR="002C0366">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on pages 3 to 8 of the document, but we would not add another document. It only adds to issuers in the administration. We have experience in the insurance and banking sector, where this is done on the basis of European requirements and standards. In practice, however, clients do not care. They will receive 3 documents in which the same is the same (only </w:t>
            </w:r>
            <w:r w:rsidRPr="00C67FEB" w:rsidR="002C0366">
              <w:rPr>
                <w:rFonts w:ascii="Times New Roman" w:eastAsia="Times New Roman" w:hAnsi="Times New Roman" w:cs="Times New Roman"/>
                <w:i/>
                <w:iCs/>
                <w:sz w:val="24"/>
                <w:szCs w:val="24"/>
                <w:lang w:val="en-GB" w:eastAsia="cs-CZ"/>
              </w:rPr>
              <w:t>volume of the information is different</w:t>
            </w:r>
            <w:r w:rsidRPr="00C67FEB">
              <w:rPr>
                <w:rFonts w:ascii="Times New Roman" w:eastAsia="Times New Roman" w:hAnsi="Times New Roman" w:cs="Times New Roman"/>
                <w:i/>
                <w:iCs/>
                <w:sz w:val="24"/>
                <w:szCs w:val="24"/>
                <w:lang w:val="en-GB" w:eastAsia="cs-CZ"/>
              </w:rPr>
              <w:t xml:space="preserve">). They read one and overlook the other. Which would be risky for bonds. Here, on the contrary, we need investors to learn to read </w:t>
            </w:r>
            <w:r w:rsidRPr="00C67FEB" w:rsidR="002C0366">
              <w:rPr>
                <w:rFonts w:ascii="Times New Roman" w:eastAsia="Times New Roman" w:hAnsi="Times New Roman" w:cs="Times New Roman"/>
                <w:i/>
                <w:iCs/>
                <w:sz w:val="24"/>
                <w:szCs w:val="24"/>
                <w:lang w:val="en-GB" w:eastAsia="cs-CZ"/>
              </w:rPr>
              <w:t>the</w:t>
            </w:r>
            <w:r w:rsidR="00757542">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thoroughly submitted documents.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International </w:t>
            </w:r>
            <w:r w:rsidRPr="00757542" w:rsidR="002C0366">
              <w:rPr>
                <w:rFonts w:ascii="Times New Roman" w:eastAsia="Times New Roman" w:hAnsi="Times New Roman" w:cs="Times New Roman"/>
                <w:b/>
                <w:bCs/>
                <w:sz w:val="24"/>
                <w:szCs w:val="24"/>
                <w:lang w:val="en-GB" w:eastAsia="cs-CZ"/>
              </w:rPr>
              <w:t>m</w:t>
            </w:r>
            <w:r w:rsidRPr="00757542">
              <w:rPr>
                <w:rFonts w:ascii="Times New Roman" w:eastAsia="Times New Roman" w:hAnsi="Times New Roman" w:cs="Times New Roman"/>
                <w:b/>
                <w:bCs/>
                <w:sz w:val="24"/>
                <w:szCs w:val="24"/>
                <w:lang w:val="en-GB" w:eastAsia="cs-CZ"/>
              </w:rPr>
              <w:t xml:space="preserve">arket </w:t>
            </w:r>
            <w:r w:rsidRPr="00757542" w:rsidR="002C0366">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There is ongoing concern that the PRIIPs KID regime has significantly reduced the availability of bonds to retail investors in the EEA (most recently resulting in the exchange of letters between ESAs and the European Commission on the product scope of the PRIIPs regime). 3. This has been partially put down to specific content requirements for the KID PRIIPs. 4. However, the articulation of the PRIIPs KID concept itself has been a significant challenge: a clear purpose for short-form disclosure should be a quick first point of information and not the basis for an informed investment decision. However, the vague position under the PRIIPs regime has raised civil liability risk to the point of undermining and borrower's certainty of funding (</w:t>
            </w:r>
            <w:r w:rsidRPr="00C67FEB">
              <w:rPr>
                <w:rFonts w:ascii="Times New Roman" w:eastAsia="Times New Roman" w:hAnsi="Times New Roman" w:cs="Times New Roman"/>
                <w:i/>
                <w:iCs/>
                <w:sz w:val="24"/>
                <w:szCs w:val="24"/>
                <w:lang w:val="en-GB" w:eastAsia="cs-CZ"/>
              </w:rPr>
              <w:t>ie</w:t>
            </w:r>
            <w:r w:rsidRPr="00C67FEB">
              <w:rPr>
                <w:rFonts w:ascii="Times New Roman" w:eastAsia="Times New Roman" w:hAnsi="Times New Roman" w:cs="Times New Roman"/>
                <w:i/>
                <w:iCs/>
                <w:sz w:val="24"/>
                <w:szCs w:val="24"/>
                <w:lang w:val="en-GB" w:eastAsia="cs-CZ"/>
              </w:rPr>
              <w:t xml:space="preserve"> confidence that the borrowed amount can be used for the whole bond term) - certainly for investment grade benchmark-funding borrowers in the international markets (which consequently prefer to avoid retail investors unless they are clearly outside the product scope of PRIIPs). See more detailed reasoning set out in paragraphs 13-15 of ICMA's 28 September 2018 response3 to UK FCA's Call for Input: PRIIPs Regulation - initial experiences with new requirements. 5. If the proposed Czech KID is anything like the current PRIIPs of KID, it does not seem to be possible for its purpose to inform the investment decision (which “</w:t>
            </w:r>
            <w:r w:rsidRPr="00C67FEB">
              <w:rPr>
                <w:rFonts w:ascii="Times New Roman" w:eastAsia="Times New Roman" w:hAnsi="Times New Roman" w:cs="Times New Roman"/>
                <w:i/>
                <w:iCs/>
                <w:sz w:val="24"/>
                <w:szCs w:val="24"/>
                <w:lang w:val="en-GB" w:eastAsia="cs-CZ"/>
              </w:rPr>
              <w:t>MiniProspectus</w:t>
            </w:r>
            <w:r w:rsidRPr="00C67FEB">
              <w:rPr>
                <w:rFonts w:ascii="Times New Roman" w:eastAsia="Times New Roman" w:hAnsi="Times New Roman" w:cs="Times New Roman"/>
                <w:i/>
                <w:iCs/>
                <w:sz w:val="24"/>
                <w:szCs w:val="24"/>
                <w:lang w:val="en-GB" w:eastAsia="cs-CZ"/>
              </w:rPr>
              <w:t xml:space="preserve">” title seems to suggest), then it seems likely to replicate the reduced EEA availability at the Czech national level - but for all bonds (not just packaged) and all Czech-based investors (institutional as well as retail). 6. The introduction of the proposed Czech KID therefore seems likely to be severely detrimental to the existing debt markets in the Czech Republic, let alone their future development. 7. It also unclear what additional investor protection benefit would arise from such an introduction, which however seems to diverge from the stated key objectives of the EU Capital Markets Union initiative by imposing a regulatory burden over and above the current regulatory framework. 8. As a minor technical point, it seems PRIIPs made available to retail investors in the Czech Republic would need to </w:t>
            </w:r>
            <w:r w:rsidRPr="00C67FEB">
              <w:rPr>
                <w:rFonts w:ascii="Times New Roman" w:eastAsia="Times New Roman" w:hAnsi="Times New Roman" w:cs="Times New Roman"/>
                <w:i/>
                <w:iCs/>
                <w:sz w:val="24"/>
                <w:szCs w:val="24"/>
                <w:lang w:val="en-GB" w:eastAsia="cs-CZ"/>
              </w:rPr>
              <w:t>duplicately</w:t>
            </w:r>
            <w:r w:rsidRPr="00C67FEB">
              <w:rPr>
                <w:rFonts w:ascii="Times New Roman" w:eastAsia="Times New Roman" w:hAnsi="Times New Roman" w:cs="Times New Roman"/>
                <w:i/>
                <w:iCs/>
                <w:sz w:val="24"/>
                <w:szCs w:val="24"/>
                <w:lang w:val="en-GB" w:eastAsia="cs-CZ"/>
              </w:rPr>
              <w:t xml:space="preserve"> produce both PRIIPs and KID as well as the proposed Czech </w:t>
            </w:r>
            <w:r w:rsidRPr="00C67FEB" w:rsidR="002C0366">
              <w:rPr>
                <w:rFonts w:ascii="Times New Roman" w:eastAsia="Times New Roman" w:hAnsi="Times New Roman" w:cs="Times New Roman"/>
                <w:i/>
                <w:iCs/>
                <w:sz w:val="24"/>
                <w:szCs w:val="24"/>
                <w:lang w:val="en-GB" w:eastAsia="cs-CZ"/>
              </w:rPr>
              <w:t>KID.</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Private person </w:t>
            </w:r>
            <w:r w:rsidRPr="00757542" w:rsidR="002C0366">
              <w:rPr>
                <w:rFonts w:ascii="Times New Roman" w:eastAsia="Times New Roman" w:hAnsi="Times New Roman" w:cs="Times New Roman"/>
                <w:b/>
                <w:bCs/>
                <w:sz w:val="24"/>
                <w:szCs w:val="24"/>
                <w:lang w:val="en-GB" w:eastAsia="cs-CZ"/>
              </w:rPr>
              <w:t xml:space="preserve">No </w:t>
            </w:r>
            <w:r w:rsidRPr="00757542">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such a step could make the market more transparent for investors.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757542"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u w:val="single"/>
                <w:lang w:val="en-GB" w:eastAsia="cs-CZ"/>
              </w:rPr>
              <w:t>Ad 3:</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Supervisory Authority</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See</w:t>
            </w:r>
            <w:r w:rsidRPr="00C67FEB">
              <w:rPr>
                <w:rFonts w:ascii="Times New Roman" w:eastAsia="Times New Roman" w:hAnsi="Times New Roman" w:cs="Times New Roman"/>
                <w:i/>
                <w:iCs/>
                <w:sz w:val="24"/>
                <w:szCs w:val="24"/>
                <w:lang w:val="en-GB" w:eastAsia="cs-CZ"/>
              </w:rPr>
              <w:t xml:space="preserve"> the answer to the previous question.</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2C0366">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2C0366">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5</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However</w:t>
            </w:r>
            <w:r w:rsidRPr="00C67FEB" w:rsidR="00937281">
              <w:rPr>
                <w:rFonts w:ascii="Times New Roman" w:eastAsia="Times New Roman" w:hAnsi="Times New Roman" w:cs="Times New Roman"/>
                <w:i/>
                <w:iCs/>
                <w:sz w:val="24"/>
                <w:szCs w:val="24"/>
                <w:lang w:val="en-GB" w:eastAsia="cs-CZ"/>
              </w:rPr>
              <w:t>, we perceive generally positively</w:t>
            </w:r>
            <w:r w:rsidRPr="00C67FEB">
              <w:rPr>
                <w:rFonts w:ascii="Times New Roman" w:eastAsia="Times New Roman" w:hAnsi="Times New Roman" w:cs="Times New Roman"/>
                <w:i/>
                <w:iCs/>
                <w:sz w:val="24"/>
                <w:szCs w:val="24"/>
                <w:lang w:val="en-GB" w:eastAsia="cs-CZ"/>
              </w:rPr>
              <w:t xml:space="preserve"> the Ministry of Finance </w:t>
            </w:r>
            <w:r w:rsidRPr="00C67FEB" w:rsidR="00937281">
              <w:rPr>
                <w:rFonts w:ascii="Times New Roman" w:eastAsia="Times New Roman" w:hAnsi="Times New Roman" w:cs="Times New Roman"/>
                <w:i/>
                <w:iCs/>
                <w:sz w:val="24"/>
                <w:szCs w:val="24"/>
                <w:lang w:val="en-GB" w:eastAsia="cs-CZ"/>
              </w:rPr>
              <w:t>endeavours</w:t>
            </w:r>
            <w:r w:rsidRPr="00C67FEB">
              <w:rPr>
                <w:rFonts w:ascii="Times New Roman" w:eastAsia="Times New Roman" w:hAnsi="Times New Roman" w:cs="Times New Roman"/>
                <w:i/>
                <w:iCs/>
                <w:sz w:val="24"/>
                <w:szCs w:val="24"/>
                <w:lang w:val="en-GB" w:eastAsia="cs-CZ"/>
              </w:rPr>
              <w:t xml:space="preserve"> to mitigate the unprecedented and disproportionately stringent conclusions of the CNB Supervision Benchmark 2/2019. On the one hand, we understand (and agree) the idea of ​​solving today's (not ideal) situation on the primary bond market (issuer vs. client), and we will welcome some form of regulation of the placement rules. However, the relevant rules should not exceed the imperative of proportionality. If one of the instruments under consideration is to include certain “warnings”, resp. A 'warning' for investors, which </w:t>
            </w:r>
            <w:r w:rsidRPr="00C67FEB" w:rsidR="00937281">
              <w:rPr>
                <w:rFonts w:ascii="Times New Roman" w:eastAsia="Times New Roman" w:hAnsi="Times New Roman" w:cs="Times New Roman"/>
                <w:i/>
                <w:iCs/>
                <w:sz w:val="24"/>
                <w:szCs w:val="24"/>
                <w:lang w:val="en-GB" w:eastAsia="cs-CZ"/>
              </w:rPr>
              <w:t>can agree</w:t>
            </w:r>
            <w:r w:rsidRPr="00C67FEB">
              <w:rPr>
                <w:rFonts w:ascii="Times New Roman" w:eastAsia="Times New Roman" w:hAnsi="Times New Roman" w:cs="Times New Roman"/>
                <w:i/>
                <w:iCs/>
                <w:sz w:val="24"/>
                <w:szCs w:val="24"/>
                <w:lang w:val="en-GB" w:eastAsia="cs-CZ"/>
              </w:rPr>
              <w:t xml:space="preserve"> with such a procedure.</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Market </w:t>
            </w:r>
            <w:r w:rsidRPr="00757542" w:rsidR="00937281">
              <w:rPr>
                <w:rFonts w:ascii="Times New Roman" w:eastAsia="Times New Roman" w:hAnsi="Times New Roman" w:cs="Times New Roman"/>
                <w:b/>
                <w:bCs/>
                <w:sz w:val="24"/>
                <w:szCs w:val="24"/>
                <w:lang w:val="en-GB" w:eastAsia="cs-CZ"/>
              </w:rPr>
              <w:t>a</w:t>
            </w:r>
            <w:r w:rsidRPr="00757542" w:rsidR="00413F41">
              <w:rPr>
                <w:rFonts w:ascii="Times New Roman" w:eastAsia="Times New Roman" w:hAnsi="Times New Roman" w:cs="Times New Roman"/>
                <w:b/>
                <w:bCs/>
                <w:sz w:val="24"/>
                <w:szCs w:val="24"/>
                <w:lang w:val="en-GB" w:eastAsia="cs-CZ"/>
              </w:rPr>
              <w:t>ssociation</w:t>
            </w:r>
            <w:r w:rsidRPr="00757542">
              <w:rPr>
                <w:rFonts w:ascii="Times New Roman" w:eastAsia="Times New Roman" w:hAnsi="Times New Roman" w:cs="Times New Roman"/>
                <w:b/>
                <w:bCs/>
                <w:sz w:val="24"/>
                <w:szCs w:val="24"/>
                <w:lang w:val="en-GB" w:eastAsia="cs-CZ"/>
              </w:rPr>
              <w:t xml:space="preserve">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Without an answer.</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2</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 xml:space="preserve">The following proposal is added from the annex: Purpose of the issue - we would not limit it to so few characters. The purpose must be as specified as possible and investors should know where their finances are going. Only in this way is it possible to monitor the issue and evaluate whether the issuer </w:t>
            </w:r>
            <w:r w:rsidRPr="00C67FEB" w:rsidR="00937281">
              <w:rPr>
                <w:rFonts w:ascii="Times New Roman" w:eastAsia="Times New Roman" w:hAnsi="Times New Roman" w:cs="Times New Roman"/>
                <w:i/>
                <w:iCs/>
                <w:sz w:val="24"/>
                <w:szCs w:val="24"/>
                <w:lang w:val="en-GB" w:eastAsia="cs-CZ"/>
              </w:rPr>
              <w:t>fulfils</w:t>
            </w:r>
            <w:r w:rsidRPr="00C67FEB">
              <w:rPr>
                <w:rFonts w:ascii="Times New Roman" w:eastAsia="Times New Roman" w:hAnsi="Times New Roman" w:cs="Times New Roman"/>
                <w:i/>
                <w:iCs/>
                <w:sz w:val="24"/>
                <w:szCs w:val="24"/>
                <w:lang w:val="en-GB" w:eastAsia="cs-CZ"/>
              </w:rPr>
              <w:t xml:space="preserve"> the conditions of the issue by its conduct. Alternatively, reference must be made to the article where the investor learns (for example, it may be followed by redemption in the event of a breach, etc. See investor protection, </w:t>
            </w:r>
            <w:r w:rsidRPr="00C67FEB" w:rsidR="00937281">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through the Reinsurance Agent or the Joint Representative). Availability of documents - we are still struggling to publish documents. Given how this is used in the Czech Republic to compete, the question is whether to push issuers to do so. The important thing is to have these documents available to the investor, who decides to invest it </w:t>
            </w:r>
            <w:r w:rsidRPr="00C67FEB" w:rsidR="00937281">
              <w:rPr>
                <w:rFonts w:ascii="Times New Roman" w:eastAsia="Times New Roman" w:hAnsi="Times New Roman" w:cs="Times New Roman"/>
                <w:i/>
                <w:iCs/>
                <w:sz w:val="24"/>
                <w:szCs w:val="24"/>
                <w:lang w:val="en-GB" w:eastAsia="cs-CZ"/>
              </w:rPr>
              <w:t xml:space="preserve">- </w:t>
            </w:r>
            <w:r w:rsidRPr="00C67FEB">
              <w:rPr>
                <w:rFonts w:ascii="Times New Roman" w:eastAsia="Times New Roman" w:hAnsi="Times New Roman" w:cs="Times New Roman"/>
                <w:i/>
                <w:iCs/>
                <w:sz w:val="24"/>
                <w:szCs w:val="24"/>
                <w:lang w:val="en-GB" w:eastAsia="cs-CZ"/>
              </w:rPr>
              <w:t xml:space="preserve">undoubtedly - not a competitor or a journalist… We would add a Business Plan, Reinsurance - must be relevant. It is not only about assets, but also about the means of security - </w:t>
            </w:r>
            <w:r w:rsidRPr="00C67FEB" w:rsidR="00937281">
              <w:rPr>
                <w:rFonts w:ascii="Times New Roman" w:eastAsia="Times New Roman" w:hAnsi="Times New Roman" w:cs="Times New Roman"/>
                <w:i/>
                <w:iCs/>
                <w:sz w:val="24"/>
                <w:szCs w:val="24"/>
                <w:lang w:val="en-GB" w:eastAsia="cs-CZ"/>
              </w:rPr>
              <w:t>e.g.</w:t>
            </w:r>
            <w:r w:rsidRPr="00C67FEB">
              <w:rPr>
                <w:rFonts w:ascii="Times New Roman" w:eastAsia="Times New Roman" w:hAnsi="Times New Roman" w:cs="Times New Roman"/>
                <w:i/>
                <w:iCs/>
                <w:sz w:val="24"/>
                <w:szCs w:val="24"/>
                <w:lang w:val="en-GB" w:eastAsia="cs-CZ"/>
              </w:rPr>
              <w:t xml:space="preserve"> the Security Agent. Ownership Structure - should apply to the Issuer as well as to all of its issuers or key persons. To be clear how and where they do business and what their results are. We would add - Covenants, a specific overview of debt (what obligations the issuer already has - ideally with the possibility of verifying credit history).</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Market operator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No.</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Private person </w:t>
            </w:r>
            <w:r w:rsidRPr="00757542" w:rsidR="00937281">
              <w:rPr>
                <w:rFonts w:ascii="Times New Roman" w:eastAsia="Times New Roman" w:hAnsi="Times New Roman" w:cs="Times New Roman"/>
                <w:b/>
                <w:bCs/>
                <w:sz w:val="24"/>
                <w:szCs w:val="24"/>
                <w:lang w:val="en-GB" w:eastAsia="cs-CZ"/>
              </w:rPr>
              <w:t>No</w:t>
            </w:r>
            <w:r w:rsidRPr="00757542" w:rsidR="00757542">
              <w:rPr>
                <w:rFonts w:ascii="Times New Roman" w:eastAsia="Times New Roman" w:hAnsi="Times New Roman" w:cs="Times New Roman"/>
                <w:b/>
                <w:bCs/>
                <w:sz w:val="24"/>
                <w:szCs w:val="24"/>
                <w:lang w:val="en-GB" w:eastAsia="cs-CZ"/>
              </w:rPr>
              <w:t xml:space="preserve"> </w:t>
            </w:r>
            <w:r w:rsidRPr="00757542">
              <w:rPr>
                <w:rFonts w:ascii="Times New Roman" w:eastAsia="Times New Roman" w:hAnsi="Times New Roman" w:cs="Times New Roman"/>
                <w:b/>
                <w:bCs/>
                <w:sz w:val="24"/>
                <w:szCs w:val="24"/>
                <w:lang w:val="en-GB" w:eastAsia="cs-CZ"/>
              </w:rPr>
              <w:t>1</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 you can be inspired by this suggestion.</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Private person No 3</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Yes.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Private person No 4</w:t>
            </w:r>
          </w:p>
          <w:p w:rsidR="00403DFA" w:rsidRPr="00C67FEB" w:rsidP="0087579E">
            <w:pPr>
              <w:keepNext/>
              <w:spacing w:before="120" w:after="1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i/>
                <w:iCs/>
                <w:sz w:val="24"/>
                <w:szCs w:val="24"/>
                <w:lang w:val="en-GB" w:eastAsia="cs-CZ"/>
              </w:rPr>
              <w:t>Scorecard would be interesting.</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757542" w:rsidP="0087579E">
            <w:pPr>
              <w:pStyle w:val="Heading1"/>
              <w:keepLines w:val="0"/>
              <w:jc w:val="center"/>
              <w:rPr>
                <w:rFonts w:ascii="Times New Roman" w:hAnsi="Times New Roman" w:cs="Times New Roman"/>
                <w:b/>
                <w:bCs/>
                <w:color w:val="000000" w:themeColor="text1"/>
                <w:sz w:val="24"/>
                <w:szCs w:val="24"/>
                <w:bdr w:val="single" w:sz="4" w:space="0" w:color="auto"/>
                <w:lang w:val="en-GB" w:eastAsia="cs-CZ"/>
              </w:rPr>
            </w:pPr>
            <w:bookmarkStart w:id="65" w:name="_Toc38555315"/>
            <w:bookmarkStart w:id="66" w:name="_Toc36479381"/>
            <w:r w:rsidRPr="00757542">
              <w:rPr>
                <w:rFonts w:ascii="Times New Roman" w:hAnsi="Times New Roman" w:cs="Times New Roman"/>
                <w:b/>
                <w:bCs/>
                <w:color w:val="000000" w:themeColor="text1"/>
                <w:sz w:val="24"/>
                <w:szCs w:val="24"/>
                <w:bdr w:val="single" w:sz="4" w:space="0" w:color="auto"/>
                <w:lang w:val="en-GB" w:eastAsia="cs-CZ"/>
              </w:rPr>
              <w:t>2</w:t>
            </w:r>
            <w:r w:rsidRPr="00757542" w:rsidR="00937281">
              <w:rPr>
                <w:rFonts w:ascii="Times New Roman" w:hAnsi="Times New Roman" w:cs="Times New Roman"/>
                <w:b/>
                <w:bCs/>
                <w:color w:val="000000" w:themeColor="text1"/>
                <w:sz w:val="24"/>
                <w:szCs w:val="24"/>
                <w:bdr w:val="single" w:sz="4" w:space="0" w:color="auto"/>
                <w:lang w:val="en-GB" w:eastAsia="cs-CZ"/>
              </w:rPr>
              <w:t>.</w:t>
            </w:r>
            <w:r w:rsidRPr="00757542">
              <w:rPr>
                <w:rFonts w:ascii="Times New Roman" w:hAnsi="Times New Roman" w:cs="Times New Roman"/>
                <w:b/>
                <w:bCs/>
                <w:color w:val="000000" w:themeColor="text1"/>
                <w:sz w:val="24"/>
                <w:szCs w:val="24"/>
                <w:bdr w:val="single" w:sz="4" w:space="0" w:color="auto"/>
                <w:lang w:val="en-GB" w:eastAsia="cs-CZ"/>
              </w:rPr>
              <w:t xml:space="preserve">9 </w:t>
            </w:r>
            <w:r w:rsidRPr="00757542" w:rsidR="00937281">
              <w:rPr>
                <w:rFonts w:ascii="Times New Roman" w:hAnsi="Times New Roman" w:cs="Times New Roman"/>
                <w:b/>
                <w:bCs/>
                <w:color w:val="000000" w:themeColor="text1"/>
                <w:sz w:val="24"/>
                <w:szCs w:val="24"/>
                <w:bdr w:val="single" w:sz="4" w:space="0" w:color="auto"/>
                <w:lang w:val="en-GB" w:eastAsia="cs-CZ"/>
              </w:rPr>
              <w:t>A</w:t>
            </w:r>
            <w:r w:rsidRPr="00757542">
              <w:rPr>
                <w:rFonts w:ascii="Times New Roman" w:hAnsi="Times New Roman" w:cs="Times New Roman"/>
                <w:b/>
                <w:bCs/>
                <w:color w:val="000000" w:themeColor="text1"/>
                <w:sz w:val="24"/>
                <w:szCs w:val="24"/>
                <w:bdr w:val="single" w:sz="4" w:space="0" w:color="auto"/>
                <w:lang w:val="en-GB" w:eastAsia="cs-CZ"/>
              </w:rPr>
              <w:t xml:space="preserve">bolition of compulsory registration of funds </w:t>
            </w:r>
            <w:r w:rsidRPr="00757542" w:rsidR="00A8565B">
              <w:rPr>
                <w:rFonts w:ascii="Times New Roman" w:hAnsi="Times New Roman" w:cs="Times New Roman"/>
                <w:b/>
                <w:bCs/>
                <w:color w:val="000000" w:themeColor="text1"/>
                <w:sz w:val="24"/>
                <w:szCs w:val="24"/>
                <w:bdr w:val="single" w:sz="4" w:space="0" w:color="auto"/>
                <w:lang w:val="en-GB" w:eastAsia="cs-CZ"/>
              </w:rPr>
              <w:t>pursuant to</w:t>
            </w:r>
            <w:r w:rsidRPr="00757542" w:rsidR="00937281">
              <w:rPr>
                <w:rFonts w:ascii="Times New Roman" w:hAnsi="Times New Roman" w:cs="Times New Roman"/>
                <w:b/>
                <w:bCs/>
                <w:color w:val="000000" w:themeColor="text1"/>
                <w:sz w:val="24"/>
                <w:szCs w:val="24"/>
                <w:bdr w:val="single" w:sz="4" w:space="0" w:color="auto"/>
                <w:lang w:val="en-GB" w:eastAsia="cs-CZ"/>
              </w:rPr>
              <w:t xml:space="preserve"> Section</w:t>
            </w:r>
            <w:r w:rsidRPr="00757542">
              <w:rPr>
                <w:rFonts w:ascii="Times New Roman" w:hAnsi="Times New Roman" w:cs="Times New Roman"/>
                <w:b/>
                <w:bCs/>
                <w:color w:val="000000" w:themeColor="text1"/>
                <w:sz w:val="24"/>
                <w:szCs w:val="24"/>
                <w:bdr w:val="single" w:sz="4" w:space="0" w:color="auto"/>
                <w:lang w:val="en-GB" w:eastAsia="cs-CZ"/>
              </w:rPr>
              <w:t xml:space="preserve"> 325a </w:t>
            </w:r>
            <w:r w:rsidRPr="00757542" w:rsidR="00937281">
              <w:rPr>
                <w:rFonts w:ascii="Times New Roman" w:hAnsi="Times New Roman" w:cs="Times New Roman"/>
                <w:b/>
                <w:bCs/>
                <w:color w:val="000000" w:themeColor="text1"/>
                <w:sz w:val="24"/>
                <w:szCs w:val="24"/>
                <w:bdr w:val="single" w:sz="4" w:space="0" w:color="auto"/>
                <w:lang w:val="en-GB" w:eastAsia="cs-CZ"/>
              </w:rPr>
              <w:t>of the Management Companies and Investment Funds Act</w:t>
            </w:r>
            <w:r w:rsidRPr="00757542">
              <w:rPr>
                <w:rFonts w:ascii="Times New Roman" w:hAnsi="Times New Roman" w:cs="Times New Roman"/>
                <w:b/>
                <w:bCs/>
                <w:color w:val="000000" w:themeColor="text1"/>
                <w:sz w:val="24"/>
                <w:szCs w:val="24"/>
                <w:bdr w:val="single" w:sz="4" w:space="0" w:color="auto"/>
                <w:lang w:val="en-GB" w:eastAsia="cs-CZ"/>
              </w:rPr>
              <w:t xml:space="preserve"> </w:t>
            </w:r>
            <w:r w:rsidRPr="00757542" w:rsidR="00937281">
              <w:rPr>
                <w:rFonts w:ascii="Times New Roman" w:hAnsi="Times New Roman" w:cs="Times New Roman"/>
                <w:b/>
                <w:bCs/>
                <w:color w:val="000000" w:themeColor="text1"/>
                <w:sz w:val="24"/>
                <w:szCs w:val="24"/>
                <w:bdr w:val="single" w:sz="4" w:space="0" w:color="auto"/>
                <w:lang w:val="en-GB" w:eastAsia="cs-CZ"/>
              </w:rPr>
              <w:t>in list of the CNB</w:t>
            </w:r>
            <w:bookmarkEnd w:id="65"/>
            <w:r w:rsidRPr="00757542">
              <w:rPr>
                <w:rFonts w:ascii="Times New Roman" w:hAnsi="Times New Roman" w:cs="Times New Roman"/>
                <w:b/>
                <w:bCs/>
                <w:color w:val="000000" w:themeColor="text1"/>
                <w:sz w:val="24"/>
                <w:szCs w:val="24"/>
                <w:bdr w:val="single" w:sz="4" w:space="0" w:color="auto"/>
                <w:lang w:val="en-GB" w:eastAsia="cs-CZ"/>
              </w:rPr>
              <w:t xml:space="preserve"> </w:t>
            </w:r>
            <w:bookmarkEnd w:id="66"/>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public offering of funds of a manager established in a non-member state unauthorized to exceed the relevant limit or the relevant limit not exceeding, in the case of public offering in the Czech Republic, is subject to mandatory entry pursuant to </w:t>
            </w:r>
            <w:r w:rsidRPr="00C67FEB" w:rsidR="00A8565B">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325a of the </w:t>
            </w:r>
            <w:r w:rsidRPr="00C67FEB" w:rsidR="00937281">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into the CNB list</w:t>
            </w:r>
            <w:r w:rsidRPr="00C67FEB" w:rsidR="00A8565B">
              <w:rPr>
                <w:rFonts w:ascii="Times New Roman" w:eastAsia="Times New Roman" w:hAnsi="Times New Roman" w:cs="Times New Roman"/>
                <w:sz w:val="24"/>
                <w:szCs w:val="24"/>
                <w:lang w:val="en-GB" w:eastAsia="cs-CZ"/>
              </w:rPr>
              <w:t>, which is further modified by Section 597 (a) of the</w:t>
            </w:r>
            <w:r w:rsidRPr="00C67FEB">
              <w:rPr>
                <w:rFonts w:ascii="Times New Roman" w:eastAsia="Times New Roman" w:hAnsi="Times New Roman" w:cs="Times New Roman"/>
                <w:sz w:val="24"/>
                <w:szCs w:val="24"/>
                <w:lang w:val="en-GB" w:eastAsia="cs-CZ"/>
              </w:rPr>
              <w:t xml:space="preserve"> </w:t>
            </w:r>
            <w:r w:rsidRPr="00C67FEB" w:rsidR="00937281">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Three variants are considered:</w:t>
            </w:r>
          </w:p>
          <w:p w:rsidR="00403DFA" w:rsidRPr="00C67FEB" w:rsidP="0087579E">
            <w:pPr>
              <w:pStyle w:val="ListParagraph"/>
              <w:keepNext/>
              <w:numPr>
                <w:ilvl w:val="0"/>
                <w:numId w:val="29"/>
              </w:numPr>
              <w:spacing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A8565B">
              <w:rPr>
                <w:rFonts w:ascii="Times New Roman" w:eastAsia="Times New Roman" w:hAnsi="Times New Roman" w:cs="Times New Roman"/>
                <w:sz w:val="24"/>
                <w:szCs w:val="24"/>
                <w:lang w:val="en-GB" w:eastAsia="cs-CZ"/>
              </w:rPr>
              <w:t>maintaining</w:t>
            </w:r>
            <w:r w:rsidRPr="00C67FEB">
              <w:rPr>
                <w:rFonts w:ascii="Times New Roman" w:eastAsia="Times New Roman" w:hAnsi="Times New Roman" w:cs="Times New Roman"/>
                <w:sz w:val="24"/>
                <w:szCs w:val="24"/>
                <w:lang w:val="en-GB" w:eastAsia="cs-CZ"/>
              </w:rPr>
              <w:t xml:space="preserve"> the current status</w:t>
            </w:r>
          </w:p>
          <w:p w:rsidR="00403DFA" w:rsidRPr="00C67FEB" w:rsidP="0087579E">
            <w:pPr>
              <w:pStyle w:val="ListParagraph"/>
              <w:keepNext/>
              <w:numPr>
                <w:ilvl w:val="0"/>
                <w:numId w:val="29"/>
              </w:numPr>
              <w:spacing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w:t>
            </w:r>
            <w:r w:rsidRPr="00C67FEB" w:rsidR="00A8565B">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 xml:space="preserve">bolition of compulsory registration of funds pursuant to Section 325a of the </w:t>
            </w:r>
            <w:r w:rsidRPr="00C67FEB" w:rsidR="00A8565B">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in the CNB list</w:t>
            </w:r>
          </w:p>
          <w:p w:rsidR="00403DFA" w:rsidRPr="00C67FEB" w:rsidP="0087579E">
            <w:pPr>
              <w:pStyle w:val="ListParagraph"/>
              <w:keepNext/>
              <w:numPr>
                <w:ilvl w:val="0"/>
                <w:numId w:val="29"/>
              </w:numPr>
              <w:spacing w:after="20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 </w:t>
            </w:r>
            <w:r w:rsidRPr="00C67FEB" w:rsidR="00A8565B">
              <w:rPr>
                <w:rFonts w:ascii="Times New Roman" w:eastAsia="Times New Roman" w:hAnsi="Times New Roman" w:cs="Times New Roman"/>
                <w:sz w:val="24"/>
                <w:szCs w:val="24"/>
                <w:lang w:val="en-GB" w:eastAsia="cs-CZ"/>
              </w:rPr>
              <w:t>p</w:t>
            </w:r>
            <w:r w:rsidRPr="00C67FEB">
              <w:rPr>
                <w:rFonts w:ascii="Times New Roman" w:eastAsia="Times New Roman" w:hAnsi="Times New Roman" w:cs="Times New Roman"/>
                <w:sz w:val="24"/>
                <w:szCs w:val="24"/>
                <w:lang w:val="en-GB" w:eastAsia="cs-CZ"/>
              </w:rPr>
              <w:t xml:space="preserve">rohibiting </w:t>
            </w:r>
            <w:r w:rsidRPr="00C67FEB" w:rsidR="00A8565B">
              <w:rPr>
                <w:rFonts w:ascii="Times New Roman" w:eastAsia="Times New Roman" w:hAnsi="Times New Roman" w:cs="Times New Roman"/>
                <w:sz w:val="24"/>
                <w:szCs w:val="24"/>
                <w:lang w:val="en-GB" w:eastAsia="cs-CZ"/>
              </w:rPr>
              <w:t xml:space="preserve">of </w:t>
            </w:r>
            <w:r w:rsidRPr="00C67FEB">
              <w:rPr>
                <w:rFonts w:ascii="Times New Roman" w:eastAsia="Times New Roman" w:hAnsi="Times New Roman" w:cs="Times New Roman"/>
                <w:sz w:val="24"/>
                <w:szCs w:val="24"/>
                <w:lang w:val="en-GB" w:eastAsia="cs-CZ"/>
              </w:rPr>
              <w:t xml:space="preserve">public offering of these funds pursuant to Section 325a of the </w:t>
            </w:r>
            <w:r w:rsidRPr="00C67FEB" w:rsidR="00A8565B">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in the Czech Republic</w:t>
            </w:r>
          </w:p>
          <w:p w:rsidR="00403DFA" w:rsidRPr="00757542" w:rsidP="0087579E">
            <w:pPr>
              <w:keepNext/>
              <w:spacing w:after="20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Maintaining the status quo is problematic. In addition, Section 325a of the </w:t>
            </w:r>
            <w:r w:rsidRPr="00C67FEB" w:rsidR="00A8565B">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does not stipulate specific conditions for entry in the list kept by the CNB, including, inter alia, the documents and information to be submitted by the CNB applicant, or the electronic form of submission of applications or the deadline for entry. However, given the nature of such funds and the conditions for their operation, it is very difficult to define what conditions should be met when it is difficult to prove the existence of such a fund (</w:t>
            </w:r>
            <w:r w:rsidRPr="00C67FEB" w:rsidR="00A8565B">
              <w:rPr>
                <w:rFonts w:ascii="Times New Roman" w:eastAsia="Times New Roman" w:hAnsi="Times New Roman" w:cs="Times New Roman"/>
                <w:sz w:val="24"/>
                <w:szCs w:val="24"/>
                <w:lang w:val="en-GB" w:eastAsia="cs-CZ"/>
              </w:rPr>
              <w:t>e.g.</w:t>
            </w:r>
            <w:r w:rsidRPr="00C67FEB">
              <w:rPr>
                <w:rFonts w:ascii="Times New Roman" w:eastAsia="Times New Roman" w:hAnsi="Times New Roman" w:cs="Times New Roman"/>
                <w:sz w:val="24"/>
                <w:szCs w:val="24"/>
                <w:lang w:val="en-GB" w:eastAsia="cs-CZ"/>
              </w:rPr>
              <w:t xml:space="preserve"> in a third country register) or its manager (</w:t>
            </w:r>
            <w:r w:rsidRPr="00C67FEB" w:rsidR="000C1C2E">
              <w:rPr>
                <w:rFonts w:ascii="Times New Roman" w:eastAsia="Times New Roman" w:hAnsi="Times New Roman" w:cs="Times New Roman"/>
                <w:sz w:val="24"/>
                <w:szCs w:val="24"/>
                <w:lang w:val="en-GB" w:eastAsia="cs-CZ"/>
              </w:rPr>
              <w:t xml:space="preserve">not being authorised not being in </w:t>
            </w:r>
            <w:r w:rsidRPr="00C67FEB" w:rsidR="000C1C2E">
              <w:rPr>
                <w:rFonts w:ascii="Times New Roman" w:eastAsia="Times New Roman" w:hAnsi="Times New Roman" w:cs="Times New Roman"/>
                <w:sz w:val="24"/>
                <w:szCs w:val="24"/>
                <w:lang w:val="en-GB" w:eastAsia="cs-CZ"/>
              </w:rPr>
              <w:t>register</w:t>
            </w:r>
            <w:r w:rsidRPr="00C67FE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 This entails a great deal of </w:t>
            </w:r>
            <w:r w:rsidRPr="00C67FEB" w:rsidR="00A8565B">
              <w:rPr>
                <w:rFonts w:ascii="Times New Roman" w:eastAsia="Times New Roman" w:hAnsi="Times New Roman" w:cs="Times New Roman"/>
                <w:sz w:val="24"/>
                <w:szCs w:val="24"/>
                <w:lang w:val="en-GB" w:eastAsia="cs-CZ"/>
              </w:rPr>
              <w:t>cost,</w:t>
            </w:r>
            <w:r w:rsidRPr="00C67FEB">
              <w:rPr>
                <w:rFonts w:ascii="Times New Roman" w:eastAsia="Times New Roman" w:hAnsi="Times New Roman" w:cs="Times New Roman"/>
                <w:sz w:val="24"/>
                <w:szCs w:val="24"/>
                <w:lang w:val="en-GB" w:eastAsia="cs-CZ"/>
              </w:rPr>
              <w:t xml:space="preserve"> and even if such a delineation were made, it would be very difficult, even impossible, to impose sanctions on such funds (such as the </w:t>
            </w:r>
            <w:r w:rsidRPr="00C67FEB" w:rsidR="000C1C2E">
              <w:rPr>
                <w:rFonts w:ascii="Times New Roman" w:eastAsia="Times New Roman" w:hAnsi="Times New Roman" w:cs="Times New Roman"/>
                <w:sz w:val="24"/>
                <w:szCs w:val="24"/>
                <w:lang w:val="en-GB" w:eastAsia="cs-CZ"/>
              </w:rPr>
              <w:t>Cayman Islands</w:t>
            </w:r>
            <w:r w:rsidRPr="00C67FEB" w:rsidR="00A8565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based fund).</w:t>
            </w:r>
            <w:r w:rsidRPr="00C67FEB">
              <w:rPr>
                <w:rFonts w:ascii="Times New Roman" w:eastAsia="Times New Roman" w:hAnsi="Times New Roman" w:cs="Times New Roman"/>
                <w:lang w:val="en-GB" w:eastAsia="cs-CZ"/>
              </w:rPr>
              <w:t xml:space="preserve"> </w:t>
            </w:r>
          </w:p>
          <w:p w:rsidR="00403DFA" w:rsidRPr="00C67FEB" w:rsidP="0087579E">
            <w:pPr>
              <w:keepNext/>
              <w:spacing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325a of the </w:t>
            </w:r>
            <w:r w:rsidRPr="00C67FEB">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 xml:space="preserve">expressly refers to the terms of the public bidding, so it can be concluded, a </w:t>
            </w:r>
            <w:r w:rsidRPr="00C67FEB">
              <w:rPr>
                <w:rFonts w:ascii="Times New Roman" w:eastAsia="Times New Roman" w:hAnsi="Times New Roman" w:cs="Times New Roman"/>
                <w:sz w:val="24"/>
                <w:szCs w:val="24"/>
                <w:lang w:val="en-GB" w:eastAsia="cs-CZ"/>
              </w:rPr>
              <w:t>contrario</w:t>
            </w:r>
            <w:r w:rsidRPr="00C67FEB">
              <w:rPr>
                <w:rFonts w:ascii="Times New Roman" w:eastAsia="Times New Roman" w:hAnsi="Times New Roman" w:cs="Times New Roman"/>
                <w:sz w:val="24"/>
                <w:szCs w:val="24"/>
                <w:lang w:val="en-GB" w:eastAsia="cs-CZ"/>
              </w:rPr>
              <w:t>, that</w:t>
            </w:r>
            <w:r w:rsidRPr="00C67FEB">
              <w:rPr>
                <w:rFonts w:ascii="Times New Roman" w:eastAsia="Times New Roman" w:hAnsi="Times New Roman" w:cs="Times New Roman"/>
                <w:sz w:val="24"/>
                <w:szCs w:val="24"/>
                <w:lang w:val="en-GB" w:eastAsia="cs-CZ"/>
              </w:rPr>
              <w:t xml:space="preserve"> a bid that will not achieve the quality of the </w:t>
            </w:r>
            <w:r w:rsidRPr="00C67FEB">
              <w:rPr>
                <w:rFonts w:ascii="Times New Roman" w:eastAsia="Times New Roman" w:hAnsi="Times New Roman" w:cs="Times New Roman"/>
                <w:i/>
                <w:iCs/>
                <w:sz w:val="24"/>
                <w:szCs w:val="24"/>
                <w:lang w:val="en-GB" w:eastAsia="cs-CZ"/>
              </w:rPr>
              <w:t xml:space="preserve">private </w:t>
            </w:r>
            <w:r w:rsidRPr="00C67FEB">
              <w:rPr>
                <w:rFonts w:ascii="Times New Roman" w:eastAsia="Times New Roman" w:hAnsi="Times New Roman" w:cs="Times New Roman"/>
                <w:sz w:val="24"/>
                <w:szCs w:val="24"/>
                <w:lang w:val="en-GB" w:eastAsia="cs-CZ"/>
              </w:rPr>
              <w:t xml:space="preserve">bidding can be carried out without fulfilling the condition set out in this provision. However, the provision must be interpreted in conjunction with </w:t>
            </w:r>
            <w:r w:rsidRPr="00C67FEB">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296 and 297 (2) of the </w:t>
            </w:r>
            <w:r w:rsidRPr="00C67FEB">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which impose restrictions in relation to this category of funds - only a qualified investor can become an investor.</w:t>
            </w:r>
          </w:p>
          <w:p w:rsidR="00403DFA" w:rsidRPr="00757542" w:rsidP="0087579E">
            <w:pPr>
              <w:keepNext/>
              <w:spacing w:after="20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Option 1 - </w:t>
            </w:r>
            <w:r w:rsidRPr="00757542" w:rsidR="00A8565B">
              <w:rPr>
                <w:rFonts w:ascii="Times New Roman" w:eastAsia="Times New Roman" w:hAnsi="Times New Roman" w:cs="Times New Roman"/>
                <w:b/>
                <w:bCs/>
                <w:sz w:val="24"/>
                <w:szCs w:val="24"/>
                <w:lang w:val="en-GB" w:eastAsia="cs-CZ"/>
              </w:rPr>
              <w:t>abolition of compulsory registration of funds pursuant to Section 325a of the Management Companies and Investment Funds Act in the CNB list</w:t>
            </w:r>
          </w:p>
          <w:p w:rsidR="00403DFA" w:rsidRPr="00C67FEB" w:rsidP="0087579E">
            <w:pPr>
              <w:keepNext/>
              <w:spacing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Such a solution would still allow the possibility of offering these funds, while at the same time relieving the CNB of the problems and costs described in Option 0.</w:t>
            </w:r>
          </w:p>
          <w:p w:rsidR="00403DFA" w:rsidRPr="00757542" w:rsidP="0087579E">
            <w:pPr>
              <w:keepNext/>
              <w:spacing w:after="20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Option 2 - </w:t>
            </w:r>
            <w:r w:rsidRPr="00757542" w:rsidR="00A8565B">
              <w:rPr>
                <w:rFonts w:ascii="Times New Roman" w:eastAsia="Times New Roman" w:hAnsi="Times New Roman" w:cs="Times New Roman"/>
                <w:b/>
                <w:bCs/>
                <w:sz w:val="24"/>
                <w:szCs w:val="24"/>
                <w:lang w:val="en-GB" w:eastAsia="cs-CZ"/>
              </w:rPr>
              <w:t>prohibiting of public offering of these funds pursuant to Section 325a of the Management Companies and Investment Funds Act in the Czech Republic</w:t>
            </w:r>
          </w:p>
          <w:p w:rsidR="00403DFA" w:rsidRPr="00C67FEB" w:rsidP="0087579E">
            <w:pPr>
              <w:keepNext/>
              <w:spacing w:after="20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Such a solution would deprive the CNB of the problems and costs described in Option 0. It would also harm the attractiveness of the Czech capital market. It is very real situation that the public offering of affected funds in the Czech Republic would be </w:t>
            </w:r>
            <w:r w:rsidRPr="00C67FEB" w:rsidR="000C1C2E">
              <w:rPr>
                <w:rFonts w:ascii="Times New Roman" w:eastAsia="Times New Roman" w:hAnsi="Times New Roman" w:cs="Times New Roman"/>
                <w:sz w:val="24"/>
                <w:szCs w:val="24"/>
                <w:lang w:val="en-GB" w:eastAsia="cs-CZ"/>
              </w:rPr>
              <w:t>carried out illegally</w:t>
            </w:r>
            <w:r w:rsidRPr="00C67FEB">
              <w:rPr>
                <w:rFonts w:ascii="Times New Roman" w:eastAsia="Times New Roman" w:hAnsi="Times New Roman" w:cs="Times New Roman"/>
                <w:sz w:val="24"/>
                <w:szCs w:val="24"/>
                <w:lang w:val="en-GB" w:eastAsia="cs-CZ"/>
              </w:rPr>
              <w:t>, which would make it difficult or impossible to impose sanctions.</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Proposal of</w:t>
            </w:r>
            <w:r w:rsidRPr="00757542">
              <w:rPr>
                <w:rFonts w:ascii="Times New Roman" w:eastAsia="Times New Roman" w:hAnsi="Times New Roman" w:cs="Times New Roman"/>
                <w:b/>
                <w:bCs/>
                <w:sz w:val="24"/>
                <w:szCs w:val="24"/>
                <w:lang w:val="en-GB" w:eastAsia="cs-CZ"/>
              </w:rPr>
              <w:t xml:space="preserv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seems to be the most appropriate solution as it reduces the CNB's costs, clarifies and simplifies the existing legislation.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CNB will no longer have to solve the problem of proving the existence of such funds (</w:t>
            </w:r>
            <w:r w:rsidRPr="00C67FEB" w:rsidR="000C1C2E">
              <w:rPr>
                <w:rFonts w:ascii="Times New Roman" w:eastAsia="Times New Roman" w:hAnsi="Times New Roman" w:cs="Times New Roman"/>
                <w:sz w:val="24"/>
                <w:szCs w:val="24"/>
                <w:lang w:val="en-GB" w:eastAsia="cs-CZ"/>
              </w:rPr>
              <w:t>e.g.</w:t>
            </w:r>
            <w:r w:rsidRPr="00C67FEB">
              <w:rPr>
                <w:rFonts w:ascii="Times New Roman" w:eastAsia="Times New Roman" w:hAnsi="Times New Roman" w:cs="Times New Roman"/>
                <w:sz w:val="24"/>
                <w:szCs w:val="24"/>
                <w:lang w:val="en-GB" w:eastAsia="cs-CZ"/>
              </w:rPr>
              <w:t xml:space="preserve"> in a third country register) or their managers, or problematic imposing sanctions on such funds (for example, a </w:t>
            </w:r>
            <w:r w:rsidRPr="00C67FEB" w:rsidR="000C1C2E">
              <w:rPr>
                <w:rFonts w:ascii="Times New Roman" w:eastAsia="Times New Roman" w:hAnsi="Times New Roman" w:cs="Times New Roman"/>
                <w:sz w:val="24"/>
                <w:szCs w:val="24"/>
                <w:lang w:val="en-GB" w:eastAsia="cs-CZ"/>
              </w:rPr>
              <w:t xml:space="preserve">Cayman Islands </w:t>
            </w:r>
            <w:r w:rsidRPr="00C67FEB">
              <w:rPr>
                <w:rFonts w:ascii="Times New Roman" w:eastAsia="Times New Roman" w:hAnsi="Times New Roman" w:cs="Times New Roman"/>
                <w:sz w:val="24"/>
                <w:szCs w:val="24"/>
                <w:lang w:val="en-GB" w:eastAsia="cs-CZ"/>
              </w:rPr>
              <w:t>based fund).</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option will also reduce the costs of the previously enrolled financial institutions, as they will not have to </w:t>
            </w:r>
            <w:r w:rsidRPr="00C67FEB" w:rsidR="000C1C2E">
              <w:rPr>
                <w:rFonts w:ascii="Times New Roman" w:eastAsia="Times New Roman" w:hAnsi="Times New Roman" w:cs="Times New Roman"/>
                <w:sz w:val="24"/>
                <w:szCs w:val="24"/>
                <w:lang w:val="en-GB" w:eastAsia="cs-CZ"/>
              </w:rPr>
              <w:t>enrol</w:t>
            </w:r>
            <w:r w:rsidRPr="00C67FEB">
              <w:rPr>
                <w:rFonts w:ascii="Times New Roman" w:eastAsia="Times New Roman" w:hAnsi="Times New Roman" w:cs="Times New Roman"/>
                <w:sz w:val="24"/>
                <w:szCs w:val="24"/>
                <w:lang w:val="en-GB" w:eastAsia="cs-CZ"/>
              </w:rPr>
              <w:t xml:space="preserve">. The amendment of the legislation will lead to the deletion of the provision, thus simplifying the legal order. This issue is not based on the </w:t>
            </w:r>
            <w:r w:rsidRPr="00C67FEB" w:rsidR="000C1C2E">
              <w:rPr>
                <w:rFonts w:ascii="Times New Roman" w:eastAsia="Times New Roman" w:hAnsi="Times New Roman" w:cs="Times New Roman"/>
                <w:sz w:val="24"/>
                <w:szCs w:val="24"/>
                <w:lang w:val="en-GB" w:eastAsia="cs-CZ"/>
              </w:rPr>
              <w:t>Strategy</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Summary of impacts of the chosen </w:t>
            </w:r>
            <w:r w:rsidRPr="00757542" w:rsidR="00757542">
              <w:rPr>
                <w:rFonts w:ascii="Times New Roman" w:eastAsia="Times New Roman" w:hAnsi="Times New Roman" w:cs="Times New Roman"/>
                <w:b/>
                <w:bCs/>
                <w:sz w:val="24"/>
                <w:szCs w:val="24"/>
                <w:lang w:val="en-GB" w:eastAsia="cs-CZ"/>
              </w:rPr>
              <w:t>Option 1</w:t>
            </w:r>
          </w:p>
          <w:tbl>
            <w:tblPr>
              <w:tblW w:w="5000" w:type="pct"/>
              <w:tblCellMar>
                <w:left w:w="0" w:type="dxa"/>
                <w:right w:w="0" w:type="dxa"/>
              </w:tblCellMar>
              <w:tblLook w:val="04A0"/>
            </w:tblPr>
            <w:tblGrid>
              <w:gridCol w:w="5358"/>
              <w:gridCol w:w="4265"/>
            </w:tblGrid>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757542"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757542">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2216"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757542"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color w:val="FFFFFF"/>
                      <w:sz w:val="24"/>
                      <w:szCs w:val="24"/>
                      <w:lang w:val="en-GB" w:eastAsia="cs-CZ"/>
                    </w:rPr>
                    <w:t>Costs / negatives</w:t>
                  </w:r>
                </w:p>
              </w:tc>
            </w:tr>
            <w:tr>
              <w:tblPrEx>
                <w:tblW w:w="5000" w:type="pct"/>
                <w:tblCellMar>
                  <w:left w:w="0" w:type="dxa"/>
                  <w:right w:w="0" w:type="dxa"/>
                </w:tblCellMar>
                <w:tblLook w:val="04A0"/>
              </w:tblPrEx>
              <w:tc>
                <w:tcPr>
                  <w:tcW w:w="27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after="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Capital market development by simplifying regulation.</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Cost savings for financial institutions.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Save supervisory costs and other supervisory problems.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Eliminate over-regulation.</w:t>
                  </w:r>
                </w:p>
              </w:tc>
              <w:tc>
                <w:tcPr>
                  <w:tcW w:w="2216" w:type="pct"/>
                  <w:tcBorders>
                    <w:top w:val="single" w:sz="6" w:space="0" w:color="000000"/>
                    <w:left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The need to amend legislation. (</w:t>
                  </w:r>
                  <w:r w:rsidRPr="00C67FEB" w:rsidR="000C1C2E">
                    <w:rPr>
                      <w:rFonts w:ascii="Times New Roman" w:eastAsia="Times New Roman" w:hAnsi="Times New Roman" w:cs="Times New Roman"/>
                      <w:sz w:val="24"/>
                      <w:szCs w:val="24"/>
                      <w:lang w:val="en-GB" w:eastAsia="cs-CZ"/>
                    </w:rPr>
                    <w:t>the</w:t>
                  </w:r>
                  <w:r w:rsidRPr="00C67FEB" w:rsidR="000C1C2E">
                    <w:rPr>
                      <w:rFonts w:ascii="Times New Roman" w:eastAsia="Times New Roman" w:hAnsi="Times New Roman" w:cs="Times New Roman"/>
                      <w:sz w:val="24"/>
                      <w:szCs w:val="24"/>
                      <w:lang w:val="en-GB" w:eastAsia="cs-CZ"/>
                    </w:rPr>
                    <w:t xml:space="preserve"> Management Companies and Investment Funds Act</w:t>
                  </w:r>
                  <w:r w:rsidRPr="00C67FEB">
                    <w:rPr>
                      <w:rFonts w:ascii="Times New Roman" w:eastAsia="Times New Roman" w:hAnsi="Times New Roman" w:cs="Times New Roman"/>
                      <w:sz w:val="24"/>
                      <w:szCs w:val="24"/>
                      <w:lang w:val="en-GB" w:eastAsia="cs-CZ"/>
                    </w:rPr>
                    <w:t xml:space="preserve"> or related CNB regulations).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ind w:left="7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r>
              <w:tblPrEx>
                <w:tblW w:w="5000" w:type="pct"/>
                <w:tblCellMar>
                  <w:left w:w="0" w:type="dxa"/>
                  <w:right w:w="0" w:type="dxa"/>
                </w:tblCellMar>
                <w:tblLook w:val="04A0"/>
              </w:tblPrEx>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3DFA" w:rsidRPr="00C67FEB" w:rsidP="0087579E">
                  <w:pPr>
                    <w:keepNext/>
                    <w:spacing w:after="0" w:line="240" w:lineRule="auto"/>
                    <w:rPr>
                      <w:rFonts w:ascii="Times New Roman" w:eastAsia="Times New Roman" w:hAnsi="Times New Roman" w:cs="Times New Roman"/>
                      <w:sz w:val="24"/>
                      <w:szCs w:val="24"/>
                      <w:lang w:val="en-GB" w:eastAsia="cs-CZ"/>
                    </w:rPr>
                  </w:pPr>
                </w:p>
              </w:tc>
              <w:tc>
                <w:tcPr>
                  <w:tcW w:w="2216"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Consultation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issue is based on the CNB's comments in the preparation of this legislation and has since been </w:t>
            </w:r>
            <w:r w:rsidRPr="00C67FEB" w:rsidR="000C1C2E">
              <w:rPr>
                <w:rFonts w:ascii="Times New Roman" w:eastAsia="Times New Roman" w:hAnsi="Times New Roman" w:cs="Times New Roman"/>
                <w:sz w:val="24"/>
                <w:szCs w:val="24"/>
                <w:lang w:val="en-GB" w:eastAsia="cs-CZ"/>
              </w:rPr>
              <w:t>analysed</w:t>
            </w:r>
            <w:r w:rsidRPr="00C67FEB">
              <w:rPr>
                <w:rFonts w:ascii="Times New Roman" w:eastAsia="Times New Roman" w:hAnsi="Times New Roman" w:cs="Times New Roman"/>
                <w:sz w:val="24"/>
                <w:szCs w:val="24"/>
                <w:lang w:val="en-GB" w:eastAsia="cs-CZ"/>
              </w:rPr>
              <w:t xml:space="preserve"> and consulted with the entities concerned. The chosen option should reflect the achieved consensus.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757542" w:rsidP="0087579E">
            <w:pPr>
              <w:pStyle w:val="Heading1"/>
              <w:keepLines w:val="0"/>
              <w:pBdr>
                <w:left w:val="single" w:sz="4" w:space="4" w:color="auto"/>
              </w:pBdr>
              <w:jc w:val="center"/>
              <w:rPr>
                <w:rFonts w:eastAsia="Times New Roman"/>
                <w:b/>
                <w:bCs/>
                <w:lang w:val="en-GB" w:eastAsia="cs-CZ"/>
              </w:rPr>
            </w:pPr>
            <w:bookmarkStart w:id="67" w:name="_Toc38555316"/>
            <w:r w:rsidRPr="00757542">
              <w:rPr>
                <w:rFonts w:ascii="Times New Roman" w:hAnsi="Times New Roman" w:cs="Times New Roman"/>
                <w:b/>
                <w:bCs/>
                <w:color w:val="000000" w:themeColor="text1"/>
                <w:sz w:val="24"/>
                <w:szCs w:val="24"/>
                <w:bdr w:val="single" w:sz="4" w:space="0" w:color="auto"/>
                <w:lang w:val="en-GB" w:eastAsia="cs-CZ"/>
              </w:rPr>
              <w:t>2.</w:t>
            </w:r>
            <w:r w:rsidRPr="00757542" w:rsidR="00B161CD">
              <w:rPr>
                <w:rFonts w:ascii="Times New Roman" w:hAnsi="Times New Roman" w:cs="Times New Roman"/>
                <w:b/>
                <w:bCs/>
                <w:color w:val="000000" w:themeColor="text1"/>
                <w:sz w:val="24"/>
                <w:szCs w:val="24"/>
                <w:bdr w:val="single" w:sz="4" w:space="0" w:color="auto"/>
                <w:lang w:val="en-GB" w:eastAsia="cs-CZ"/>
              </w:rPr>
              <w:t xml:space="preserve">10 </w:t>
            </w:r>
            <w:r w:rsidRPr="00757542">
              <w:rPr>
                <w:rFonts w:ascii="Times New Roman" w:hAnsi="Times New Roman" w:cs="Times New Roman"/>
                <w:b/>
                <w:bCs/>
                <w:color w:val="000000" w:themeColor="text1"/>
                <w:sz w:val="24"/>
                <w:szCs w:val="24"/>
                <w:bdr w:val="single" w:sz="4" w:space="0" w:color="auto"/>
                <w:lang w:val="en-GB" w:eastAsia="cs-CZ"/>
              </w:rPr>
              <w:t>Extension of the possibility to be a fiduciary to a management company that is not entitled to exceed the decisive limit and to a person pursuant to Section 15 of the Management Companies and Investment Funds Act</w:t>
            </w:r>
            <w:bookmarkEnd w:id="67"/>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Current status and current legislation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trust fund under the legislation in </w:t>
            </w:r>
            <w:r w:rsidRPr="00C67FEB" w:rsidR="00D26B97">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is based on the principle of joint investment of funds and participation in the development of the value of the trust fund for the purpose of investment evaluation. The trust fund provided for in the </w:t>
            </w:r>
            <w:r w:rsidRPr="00C67FEB" w:rsidR="00D26B97">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 xml:space="preserve">differs from the trust fund provided for in the </w:t>
            </w:r>
            <w:r w:rsidRPr="00C67FEB" w:rsidR="00D26B97">
              <w:rPr>
                <w:rFonts w:ascii="Times New Roman" w:eastAsia="Times New Roman" w:hAnsi="Times New Roman" w:cs="Times New Roman"/>
                <w:sz w:val="24"/>
                <w:szCs w:val="24"/>
                <w:lang w:val="en-GB" w:eastAsia="cs-CZ"/>
              </w:rPr>
              <w:t>Civil Code</w:t>
            </w:r>
            <w:r w:rsidRPr="00C67FEB">
              <w:rPr>
                <w:rFonts w:ascii="Times New Roman" w:eastAsia="Times New Roman" w:hAnsi="Times New Roman" w:cs="Times New Roman"/>
                <w:sz w:val="24"/>
                <w:szCs w:val="24"/>
                <w:lang w:val="en-GB" w:eastAsia="cs-CZ"/>
              </w:rPr>
              <w:t xml:space="preserve"> in that it is an investment fund supervised by the CNB. The Investment Trust Fund is a qualified investor fund (</w:t>
            </w:r>
            <w:r w:rsidRPr="00C67FEB" w:rsidR="00D26B97">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101 </w:t>
            </w:r>
            <w:r w:rsidRPr="00C67FEB" w:rsidR="00D26B97">
              <w:rPr>
                <w:rFonts w:ascii="Times New Roman" w:eastAsia="Times New Roman" w:hAnsi="Times New Roman" w:cs="Times New Roman"/>
                <w:sz w:val="24"/>
                <w:szCs w:val="24"/>
                <w:lang w:val="en-GB" w:eastAsia="cs-CZ"/>
              </w:rPr>
              <w:t>of the Management Companies and Investment Funds Act</w:t>
            </w:r>
            <w:r w:rsidRPr="00C67FEB">
              <w:rPr>
                <w:rFonts w:ascii="Times New Roman" w:eastAsia="Times New Roman" w:hAnsi="Times New Roman" w:cs="Times New Roman"/>
                <w:sz w:val="24"/>
                <w:szCs w:val="24"/>
                <w:lang w:val="en-GB" w:eastAsia="cs-CZ"/>
              </w:rPr>
              <w:t>), it may not serve as a means of investment offered to the public and cannot be created by earmarking assets from a collective investment fund (</w:t>
            </w:r>
            <w:r w:rsidRPr="00C67FEB" w:rsidR="00D26B97">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148 (1) </w:t>
            </w:r>
            <w:r w:rsidRPr="00C67FEB" w:rsidR="00D26B97">
              <w:rPr>
                <w:rFonts w:ascii="Times New Roman" w:eastAsia="Times New Roman" w:hAnsi="Times New Roman" w:cs="Times New Roman"/>
                <w:sz w:val="24"/>
                <w:szCs w:val="24"/>
                <w:lang w:val="en-GB" w:eastAsia="cs-CZ"/>
              </w:rPr>
              <w:t>of the Management Companies and Investment Funds Act</w:t>
            </w:r>
            <w:r w:rsidRPr="00C67FEB">
              <w:rPr>
                <w:rFonts w:ascii="Times New Roman" w:eastAsia="Times New Roman" w:hAnsi="Times New Roman" w:cs="Times New Roman"/>
                <w:sz w:val="24"/>
                <w:szCs w:val="24"/>
                <w:lang w:val="en-GB" w:eastAsia="cs-CZ"/>
              </w:rPr>
              <w: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According to the current wording in </w:t>
            </w:r>
            <w:r w:rsidRPr="00C67FEB" w:rsidR="00D26B97">
              <w:rPr>
                <w:rFonts w:ascii="Times New Roman" w:eastAsia="Times New Roman" w:hAnsi="Times New Roman" w:cs="Times New Roman"/>
                <w:sz w:val="24"/>
                <w:szCs w:val="24"/>
                <w:lang w:val="en-GB" w:eastAsia="cs-CZ"/>
              </w:rPr>
              <w:t>the Management Companies and Investment Funds Act</w:t>
            </w:r>
            <w:r w:rsidRPr="00C67FEB">
              <w:rPr>
                <w:rFonts w:ascii="Times New Roman" w:eastAsia="Times New Roman" w:hAnsi="Times New Roman" w:cs="Times New Roman"/>
                <w:sz w:val="24"/>
                <w:szCs w:val="24"/>
                <w:lang w:val="en-GB" w:eastAsia="cs-CZ"/>
              </w:rPr>
              <w:t xml:space="preserve">, the legal regulation of trust funds as investment funds is conceived in such a way that the beneficiary is at the </w:t>
            </w:r>
            <w:r w:rsidRPr="00C67FEB">
              <w:rPr>
                <w:rFonts w:ascii="Times New Roman" w:eastAsia="Times New Roman" w:hAnsi="Times New Roman" w:cs="Times New Roman"/>
                <w:sz w:val="24"/>
                <w:szCs w:val="24"/>
                <w:lang w:val="en-GB" w:eastAsia="cs-CZ"/>
              </w:rPr>
              <w:t xml:space="preserve">same time under </w:t>
            </w:r>
            <w:r w:rsidRPr="00C67FEB" w:rsidR="00D26B97">
              <w:rPr>
                <w:rFonts w:ascii="Times New Roman" w:eastAsia="Times New Roman" w:hAnsi="Times New Roman" w:cs="Times New Roman"/>
                <w:sz w:val="24"/>
                <w:szCs w:val="24"/>
                <w:lang w:val="en-GB" w:eastAsia="cs-CZ"/>
              </w:rPr>
              <w:t>Section 95 (1)(c)(1)</w:t>
            </w:r>
            <w:r w:rsidRPr="00C67FEB">
              <w:rPr>
                <w:rFonts w:ascii="Times New Roman" w:eastAsia="Times New Roman" w:hAnsi="Times New Roman" w:cs="Times New Roman"/>
                <w:sz w:val="24"/>
                <w:szCs w:val="24"/>
                <w:lang w:val="en-GB" w:eastAsia="cs-CZ"/>
              </w:rPr>
              <w:t xml:space="preserve"> of the </w:t>
            </w:r>
            <w:r w:rsidRPr="00C67FEB" w:rsidR="00D26B97">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 xml:space="preserve">an investor (qualified investor). Given the nature of the investment fund, the law is based on the logic that the investor and the person to be fulfilled must represent the same entity. In the case of a trust fund which is an investment fund, only the founder of the fund or one who has contractually increased its assets, the so-called contributor, can be considered. Investors of the </w:t>
            </w:r>
            <w:r w:rsidRPr="00C67FEB" w:rsidR="00D26B97">
              <w:rPr>
                <w:rFonts w:ascii="Times New Roman" w:eastAsia="Times New Roman" w:hAnsi="Times New Roman" w:cs="Times New Roman"/>
                <w:sz w:val="24"/>
                <w:szCs w:val="24"/>
                <w:lang w:val="en-GB" w:eastAsia="cs-CZ"/>
              </w:rPr>
              <w:t>q</w:t>
            </w:r>
            <w:r w:rsidRPr="00C67FEB">
              <w:rPr>
                <w:rFonts w:ascii="Times New Roman" w:eastAsia="Times New Roman" w:hAnsi="Times New Roman" w:cs="Times New Roman"/>
                <w:sz w:val="24"/>
                <w:szCs w:val="24"/>
                <w:lang w:val="en-GB" w:eastAsia="cs-CZ"/>
              </w:rPr>
              <w:t xml:space="preserve">ualified </w:t>
            </w:r>
            <w:r w:rsidRPr="00C67FEB" w:rsidR="00D26B97">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 xml:space="preserve">nvestor </w:t>
            </w:r>
            <w:r w:rsidRPr="00C67FEB" w:rsidR="00D26B97">
              <w:rPr>
                <w:rFonts w:ascii="Times New Roman" w:eastAsia="Times New Roman" w:hAnsi="Times New Roman" w:cs="Times New Roman"/>
                <w:sz w:val="24"/>
                <w:szCs w:val="24"/>
                <w:lang w:val="en-GB" w:eastAsia="cs-CZ"/>
              </w:rPr>
              <w:t>t</w:t>
            </w:r>
            <w:r w:rsidRPr="00C67FEB">
              <w:rPr>
                <w:rFonts w:ascii="Times New Roman" w:eastAsia="Times New Roman" w:hAnsi="Times New Roman" w:cs="Times New Roman"/>
                <w:sz w:val="24"/>
                <w:szCs w:val="24"/>
                <w:lang w:val="en-GB" w:eastAsia="cs-CZ"/>
              </w:rPr>
              <w:t xml:space="preserve">rust </w:t>
            </w:r>
            <w:r w:rsidRPr="00C67FEB" w:rsidR="00D26B97">
              <w:rPr>
                <w:rFonts w:ascii="Times New Roman" w:eastAsia="Times New Roman" w:hAnsi="Times New Roman" w:cs="Times New Roman"/>
                <w:sz w:val="24"/>
                <w:szCs w:val="24"/>
                <w:lang w:val="en-GB" w:eastAsia="cs-CZ"/>
              </w:rPr>
              <w:t>f</w:t>
            </w:r>
            <w:r w:rsidRPr="00C67FEB">
              <w:rPr>
                <w:rFonts w:ascii="Times New Roman" w:eastAsia="Times New Roman" w:hAnsi="Times New Roman" w:cs="Times New Roman"/>
                <w:sz w:val="24"/>
                <w:szCs w:val="24"/>
                <w:lang w:val="en-GB" w:eastAsia="cs-CZ"/>
              </w:rPr>
              <w:t xml:space="preserve">und therefore invest resources for their own benefit. The question is, however, whether it is reasonable to require that the beneficiary must always be an investor and whether the investor could not invest in the benefit of a person who is not an investor who does not face investment risk and is only </w:t>
            </w:r>
            <w:r w:rsidRPr="00C67FEB" w:rsidR="00D26B97">
              <w:rPr>
                <w:rFonts w:ascii="Times New Roman" w:eastAsia="Times New Roman" w:hAnsi="Times New Roman" w:cs="Times New Roman"/>
                <w:sz w:val="24"/>
                <w:szCs w:val="24"/>
                <w:lang w:val="en-GB" w:eastAsia="cs-CZ"/>
              </w:rPr>
              <w:t>beneficiary</w:t>
            </w:r>
            <w:r w:rsidRPr="00C67FEB">
              <w:rPr>
                <w:rFonts w:ascii="Times New Roman" w:eastAsia="Times New Roman" w:hAnsi="Times New Roman" w:cs="Times New Roman"/>
                <w:sz w:val="24"/>
                <w:szCs w:val="24"/>
                <w:lang w:val="en-GB" w:eastAsia="cs-CZ"/>
              </w:rPr>
              <w:t xml:space="preserve"> (parent for his / her child, etc.).</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Pursuant to</w:t>
            </w:r>
            <w:r w:rsidRPr="00C67FEB">
              <w:rPr>
                <w:rFonts w:ascii="Times New Roman" w:eastAsia="Times New Roman" w:hAnsi="Times New Roman" w:cs="Times New Roman"/>
                <w:sz w:val="24"/>
                <w:szCs w:val="24"/>
                <w:lang w:val="en-GB" w:eastAsia="cs-CZ"/>
              </w:rPr>
              <w:t xml:space="preserve"> Section 1453 of the Civil Code, the </w:t>
            </w:r>
            <w:r w:rsidRPr="00C67FEB">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xml:space="preserve"> may be any natural person or legal entity designated by law. At present, the authorization to perform the function of trustee is granted to </w:t>
            </w:r>
            <w:r w:rsidRPr="00C67FEB">
              <w:rPr>
                <w:rFonts w:ascii="Times New Roman" w:eastAsia="Times New Roman" w:hAnsi="Times New Roman" w:cs="Times New Roman"/>
                <w:sz w:val="24"/>
                <w:szCs w:val="24"/>
                <w:lang w:val="en-GB" w:eastAsia="cs-CZ"/>
              </w:rPr>
              <w:t>management</w:t>
            </w:r>
            <w:r w:rsidRPr="00C67FEB">
              <w:rPr>
                <w:rFonts w:ascii="Times New Roman" w:eastAsia="Times New Roman" w:hAnsi="Times New Roman" w:cs="Times New Roman"/>
                <w:sz w:val="24"/>
                <w:szCs w:val="24"/>
                <w:lang w:val="en-GB" w:eastAsia="cs-CZ"/>
              </w:rPr>
              <w:t xml:space="preserve"> companies, which may be </w:t>
            </w:r>
            <w:r w:rsidRPr="00C67FEB" w:rsidR="00654583">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xml:space="preserve"> of an investment fund created as a trust fund, as well as a trust fund that is not an investment fund.</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is further concretized by the fact that a company authorized to exceed the relevant limit, which is authorized to provide investment services to manage the assets of the customer, which includes the investment instrument, at the discretion of the contractual arrangement (hereinafter referred to as “portfolio management”), and with a license pursuant to </w:t>
            </w:r>
            <w:r w:rsidRPr="00C67FEB" w:rsidR="00D26B97">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481 of a </w:t>
            </w:r>
            <w:r w:rsidRPr="00C67FEB" w:rsidR="00D26B97">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 xml:space="preserve">that is authorized to provide portfolio management investment services may also, as an entrepreneur, also be a </w:t>
            </w:r>
            <w:r w:rsidRPr="00C67FEB" w:rsidR="00654583">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xml:space="preserve"> of a trust fund that is not an investment fund if it is a management company under AIFMD and not UCITS </w:t>
            </w:r>
            <w:r w:rsidRPr="00C67FEB" w:rsidR="00D26B97">
              <w:rPr>
                <w:rFonts w:ascii="Times New Roman" w:eastAsia="Times New Roman" w:hAnsi="Times New Roman" w:cs="Times New Roman"/>
                <w:sz w:val="24"/>
                <w:szCs w:val="24"/>
                <w:lang w:val="en-GB" w:eastAsia="cs-CZ"/>
              </w:rPr>
              <w:t>(Section 11 (4) and (6) of the Management Companies and Investment Funds Act</w:t>
            </w:r>
            <w:r w:rsidRPr="00C67FEB">
              <w:rPr>
                <w:rFonts w:ascii="Times New Roman" w:eastAsia="Times New Roman" w:hAnsi="Times New Roman" w:cs="Times New Roman"/>
                <w:sz w:val="24"/>
                <w:szCs w:val="24"/>
                <w:lang w:val="en-GB" w:eastAsia="cs-CZ"/>
              </w:rPr>
              <w: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Pursuant to Section 15 (1) of the </w:t>
            </w:r>
            <w:r w:rsidRPr="00C67FEB" w:rsidR="00D26B97">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a legal person who is not authorized to manage investment funds and in the Czech Republic manages or intends to manage assets consisting in the collect</w:t>
            </w:r>
            <w:r w:rsidRPr="00C67FEB" w:rsidR="00654583">
              <w:rPr>
                <w:rFonts w:ascii="Times New Roman" w:eastAsia="Times New Roman" w:hAnsi="Times New Roman" w:cs="Times New Roman"/>
                <w:sz w:val="24"/>
                <w:szCs w:val="24"/>
                <w:lang w:val="en-GB" w:eastAsia="cs-CZ"/>
              </w:rPr>
              <w:t>ing of funds</w:t>
            </w:r>
            <w:r w:rsidRPr="00C67FEB">
              <w:rPr>
                <w:rFonts w:ascii="Times New Roman" w:eastAsia="Times New Roman" w:hAnsi="Times New Roman" w:cs="Times New Roman"/>
                <w:sz w:val="24"/>
                <w:szCs w:val="24"/>
                <w:lang w:val="en-GB" w:eastAsia="cs-CZ"/>
              </w:rPr>
              <w:t xml:space="preserve"> or money valued from investors or acquired for such funds money-valued assets, for the purpose of its joint investment on the basis of a determined strategy in </w:t>
            </w:r>
            <w:r w:rsidRPr="00C67FEB" w:rsidR="00D26B97">
              <w:rPr>
                <w:rFonts w:ascii="Times New Roman" w:eastAsia="Times New Roman" w:hAnsi="Times New Roman" w:cs="Times New Roman"/>
                <w:sz w:val="24"/>
                <w:szCs w:val="24"/>
                <w:lang w:val="en-GB" w:eastAsia="cs-CZ"/>
              </w:rPr>
              <w:t>favour</w:t>
            </w:r>
            <w:r w:rsidRPr="00C67FEB">
              <w:rPr>
                <w:rFonts w:ascii="Times New Roman" w:eastAsia="Times New Roman" w:hAnsi="Times New Roman" w:cs="Times New Roman"/>
                <w:sz w:val="24"/>
                <w:szCs w:val="24"/>
                <w:lang w:val="en-GB" w:eastAsia="cs-CZ"/>
              </w:rPr>
              <w:t xml:space="preserve"> of these investors, must submit an application for entry in the list maintained by the Czech National Bank pursuant to Section 596 (f) and be entered in that list. However, such a person cannot also be a </w:t>
            </w:r>
            <w:r w:rsidRPr="00C67FEB" w:rsidR="00654583">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xml:space="preserve"> who is not an investment fund.</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It follows from the foregoing that an investment company which is not authorized to exceed the relevant limit and that a person registered in accordance with </w:t>
            </w:r>
            <w:r w:rsidRPr="00C67FEB" w:rsidR="00654583">
              <w:rPr>
                <w:rFonts w:ascii="Times New Roman" w:eastAsia="Times New Roman" w:hAnsi="Times New Roman" w:cs="Times New Roman"/>
                <w:sz w:val="24"/>
                <w:szCs w:val="24"/>
                <w:lang w:val="en-GB" w:eastAsia="cs-CZ"/>
              </w:rPr>
              <w:t>Section</w:t>
            </w:r>
            <w:r w:rsidRPr="00C67FEB">
              <w:rPr>
                <w:rFonts w:ascii="Times New Roman" w:eastAsia="Times New Roman" w:hAnsi="Times New Roman" w:cs="Times New Roman"/>
                <w:sz w:val="24"/>
                <w:szCs w:val="24"/>
                <w:lang w:val="en-GB" w:eastAsia="cs-CZ"/>
              </w:rPr>
              <w:t xml:space="preserve"> 15 of the </w:t>
            </w:r>
            <w:r w:rsidRPr="00C67FEB" w:rsidR="00654583">
              <w:rPr>
                <w:rFonts w:ascii="Times New Roman" w:eastAsia="Times New Roman" w:hAnsi="Times New Roman" w:cs="Times New Roman"/>
                <w:sz w:val="24"/>
                <w:szCs w:val="24"/>
                <w:lang w:val="en-GB" w:eastAsia="cs-CZ"/>
              </w:rPr>
              <w:t xml:space="preserve">Management Companies and Investment Funds Act </w:t>
            </w:r>
            <w:r w:rsidRPr="00C67FEB">
              <w:rPr>
                <w:rFonts w:ascii="Times New Roman" w:eastAsia="Times New Roman" w:hAnsi="Times New Roman" w:cs="Times New Roman"/>
                <w:sz w:val="24"/>
                <w:szCs w:val="24"/>
                <w:lang w:val="en-GB" w:eastAsia="cs-CZ"/>
              </w:rPr>
              <w:t xml:space="preserve">cannot be a </w:t>
            </w:r>
            <w:r w:rsidRPr="00C67FEB" w:rsidR="00654583">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xml:space="preserve"> of a trust fund which is not an investment fund. This situation seems to be unnecessarily restrictive to some financial market players, and at the same time there is a clear demand for such managers and customers themselves, as described below.</w:t>
            </w:r>
            <w:r w:rsidR="0087579E">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Design of solution variants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Two variants are considered:</w:t>
            </w:r>
          </w:p>
          <w:p w:rsidR="00403DFA" w:rsidRPr="00C67FEB" w:rsidP="0087579E">
            <w:pPr>
              <w:pStyle w:val="ListParagraph"/>
              <w:keepNext/>
              <w:numPr>
                <w:ilvl w:val="0"/>
                <w:numId w:val="31"/>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0 - </w:t>
            </w:r>
            <w:r w:rsidRPr="00C67FEB" w:rsidR="00654583">
              <w:rPr>
                <w:rFonts w:ascii="Times New Roman" w:eastAsia="Times New Roman" w:hAnsi="Times New Roman" w:cs="Times New Roman"/>
                <w:sz w:val="24"/>
                <w:szCs w:val="24"/>
                <w:lang w:val="en-GB" w:eastAsia="cs-CZ"/>
              </w:rPr>
              <w:t>maintaining</w:t>
            </w:r>
            <w:r w:rsidRPr="00C67FEB">
              <w:rPr>
                <w:rFonts w:ascii="Times New Roman" w:eastAsia="Times New Roman" w:hAnsi="Times New Roman" w:cs="Times New Roman"/>
                <w:sz w:val="24"/>
                <w:szCs w:val="24"/>
                <w:lang w:val="en-GB" w:eastAsia="cs-CZ"/>
              </w:rPr>
              <w:t xml:space="preserve"> the current status</w:t>
            </w:r>
          </w:p>
          <w:p w:rsidR="00403DFA" w:rsidRPr="00C67FEB" w:rsidP="0087579E">
            <w:pPr>
              <w:pStyle w:val="ListParagraph"/>
              <w:keepNext/>
              <w:numPr>
                <w:ilvl w:val="0"/>
                <w:numId w:val="31"/>
              </w:numPr>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w:t>
            </w:r>
            <w:r w:rsidRPr="00C67FEB" w:rsidR="00654583">
              <w:rPr>
                <w:rFonts w:ascii="Times New Roman" w:eastAsia="Times New Roman" w:hAnsi="Times New Roman" w:cs="Times New Roman"/>
                <w:sz w:val="24"/>
                <w:szCs w:val="24"/>
                <w:lang w:val="en-GB" w:eastAsia="cs-CZ"/>
              </w:rPr>
              <w:t>extension of the possibility to be a fiduciary to a management company that is not entitled to exceed the decisive limit and to a person pursuant to Section 15 of the Management Companies and Investment Funds Act</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Option 0 - maintaining the current status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There will be no positives or costs if the status quo is maintained.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 xml:space="preserve">Option 1 - </w:t>
            </w:r>
            <w:r w:rsidRPr="00757542" w:rsidR="00654583">
              <w:rPr>
                <w:rFonts w:ascii="Times New Roman" w:eastAsia="Times New Roman" w:hAnsi="Times New Roman" w:cs="Times New Roman"/>
                <w:b/>
                <w:bCs/>
                <w:sz w:val="24"/>
                <w:szCs w:val="24"/>
                <w:lang w:val="en-GB" w:eastAsia="cs-CZ"/>
              </w:rPr>
              <w:t>extension of the possibility to be a fiduciary to a management company that is not entitled to exceed the decisive limit and to a person pursuant to Section 15 of the Management Companies and Investment Funds Act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If </w:t>
            </w:r>
            <w:r w:rsidRPr="00C67FEB" w:rsidR="00654583">
              <w:rPr>
                <w:rFonts w:ascii="Times New Roman" w:eastAsia="Times New Roman" w:hAnsi="Times New Roman" w:cs="Times New Roman"/>
                <w:sz w:val="24"/>
                <w:szCs w:val="24"/>
                <w:lang w:val="en-GB" w:eastAsia="cs-CZ"/>
              </w:rPr>
              <w:t>a management</w:t>
            </w:r>
            <w:r w:rsidRPr="00C67FEB">
              <w:rPr>
                <w:rFonts w:ascii="Times New Roman" w:eastAsia="Times New Roman" w:hAnsi="Times New Roman" w:cs="Times New Roman"/>
                <w:sz w:val="24"/>
                <w:szCs w:val="24"/>
                <w:lang w:val="en-GB" w:eastAsia="cs-CZ"/>
              </w:rPr>
              <w:t xml:space="preserve"> company that is not </w:t>
            </w:r>
            <w:r w:rsidRPr="00C67FEB" w:rsidR="00654583">
              <w:rPr>
                <w:rFonts w:ascii="Times New Roman" w:eastAsia="Times New Roman" w:hAnsi="Times New Roman" w:cs="Times New Roman"/>
                <w:sz w:val="24"/>
                <w:szCs w:val="24"/>
                <w:lang w:val="en-GB" w:eastAsia="cs-CZ"/>
              </w:rPr>
              <w:t xml:space="preserve">entitled to exceed the decisive limit </w:t>
            </w:r>
            <w:r w:rsidRPr="00C67FEB">
              <w:rPr>
                <w:rFonts w:ascii="Times New Roman" w:eastAsia="Times New Roman" w:hAnsi="Times New Roman" w:cs="Times New Roman"/>
                <w:sz w:val="24"/>
                <w:szCs w:val="24"/>
                <w:lang w:val="en-GB" w:eastAsia="cs-CZ"/>
              </w:rPr>
              <w:t xml:space="preserve">and authorized to provide portfolio management investment service as an entrepreneur and a person registered </w:t>
            </w:r>
            <w:r w:rsidRPr="00C67FEB" w:rsidR="00654583">
              <w:rPr>
                <w:rFonts w:ascii="Times New Roman" w:eastAsia="Times New Roman" w:hAnsi="Times New Roman" w:cs="Times New Roman"/>
                <w:sz w:val="24"/>
                <w:szCs w:val="24"/>
                <w:lang w:val="en-GB" w:eastAsia="cs-CZ"/>
              </w:rPr>
              <w:t>pursuant to Section 15 of the Management Companies and Investment Funds Act</w:t>
            </w:r>
            <w:r w:rsidRPr="00C67FEB">
              <w:rPr>
                <w:rFonts w:ascii="Times New Roman" w:eastAsia="Times New Roman" w:hAnsi="Times New Roman" w:cs="Times New Roman"/>
                <w:sz w:val="24"/>
                <w:szCs w:val="24"/>
                <w:lang w:val="en-GB" w:eastAsia="cs-CZ"/>
              </w:rPr>
              <w:t xml:space="preserve"> could be a </w:t>
            </w:r>
            <w:r w:rsidRPr="00C67FEB" w:rsidR="00654583">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xml:space="preserve"> of a non-investment trust, it would increase the attractiveness of the capital market</w:t>
            </w:r>
            <w:r w:rsidRPr="00C67FEB" w:rsidR="00654583">
              <w:rPr>
                <w:rFonts w:ascii="Times New Roman" w:eastAsia="Times New Roman" w:hAnsi="Times New Roman" w:cs="Times New Roman"/>
                <w:sz w:val="24"/>
                <w:szCs w:val="24"/>
                <w:lang w:val="en-GB" w:eastAsia="cs-CZ"/>
              </w:rPr>
              <w:t>, as many</w:t>
            </w:r>
            <w:r w:rsidRPr="00C67FEB">
              <w:rPr>
                <w:rFonts w:ascii="Times New Roman" w:eastAsia="Times New Roman" w:hAnsi="Times New Roman" w:cs="Times New Roman"/>
                <w:sz w:val="24"/>
                <w:szCs w:val="24"/>
                <w:lang w:val="en-GB" w:eastAsia="cs-CZ"/>
              </w:rPr>
              <w:t xml:space="preserve"> more investment companies could perform the function of </w:t>
            </w:r>
            <w:r w:rsidRPr="00C67FEB" w:rsidR="00654583">
              <w:rPr>
                <w:rFonts w:ascii="Times New Roman" w:eastAsia="Times New Roman" w:hAnsi="Times New Roman" w:cs="Times New Roman"/>
                <w:sz w:val="24"/>
                <w:szCs w:val="24"/>
                <w:lang w:val="en-GB" w:eastAsia="cs-CZ"/>
              </w:rPr>
              <w:t>fiduciary</w:t>
            </w:r>
            <w:r w:rsidRPr="00C67FEB">
              <w:rPr>
                <w:rFonts w:ascii="Times New Roman" w:eastAsia="Times New Roman" w:hAnsi="Times New Roman" w:cs="Times New Roman"/>
                <w:sz w:val="24"/>
                <w:szCs w:val="24"/>
                <w:lang w:val="en-GB" w:eastAsia="cs-CZ"/>
              </w:rPr>
              <w:t>. Demand for such administrators and customers themselves is evident. According to its own statistics, XYZ established more than 1,300 trust funds at the end of November 2018, which makes it a clear market leader, as there were 2,062 trust funds operating in the Czech Republic at the end of October 2019. It should be noted that XYZ is arousing some controversy</w:t>
            </w:r>
            <w:bookmarkStart w:id="68" w:name="_ftnref6"/>
            <w:bookmarkEnd w:id="68"/>
            <w:r>
              <w:rPr>
                <w:rStyle w:val="FootnoteReference"/>
                <w:rFonts w:ascii="Times New Roman" w:eastAsia="Times New Roman" w:hAnsi="Times New Roman" w:cs="Times New Roman"/>
                <w:sz w:val="24"/>
                <w:szCs w:val="24"/>
                <w:lang w:val="en-GB" w:eastAsia="cs-CZ"/>
              </w:rPr>
              <w:footnoteReference w:id="7"/>
            </w:r>
            <w:r w:rsidRPr="00C67FEB" w:rsidR="0081411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in the context of regulatory compliance. Finally, the fact that there is a slight discontinuity of the legislation cannot be overlooked.</w:t>
            </w:r>
            <w:r w:rsidR="0087579E">
              <w:rPr>
                <w:rFonts w:ascii="Times New Roman" w:eastAsia="Times New Roman" w:hAnsi="Times New Roman" w:cs="Times New Roman"/>
                <w:sz w:val="24"/>
                <w:szCs w:val="24"/>
                <w:lang w:val="en-GB" w:eastAsia="cs-CZ"/>
              </w:rPr>
              <w:t xml:space="preserve"> </w:t>
            </w:r>
          </w:p>
          <w:p w:rsidR="00403DFA" w:rsidRPr="00757542"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757542">
              <w:rPr>
                <w:rFonts w:ascii="Times New Roman" w:eastAsia="Times New Roman" w:hAnsi="Times New Roman" w:cs="Times New Roman"/>
                <w:b/>
                <w:bCs/>
                <w:sz w:val="24"/>
                <w:szCs w:val="24"/>
                <w:lang w:val="en-GB" w:eastAsia="cs-CZ"/>
              </w:rPr>
              <w:t>Proposal of the most suitable solution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seems to be the most appropriate solution, which significantly increases the attractiveness of the capital market and develops it. This would remove the restrictive situation where only a small group of legal entities could manage trust funds. With the new legislation, two new </w:t>
            </w:r>
            <w:r w:rsidRPr="00C67FEB" w:rsidR="0081411B">
              <w:rPr>
                <w:rFonts w:ascii="Times New Roman" w:eastAsia="Times New Roman" w:hAnsi="Times New Roman" w:cs="Times New Roman"/>
                <w:sz w:val="24"/>
                <w:szCs w:val="24"/>
                <w:lang w:val="en-GB" w:eastAsia="cs-CZ"/>
              </w:rPr>
              <w:t>subsections</w:t>
            </w:r>
            <w:r w:rsidRPr="00C67FEB">
              <w:rPr>
                <w:rFonts w:ascii="Times New Roman" w:eastAsia="Times New Roman" w:hAnsi="Times New Roman" w:cs="Times New Roman"/>
                <w:sz w:val="24"/>
                <w:szCs w:val="24"/>
                <w:lang w:val="en-GB" w:eastAsia="cs-CZ"/>
              </w:rPr>
              <w:t xml:space="preserve"> in </w:t>
            </w:r>
            <w:r w:rsidRPr="00C67FEB" w:rsidR="0081411B">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would probably be added. The new legislation would probably result in administrative costs for the supervisory authority, as it would have to register a larger number of entities under Section 15 of the </w:t>
            </w:r>
            <w:r w:rsidRPr="00C67FEB" w:rsidR="0081411B">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Nevertheless, the benefits of the chosen option will significantly exceed its negatives.</w:t>
            </w:r>
            <w:r w:rsidR="0087579E">
              <w:rPr>
                <w:rFonts w:ascii="Times New Roman" w:eastAsia="Times New Roman" w:hAnsi="Times New Roman" w:cs="Times New Roman"/>
                <w:sz w:val="24"/>
                <w:szCs w:val="24"/>
                <w:lang w:val="en-GB" w:eastAsia="cs-CZ"/>
              </w:rPr>
              <w:t xml:space="preserve"> </w:t>
            </w:r>
          </w:p>
          <w:p w:rsidR="00403DFA" w:rsidRPr="00B93D64" w:rsidP="0087579E">
            <w:pPr>
              <w:keepNext/>
              <w:spacing w:before="120" w:after="120" w:line="240" w:lineRule="auto"/>
              <w:jc w:val="both"/>
              <w:rPr>
                <w:rFonts w:ascii="Times New Roman" w:eastAsia="Times New Roman" w:hAnsi="Times New Roman" w:cs="Times New Roman"/>
                <w:b/>
                <w:bCs/>
                <w:sz w:val="24"/>
                <w:szCs w:val="24"/>
                <w:lang w:val="en-GB" w:eastAsia="cs-CZ"/>
              </w:rPr>
            </w:pPr>
            <w:r w:rsidRPr="00B93D64">
              <w:rPr>
                <w:rFonts w:ascii="Times New Roman" w:eastAsia="Times New Roman" w:hAnsi="Times New Roman" w:cs="Times New Roman"/>
                <w:b/>
                <w:bCs/>
                <w:sz w:val="24"/>
                <w:szCs w:val="24"/>
                <w:lang w:val="en-GB" w:eastAsia="cs-CZ"/>
              </w:rPr>
              <w:t xml:space="preserve">Summary of impacts of the chosen </w:t>
            </w:r>
            <w:r w:rsidRPr="00B93D64" w:rsidR="00B93D64">
              <w:rPr>
                <w:rFonts w:ascii="Times New Roman" w:eastAsia="Times New Roman" w:hAnsi="Times New Roman" w:cs="Times New Roman"/>
                <w:b/>
                <w:bCs/>
                <w:sz w:val="24"/>
                <w:szCs w:val="24"/>
                <w:lang w:val="en-GB" w:eastAsia="cs-CZ"/>
              </w:rPr>
              <w:t>Option 1</w:t>
            </w:r>
          </w:p>
          <w:tbl>
            <w:tblPr>
              <w:tblW w:w="5000" w:type="pct"/>
              <w:tblCellMar>
                <w:left w:w="0" w:type="dxa"/>
                <w:right w:w="0" w:type="dxa"/>
              </w:tblCellMar>
              <w:tblLook w:val="04A0"/>
            </w:tblPr>
            <w:tblGrid>
              <w:gridCol w:w="5358"/>
              <w:gridCol w:w="4265"/>
            </w:tblGrid>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B93D64" w:rsidP="0087579E">
                  <w:pPr>
                    <w:keepNext/>
                    <w:spacing w:before="80" w:after="8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 </w:t>
                  </w:r>
                  <w:r w:rsidRPr="00B93D64">
                    <w:rPr>
                      <w:rFonts w:ascii="Times New Roman" w:eastAsia="Times New Roman" w:hAnsi="Times New Roman" w:cs="Times New Roman"/>
                      <w:b/>
                      <w:bCs/>
                      <w:color w:val="FFFFFF"/>
                      <w:sz w:val="24"/>
                      <w:szCs w:val="24"/>
                      <w:lang w:val="en-GB" w:eastAsia="cs-CZ"/>
                    </w:rPr>
                    <w:t>Benefits / positives</w:t>
                  </w:r>
                  <w:r>
                    <w:rPr>
                      <w:rFonts w:ascii="Times New Roman" w:eastAsia="Times New Roman" w:hAnsi="Times New Roman" w:cs="Times New Roman"/>
                      <w:b/>
                      <w:bCs/>
                      <w:sz w:val="24"/>
                      <w:szCs w:val="24"/>
                      <w:lang w:val="en-GB" w:eastAsia="cs-CZ"/>
                    </w:rPr>
                    <w:t xml:space="preserve"> </w:t>
                  </w:r>
                </w:p>
              </w:tc>
              <w:tc>
                <w:tcPr>
                  <w:tcW w:w="2216" w:type="pct"/>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hideMark/>
                </w:tcPr>
                <w:p w:rsidR="00403DFA" w:rsidRPr="00B93D64" w:rsidP="0087579E">
                  <w:pPr>
                    <w:keepNext/>
                    <w:spacing w:before="80" w:after="80" w:line="240" w:lineRule="auto"/>
                    <w:jc w:val="center"/>
                    <w:rPr>
                      <w:rFonts w:ascii="Times New Roman" w:eastAsia="Times New Roman" w:hAnsi="Times New Roman" w:cs="Times New Roman"/>
                      <w:b/>
                      <w:bCs/>
                      <w:sz w:val="24"/>
                      <w:szCs w:val="24"/>
                      <w:lang w:val="en-GB" w:eastAsia="cs-CZ"/>
                    </w:rPr>
                  </w:pPr>
                  <w:r w:rsidRPr="00B93D64">
                    <w:rPr>
                      <w:rFonts w:ascii="Times New Roman" w:eastAsia="Times New Roman" w:hAnsi="Times New Roman" w:cs="Times New Roman"/>
                      <w:b/>
                      <w:bCs/>
                      <w:color w:val="FFFFFF"/>
                      <w:sz w:val="24"/>
                      <w:szCs w:val="24"/>
                      <w:lang w:val="en-GB" w:eastAsia="cs-CZ"/>
                    </w:rPr>
                    <w:t>Costs / negatives</w:t>
                  </w:r>
                </w:p>
              </w:tc>
            </w:tr>
            <w:tr>
              <w:tblPrEx>
                <w:tblW w:w="5000" w:type="pct"/>
                <w:tblCellMar>
                  <w:left w:w="0" w:type="dxa"/>
                  <w:right w:w="0" w:type="dxa"/>
                </w:tblCellMar>
                <w:tblLook w:val="04A0"/>
              </w:tblPrEx>
              <w:tc>
                <w:tcPr>
                  <w:tcW w:w="278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after="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Significant development of the capital market or the whole national economy in the possibility of more efficient allocation of money mass. </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Cost savings for financial institutions.</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Eliminate over-regulation.</w:t>
                  </w:r>
                </w:p>
                <w:p w:rsidR="00403DFA" w:rsidRPr="00C67FEB" w:rsidP="0087579E">
                  <w:pPr>
                    <w:keepNext/>
                    <w:spacing w:before="80" w:after="8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c>
                <w:tcPr>
                  <w:tcW w:w="2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Need to amend legislation (</w:t>
                  </w:r>
                  <w:r w:rsidRPr="00C67FEB" w:rsidR="0081411B">
                    <w:rPr>
                      <w:rFonts w:ascii="Times New Roman" w:eastAsia="Times New Roman" w:hAnsi="Times New Roman" w:cs="Times New Roman"/>
                      <w:sz w:val="24"/>
                      <w:szCs w:val="24"/>
                      <w:lang w:val="en-GB" w:eastAsia="cs-CZ"/>
                    </w:rPr>
                    <w:t>the Management Companies and Investment Funds Act</w:t>
                  </w:r>
                  <w:r w:rsidRPr="00C67FEB">
                    <w:rPr>
                      <w:rFonts w:ascii="Times New Roman" w:eastAsia="Times New Roman" w:hAnsi="Times New Roman" w:cs="Times New Roman"/>
                      <w:sz w:val="24"/>
                      <w:szCs w:val="24"/>
                      <w:lang w:val="en-GB" w:eastAsia="cs-CZ"/>
                    </w:rPr>
                    <w: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Discontinuity of the legal order.</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80" w:after="80" w:line="240" w:lineRule="auto"/>
                    <w:ind w:left="354" w:hanging="284"/>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 </w:t>
                  </w:r>
                  <w:r w:rsidRPr="00C67FEB" w:rsidR="0081411B">
                    <w:rPr>
                      <w:rFonts w:ascii="Times New Roman" w:eastAsia="Times New Roman" w:hAnsi="Times New Roman" w:cs="Times New Roman"/>
                      <w:sz w:val="24"/>
                      <w:szCs w:val="24"/>
                      <w:lang w:val="en-GB" w:eastAsia="cs-CZ"/>
                    </w:rPr>
                    <w:t>Costs of the supervisory authority for the registration of new entities pursuant to Section 15 of the Management Companies and Investment Funds Act.</w:t>
                  </w:r>
                </w:p>
                <w:p w:rsidR="00403DFA" w:rsidRPr="00C67FEB" w:rsidP="0087579E">
                  <w:pPr>
                    <w:keepNext/>
                    <w:spacing w:before="80" w:after="80" w:line="240" w:lineRule="auto"/>
                    <w:ind w:left="70"/>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w:t>
                  </w:r>
                </w:p>
              </w:tc>
            </w:tr>
          </w:tbl>
          <w:p w:rsidR="00403DFA" w:rsidRPr="00B93D64" w:rsidP="0087579E">
            <w:pPr>
              <w:keepNext/>
              <w:spacing w:before="120" w:after="120" w:line="240" w:lineRule="auto"/>
              <w:jc w:val="center"/>
              <w:rPr>
                <w:rFonts w:ascii="Times New Roman" w:eastAsia="Times New Roman" w:hAnsi="Times New Roman" w:cs="Times New Roman"/>
                <w:b/>
                <w:bCs/>
                <w:sz w:val="24"/>
                <w:szCs w:val="24"/>
                <w:lang w:val="en-GB" w:eastAsia="cs-CZ"/>
              </w:rPr>
            </w:pPr>
            <w:r w:rsidRPr="00B93D64">
              <w:rPr>
                <w:rFonts w:ascii="Times New Roman" w:eastAsia="Times New Roman" w:hAnsi="Times New Roman" w:cs="Times New Roman"/>
                <w:b/>
                <w:bCs/>
                <w:sz w:val="24"/>
                <w:szCs w:val="24"/>
                <w:lang w:val="en-GB" w:eastAsia="cs-CZ"/>
              </w:rPr>
              <w:t>Consultation</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This issue is based on the opinion of </w:t>
            </w:r>
            <w:r w:rsidRPr="00C67FEB" w:rsidR="004B557B">
              <w:rPr>
                <w:rFonts w:ascii="Times New Roman" w:eastAsia="Times New Roman" w:hAnsi="Times New Roman" w:cs="Times New Roman"/>
                <w:sz w:val="24"/>
                <w:szCs w:val="24"/>
                <w:lang w:val="en-GB" w:eastAsia="cs-CZ"/>
              </w:rPr>
              <w:t>management</w:t>
            </w:r>
            <w:r w:rsidRPr="00C67FEB">
              <w:rPr>
                <w:rFonts w:ascii="Times New Roman" w:eastAsia="Times New Roman" w:hAnsi="Times New Roman" w:cs="Times New Roman"/>
                <w:sz w:val="24"/>
                <w:szCs w:val="24"/>
                <w:lang w:val="en-GB" w:eastAsia="cs-CZ"/>
              </w:rPr>
              <w:t xml:space="preserve"> companies in the preparation of this legislation and has since been </w:t>
            </w:r>
            <w:r w:rsidRPr="00C67FEB" w:rsidR="004B557B">
              <w:rPr>
                <w:rFonts w:ascii="Times New Roman" w:eastAsia="Times New Roman" w:hAnsi="Times New Roman" w:cs="Times New Roman"/>
                <w:sz w:val="24"/>
                <w:szCs w:val="24"/>
                <w:lang w:val="en-GB" w:eastAsia="cs-CZ"/>
              </w:rPr>
              <w:t>analysed</w:t>
            </w:r>
            <w:r w:rsidRPr="00C67FEB">
              <w:rPr>
                <w:rFonts w:ascii="Times New Roman" w:eastAsia="Times New Roman" w:hAnsi="Times New Roman" w:cs="Times New Roman"/>
                <w:sz w:val="24"/>
                <w:szCs w:val="24"/>
                <w:lang w:val="en-GB" w:eastAsia="cs-CZ"/>
              </w:rPr>
              <w:t xml:space="preserve"> and consulted with stakeholders, including the </w:t>
            </w:r>
            <w:r w:rsidRPr="00C67FEB" w:rsidR="00B93D64">
              <w:rPr>
                <w:rFonts w:ascii="Times New Roman" w:eastAsia="Times New Roman" w:hAnsi="Times New Roman" w:cs="Times New Roman"/>
                <w:sz w:val="24"/>
                <w:szCs w:val="24"/>
                <w:lang w:val="en-GB" w:eastAsia="cs-CZ"/>
              </w:rPr>
              <w:t>CNB.</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br w:type="page"/>
            </w:r>
          </w:p>
          <w:p w:rsidR="00403DFA" w:rsidRPr="00B93D64" w:rsidP="0087579E">
            <w:pPr>
              <w:keepNext/>
              <w:pBdr>
                <w:top w:val="single" w:sz="6" w:space="1" w:color="000000"/>
                <w:left w:val="single" w:sz="6" w:space="0" w:color="000000"/>
                <w:bottom w:val="single" w:sz="6" w:space="1" w:color="000000"/>
                <w:right w:val="single" w:sz="6" w:space="4" w:color="000000"/>
              </w:pBdr>
              <w:spacing w:before="200" w:after="120" w:line="240" w:lineRule="auto"/>
              <w:jc w:val="center"/>
              <w:outlineLvl w:val="3"/>
              <w:rPr>
                <w:rFonts w:ascii="Times New Roman" w:eastAsia="Times New Roman" w:hAnsi="Times New Roman" w:cs="Times New Roman"/>
                <w:b/>
                <w:bCs/>
                <w:sz w:val="24"/>
                <w:szCs w:val="24"/>
                <w:lang w:val="en-GB" w:eastAsia="cs-CZ"/>
              </w:rPr>
            </w:pPr>
            <w:r>
              <w:rPr>
                <w:rFonts w:ascii="Times New Roman" w:eastAsia="Times New Roman" w:hAnsi="Times New Roman" w:cs="Times New Roman"/>
                <w:sz w:val="14"/>
                <w:szCs w:val="14"/>
                <w:lang w:val="en-GB" w:eastAsia="cs-CZ"/>
              </w:rPr>
              <w:t xml:space="preserve"> </w:t>
            </w:r>
            <w:r w:rsidRPr="00B93D64">
              <w:rPr>
                <w:rFonts w:ascii="Times New Roman" w:eastAsia="Times New Roman" w:hAnsi="Times New Roman" w:cs="Times New Roman"/>
                <w:b/>
                <w:bCs/>
                <w:sz w:val="24"/>
                <w:szCs w:val="24"/>
                <w:lang w:val="en-GB" w:eastAsia="cs-CZ"/>
              </w:rPr>
              <w:t>3. SELECTING THE MOST SUITABLE SOLUTION</w:t>
            </w:r>
          </w:p>
          <w:p w:rsidR="00403DFA" w:rsidRPr="00C67FEB" w:rsidP="0087579E">
            <w:pPr>
              <w:spacing w:before="200" w:after="120" w:line="240" w:lineRule="auto"/>
              <w:jc w:val="both"/>
              <w:outlineLvl w:val="3"/>
              <w:rPr>
                <w:rFonts w:ascii="Times New Roman" w:eastAsia="Times New Roman" w:hAnsi="Times New Roman" w:cs="Times New Roman"/>
                <w:sz w:val="24"/>
                <w:szCs w:val="24"/>
                <w:lang w:val="en-GB" w:eastAsia="cs-CZ"/>
              </w:rPr>
            </w:pPr>
            <w:r>
              <w:rPr>
                <w:rFonts w:ascii="Times New Roman" w:eastAsia="Times New Roman" w:hAnsi="Times New Roman" w:cs="Times New Roman"/>
                <w:sz w:val="14"/>
                <w:szCs w:val="14"/>
                <w:lang w:val="en-GB" w:eastAsia="cs-CZ"/>
              </w:rPr>
              <w:t xml:space="preserve"> </w:t>
            </w:r>
            <w:r w:rsidRPr="00C67FEB">
              <w:rPr>
                <w:rFonts w:ascii="Times New Roman" w:eastAsia="Times New Roman" w:hAnsi="Times New Roman" w:cs="Times New Roman"/>
                <w:sz w:val="24"/>
                <w:szCs w:val="24"/>
                <w:lang w:val="en-GB" w:eastAsia="cs-CZ"/>
              </w:rPr>
              <w:t xml:space="preserve">Below is a summary of all the solutions that the Ministry of Finance proposes to apply in the present </w:t>
            </w:r>
            <w:r w:rsidRPr="00C67FEB" w:rsidR="00FE0ACD">
              <w:rPr>
                <w:rFonts w:ascii="Times New Roman" w:eastAsia="Times New Roman" w:hAnsi="Times New Roman" w:cs="Times New Roman"/>
                <w:sz w:val="24"/>
                <w:szCs w:val="24"/>
                <w:lang w:val="en-GB" w:eastAsia="cs-CZ"/>
              </w:rPr>
              <w:t>act</w:t>
            </w:r>
            <w:r w:rsidRPr="00C67FEB">
              <w:rPr>
                <w:rFonts w:ascii="Times New Roman" w:eastAsia="Times New Roman" w:hAnsi="Times New Roman" w:cs="Times New Roman"/>
                <w:sz w:val="24"/>
                <w:szCs w:val="24"/>
                <w:lang w:val="en-GB" w:eastAsia="cs-CZ"/>
              </w:rPr>
              <w:t>.</w:t>
            </w:r>
          </w:p>
          <w:tbl>
            <w:tblPr>
              <w:tblW w:w="4686" w:type="pct"/>
              <w:tblCellMar>
                <w:left w:w="0" w:type="dxa"/>
                <w:right w:w="0" w:type="dxa"/>
              </w:tblCellMar>
              <w:tblLook w:val="04A0"/>
            </w:tblPr>
            <w:tblGrid>
              <w:gridCol w:w="2955"/>
              <w:gridCol w:w="6064"/>
            </w:tblGrid>
            <w:tr w:rsidTr="004B557B">
              <w:tblPrEx>
                <w:tblW w:w="4686" w:type="pct"/>
                <w:tblCellMar>
                  <w:left w:w="0" w:type="dxa"/>
                  <w:right w:w="0" w:type="dxa"/>
                </w:tblCellMar>
                <w:tblLook w:val="04A0"/>
              </w:tblPrEx>
              <w:trPr>
                <w:trHeight w:val="315"/>
                <w:tblHeader/>
              </w:trPr>
              <w:tc>
                <w:tcPr>
                  <w:tcW w:w="1638" w:type="pct"/>
                  <w:tcBorders>
                    <w:top w:val="single" w:sz="6" w:space="0" w:color="000000"/>
                    <w:left w:val="single" w:sz="6" w:space="0" w:color="000000"/>
                    <w:bottom w:val="single" w:sz="6" w:space="0" w:color="000000"/>
                    <w:right w:val="single" w:sz="6" w:space="0" w:color="000000"/>
                  </w:tcBorders>
                  <w:shd w:val="clear" w:color="auto" w:fill="00B0F0"/>
                  <w:tcMar>
                    <w:top w:w="28" w:type="dxa"/>
                    <w:left w:w="108" w:type="dxa"/>
                    <w:bottom w:w="28" w:type="dxa"/>
                    <w:right w:w="108" w:type="dxa"/>
                  </w:tcMar>
                  <w:hideMark/>
                </w:tcPr>
                <w:p w:rsidR="00403DFA" w:rsidRPr="00B93D64" w:rsidP="0087579E">
                  <w:pPr>
                    <w:spacing w:before="120" w:after="0" w:line="240" w:lineRule="auto"/>
                    <w:jc w:val="center"/>
                    <w:rPr>
                      <w:rFonts w:ascii="Times New Roman" w:eastAsia="Times New Roman" w:hAnsi="Times New Roman" w:cs="Times New Roman"/>
                      <w:b/>
                      <w:bCs/>
                      <w:sz w:val="24"/>
                      <w:szCs w:val="24"/>
                      <w:lang w:val="en-GB" w:eastAsia="cs-CZ"/>
                    </w:rPr>
                  </w:pPr>
                  <w:r w:rsidRPr="00B93D64">
                    <w:rPr>
                      <w:rFonts w:ascii="Times New Roman" w:eastAsia="Times New Roman" w:hAnsi="Times New Roman" w:cs="Times New Roman"/>
                      <w:b/>
                      <w:bCs/>
                      <w:sz w:val="24"/>
                      <w:szCs w:val="24"/>
                      <w:lang w:val="en-GB" w:eastAsia="cs-CZ"/>
                    </w:rPr>
                    <w:t>Description of the issue</w:t>
                  </w:r>
                </w:p>
              </w:tc>
              <w:tc>
                <w:tcPr>
                  <w:tcW w:w="3362" w:type="pct"/>
                  <w:tcBorders>
                    <w:top w:val="single" w:sz="6" w:space="0" w:color="000000"/>
                    <w:left w:val="single" w:sz="6" w:space="0" w:color="000000"/>
                    <w:bottom w:val="single" w:sz="6" w:space="0" w:color="000000"/>
                    <w:right w:val="single" w:sz="6" w:space="0" w:color="000000"/>
                  </w:tcBorders>
                  <w:shd w:val="clear" w:color="auto" w:fill="00B0F0"/>
                  <w:tcMar>
                    <w:top w:w="28" w:type="dxa"/>
                    <w:left w:w="108" w:type="dxa"/>
                    <w:bottom w:w="28" w:type="dxa"/>
                    <w:right w:w="108" w:type="dxa"/>
                  </w:tcMar>
                  <w:hideMark/>
                </w:tcPr>
                <w:p w:rsidR="00403DFA" w:rsidRPr="00B93D64" w:rsidP="0087579E">
                  <w:pPr>
                    <w:keepNext/>
                    <w:spacing w:before="120" w:after="0" w:line="240" w:lineRule="auto"/>
                    <w:jc w:val="center"/>
                    <w:rPr>
                      <w:rFonts w:ascii="Times New Roman" w:eastAsia="Times New Roman" w:hAnsi="Times New Roman" w:cs="Times New Roman"/>
                      <w:b/>
                      <w:bCs/>
                      <w:sz w:val="24"/>
                      <w:szCs w:val="24"/>
                      <w:lang w:val="en-GB" w:eastAsia="cs-CZ"/>
                    </w:rPr>
                  </w:pPr>
                  <w:r w:rsidRPr="00B93D64">
                    <w:rPr>
                      <w:rFonts w:ascii="Times New Roman" w:eastAsia="Times New Roman" w:hAnsi="Times New Roman" w:cs="Times New Roman"/>
                      <w:b/>
                      <w:bCs/>
                      <w:sz w:val="24"/>
                      <w:szCs w:val="24"/>
                      <w:lang w:val="en-GB" w:eastAsia="cs-CZ"/>
                    </w:rPr>
                    <w:t>Selected variant</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Long-Term Investment Account</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keepNext/>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w:t>
                  </w:r>
                  <w:r w:rsidRPr="00C67FEB" w:rsidR="004B557B">
                    <w:rPr>
                      <w:rFonts w:ascii="Times New Roman" w:eastAsia="Times New Roman" w:hAnsi="Times New Roman" w:cs="Times New Roman"/>
                      <w:sz w:val="24"/>
                      <w:szCs w:val="24"/>
                      <w:lang w:val="en-GB" w:eastAsia="cs-CZ"/>
                    </w:rPr>
                    <w:t>e</w:t>
                  </w:r>
                  <w:r w:rsidRPr="00C67FEB">
                    <w:rPr>
                      <w:rFonts w:ascii="Times New Roman" w:eastAsia="Times New Roman" w:hAnsi="Times New Roman" w:cs="Times New Roman"/>
                      <w:sz w:val="24"/>
                      <w:szCs w:val="24"/>
                      <w:lang w:val="en-GB" w:eastAsia="cs-CZ"/>
                    </w:rPr>
                    <w:t>xtend</w:t>
                  </w:r>
                  <w:r w:rsidRPr="00C67FEB" w:rsidR="004B557B">
                    <w:rPr>
                      <w:rFonts w:ascii="Times New Roman" w:eastAsia="Times New Roman" w:hAnsi="Times New Roman" w:cs="Times New Roman"/>
                      <w:sz w:val="24"/>
                      <w:szCs w:val="24"/>
                      <w:lang w:val="en-GB" w:eastAsia="cs-CZ"/>
                    </w:rPr>
                    <w:t>ing</w:t>
                  </w:r>
                  <w:r w:rsidRPr="00C67FEB">
                    <w:rPr>
                      <w:rFonts w:ascii="Times New Roman" w:eastAsia="Times New Roman" w:hAnsi="Times New Roman" w:cs="Times New Roman"/>
                      <w:sz w:val="24"/>
                      <w:szCs w:val="24"/>
                      <w:lang w:val="en-GB" w:eastAsia="cs-CZ"/>
                    </w:rPr>
                    <w:t xml:space="preserve"> the offer of products intended for savings for old age by a personal savings account - </w:t>
                  </w:r>
                  <w:r w:rsidRPr="00C67FEB" w:rsidR="008F46DE">
                    <w:rPr>
                      <w:rFonts w:ascii="Times New Roman" w:eastAsia="Times New Roman" w:hAnsi="Times New Roman" w:cs="Times New Roman"/>
                      <w:sz w:val="24"/>
                      <w:szCs w:val="24"/>
                      <w:lang w:val="en-GB" w:eastAsia="cs-CZ"/>
                    </w:rPr>
                    <w:t>Long-Term Investment Account</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bookmarkStart w:id="69" w:name="_GoBack" w:colFirst="0" w:colLast="1"/>
                  <w:r w:rsidRPr="00C67FEB">
                    <w:rPr>
                      <w:rFonts w:ascii="Times New Roman" w:eastAsia="Times New Roman" w:hAnsi="Times New Roman" w:cs="Times New Roman"/>
                      <w:sz w:val="24"/>
                      <w:szCs w:val="24"/>
                      <w:lang w:val="en-GB" w:eastAsia="cs-CZ"/>
                    </w:rPr>
                    <w:t>Simple joint stock company</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0 - maintaining the current status</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Self-certification of wealthy investors</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2 - </w:t>
                  </w:r>
                  <w:r w:rsidRPr="00C67FEB" w:rsidR="004B557B">
                    <w:rPr>
                      <w:rFonts w:ascii="Times New Roman" w:eastAsia="Times New Roman" w:hAnsi="Times New Roman" w:cs="Times New Roman"/>
                      <w:sz w:val="24"/>
                      <w:szCs w:val="24"/>
                      <w:lang w:val="en-GB" w:eastAsia="cs-CZ"/>
                    </w:rPr>
                    <w:t>i</w:t>
                  </w:r>
                  <w:r w:rsidRPr="00C67FEB">
                    <w:rPr>
                      <w:rFonts w:ascii="Times New Roman" w:eastAsia="Times New Roman" w:hAnsi="Times New Roman" w:cs="Times New Roman"/>
                      <w:sz w:val="24"/>
                      <w:szCs w:val="24"/>
                      <w:lang w:val="en-GB" w:eastAsia="cs-CZ"/>
                    </w:rPr>
                    <w:t xml:space="preserve">ntroduction of the institute of investor </w:t>
                  </w:r>
                  <w:r w:rsidRPr="00C67FEB" w:rsidR="004B557B">
                    <w:rPr>
                      <w:rFonts w:ascii="Times New Roman" w:eastAsia="Times New Roman" w:hAnsi="Times New Roman" w:cs="Times New Roman"/>
                      <w:sz w:val="24"/>
                      <w:szCs w:val="24"/>
                      <w:lang w:val="en-GB" w:eastAsia="cs-CZ"/>
                    </w:rPr>
                    <w:t>declaration</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Regulation of crowdfunding platforms offering bonds</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2 - regulation of advertising for investment instruments with the supervision of regional trade licensing offices</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Alternative Participation Fund</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1 - to extend the offer by a new type of alternative participation fund, resp</w:t>
                  </w:r>
                  <w:r w:rsidRPr="00C67FEB" w:rsidR="004B557B">
                    <w:rPr>
                      <w:rFonts w:ascii="Times New Roman" w:eastAsia="Times New Roman" w:hAnsi="Times New Roman" w:cs="Times New Roman"/>
                      <w:sz w:val="24"/>
                      <w:szCs w:val="24"/>
                      <w:lang w:val="en-GB" w:eastAsia="cs-CZ"/>
                    </w:rPr>
                    <w:t>ectively</w:t>
                  </w:r>
                  <w:r w:rsidRPr="00C67FEB">
                    <w:rPr>
                      <w:rFonts w:ascii="Times New Roman" w:eastAsia="Times New Roman" w:hAnsi="Times New Roman" w:cs="Times New Roman"/>
                      <w:sz w:val="24"/>
                      <w:szCs w:val="24"/>
                      <w:lang w:val="en-GB" w:eastAsia="cs-CZ"/>
                    </w:rPr>
                    <w:t xml:space="preserve"> to provide similar type of state support to transformed or </w:t>
                  </w:r>
                  <w:r w:rsidRPr="00C67FEB" w:rsidR="004B557B">
                    <w:rPr>
                      <w:rFonts w:ascii="Times New Roman" w:eastAsia="Times New Roman" w:hAnsi="Times New Roman" w:cs="Times New Roman"/>
                      <w:sz w:val="24"/>
                      <w:szCs w:val="24"/>
                      <w:lang w:val="en-GB" w:eastAsia="cs-CZ"/>
                    </w:rPr>
                    <w:t>participation</w:t>
                  </w:r>
                  <w:r w:rsidRPr="00C67FEB">
                    <w:rPr>
                      <w:rFonts w:ascii="Times New Roman" w:eastAsia="Times New Roman" w:hAnsi="Times New Roman" w:cs="Times New Roman"/>
                      <w:sz w:val="24"/>
                      <w:szCs w:val="24"/>
                      <w:lang w:val="en-GB" w:eastAsia="cs-CZ"/>
                    </w:rPr>
                    <w:t xml:space="preserve"> funds to such type of fund</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Sub-funds for </w:t>
                  </w:r>
                  <w:r w:rsidRPr="00C67FEB" w:rsidR="004B557B">
                    <w:rPr>
                      <w:rFonts w:ascii="Times New Roman" w:eastAsia="Times New Roman" w:hAnsi="Times New Roman" w:cs="Times New Roman"/>
                      <w:sz w:val="24"/>
                      <w:szCs w:val="24"/>
                      <w:lang w:val="en-GB" w:eastAsia="cs-CZ"/>
                    </w:rPr>
                    <w:t>joint stock companies</w:t>
                  </w:r>
                  <w:r w:rsidRPr="00C67FEB">
                    <w:rPr>
                      <w:rFonts w:ascii="Times New Roman" w:eastAsia="Times New Roman" w:hAnsi="Times New Roman" w:cs="Times New Roman"/>
                      <w:sz w:val="24"/>
                      <w:szCs w:val="24"/>
                      <w:lang w:val="en-GB" w:eastAsia="cs-CZ"/>
                    </w:rPr>
                    <w:t xml:space="preserve"> and KSIL</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Option 3 - allow the creation of sub-funds of KSIL and closed-end investment fund of the joint</w:t>
                  </w:r>
                  <w:r w:rsidRPr="00C67FEB" w:rsidR="004B557B">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stock company </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Required XML format for other financial market entities</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w:t>
                  </w:r>
                  <w:r w:rsidRPr="00C67FEB" w:rsidR="00534856">
                    <w:rPr>
                      <w:rFonts w:ascii="Times New Roman" w:eastAsia="Times New Roman" w:hAnsi="Times New Roman" w:cs="Times New Roman"/>
                      <w:sz w:val="24"/>
                      <w:szCs w:val="24"/>
                      <w:lang w:val="en-GB" w:eastAsia="cs-CZ"/>
                    </w:rPr>
                    <w:t>a</w:t>
                  </w:r>
                  <w:r w:rsidRPr="00C67FEB">
                    <w:rPr>
                      <w:rFonts w:ascii="Times New Roman" w:eastAsia="Times New Roman" w:hAnsi="Times New Roman" w:cs="Times New Roman"/>
                      <w:sz w:val="24"/>
                      <w:szCs w:val="24"/>
                      <w:lang w:val="en-GB" w:eastAsia="cs-CZ"/>
                    </w:rPr>
                    <w:t xml:space="preserve">pplication of Section 34 (3) of the </w:t>
                  </w:r>
                  <w:r w:rsidRPr="00C67FEB" w:rsidR="004B557B">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to other financial market entities for which the </w:t>
                  </w:r>
                  <w:r w:rsidRPr="00C67FEB" w:rsidR="004B557B">
                    <w:rPr>
                      <w:rFonts w:ascii="Times New Roman" w:eastAsia="Times New Roman" w:hAnsi="Times New Roman" w:cs="Times New Roman"/>
                      <w:sz w:val="24"/>
                      <w:szCs w:val="24"/>
                      <w:lang w:val="en-GB" w:eastAsia="cs-CZ"/>
                    </w:rPr>
                    <w:t>Execution Order</w:t>
                  </w:r>
                  <w:r w:rsidRPr="00C67FEB">
                    <w:rPr>
                      <w:rFonts w:ascii="Times New Roman" w:eastAsia="Times New Roman" w:hAnsi="Times New Roman" w:cs="Times New Roman"/>
                      <w:sz w:val="24"/>
                      <w:szCs w:val="24"/>
                      <w:lang w:val="en-GB" w:eastAsia="cs-CZ"/>
                    </w:rPr>
                    <w:t xml:space="preserve"> uses the abbreviation of a financial institution</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Support for trading </w:t>
                  </w:r>
                  <w:r w:rsidRPr="00C67FEB" w:rsidR="004B557B">
                    <w:rPr>
                      <w:rFonts w:ascii="Times New Roman" w:eastAsia="Times New Roman" w:hAnsi="Times New Roman" w:cs="Times New Roman"/>
                      <w:sz w:val="24"/>
                      <w:szCs w:val="24"/>
                      <w:lang w:val="en-GB" w:eastAsia="cs-CZ"/>
                    </w:rPr>
                    <w:t xml:space="preserve">of </w:t>
                  </w:r>
                  <w:r w:rsidRPr="00C67FEB">
                    <w:rPr>
                      <w:rFonts w:ascii="Times New Roman" w:eastAsia="Times New Roman" w:hAnsi="Times New Roman" w:cs="Times New Roman"/>
                      <w:sz w:val="24"/>
                      <w:szCs w:val="24"/>
                      <w:lang w:val="en-GB" w:eastAsia="cs-CZ"/>
                    </w:rPr>
                    <w:t>corporate bonds</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extending the requirements for </w:t>
                  </w:r>
                  <w:r w:rsidRPr="00C67FEB" w:rsidR="004B557B">
                    <w:rPr>
                      <w:rFonts w:ascii="Times New Roman" w:eastAsia="Times New Roman" w:hAnsi="Times New Roman" w:cs="Times New Roman"/>
                      <w:sz w:val="24"/>
                      <w:szCs w:val="24"/>
                      <w:lang w:val="en-GB" w:eastAsia="cs-CZ"/>
                    </w:rPr>
                    <w:t>terms of issue</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Registration of funds in the CNB list</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abolition of compulsory registration of funds pursuant to Section 325a of the </w:t>
                  </w:r>
                  <w:r w:rsidRPr="00C67FEB" w:rsidR="004B557B">
                    <w:rPr>
                      <w:rFonts w:ascii="Times New Roman" w:eastAsia="Times New Roman" w:hAnsi="Times New Roman" w:cs="Times New Roman"/>
                      <w:sz w:val="24"/>
                      <w:szCs w:val="24"/>
                      <w:lang w:val="en-GB" w:eastAsia="cs-CZ"/>
                    </w:rPr>
                    <w:t>Management Companies and Investment Funds Act</w:t>
                  </w:r>
                  <w:r w:rsidRPr="00C67FEB">
                    <w:rPr>
                      <w:rFonts w:ascii="Times New Roman" w:eastAsia="Times New Roman" w:hAnsi="Times New Roman" w:cs="Times New Roman"/>
                      <w:sz w:val="24"/>
                      <w:szCs w:val="24"/>
                      <w:lang w:val="en-GB" w:eastAsia="cs-CZ"/>
                    </w:rPr>
                    <w:t xml:space="preserve"> in the CNB list</w:t>
                  </w:r>
                </w:p>
              </w:tc>
            </w:tr>
            <w:tr w:rsidTr="004B557B">
              <w:tblPrEx>
                <w:tblW w:w="4686" w:type="pct"/>
                <w:tblCellMar>
                  <w:left w:w="0" w:type="dxa"/>
                  <w:right w:w="0" w:type="dxa"/>
                </w:tblCellMar>
                <w:tblLook w:val="04A0"/>
              </w:tblPrEx>
              <w:trPr>
                <w:trHeight w:val="315"/>
              </w:trPr>
              <w:tc>
                <w:tcPr>
                  <w:tcW w:w="1638"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Extension of the possibility of being a </w:t>
                  </w:r>
                  <w:r w:rsidRPr="00C67FEB" w:rsidR="004B557B">
                    <w:rPr>
                      <w:rFonts w:ascii="Times New Roman" w:eastAsia="Times New Roman" w:hAnsi="Times New Roman" w:cs="Times New Roman"/>
                      <w:sz w:val="24"/>
                      <w:szCs w:val="24"/>
                      <w:lang w:val="en-GB" w:eastAsia="cs-CZ"/>
                    </w:rPr>
                    <w:t>fiduciary</w:t>
                  </w:r>
                </w:p>
              </w:tc>
              <w:tc>
                <w:tcPr>
                  <w:tcW w:w="3362" w:type="pct"/>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hideMark/>
                </w:tcPr>
                <w:p w:rsidR="00403DFA" w:rsidRPr="00C67FEB" w:rsidP="0087579E">
                  <w:pPr>
                    <w:spacing w:before="20" w:after="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Option 1 - allow investment in </w:t>
                  </w:r>
                  <w:r w:rsidRPr="00C67FEB" w:rsidR="004B557B">
                    <w:rPr>
                      <w:rFonts w:ascii="Times New Roman" w:eastAsia="Times New Roman" w:hAnsi="Times New Roman" w:cs="Times New Roman"/>
                      <w:sz w:val="24"/>
                      <w:szCs w:val="24"/>
                      <w:lang w:val="en-GB" w:eastAsia="cs-CZ"/>
                    </w:rPr>
                    <w:t>favour</w:t>
                  </w:r>
                  <w:r w:rsidRPr="00C67FEB">
                    <w:rPr>
                      <w:rFonts w:ascii="Times New Roman" w:eastAsia="Times New Roman" w:hAnsi="Times New Roman" w:cs="Times New Roman"/>
                      <w:sz w:val="24"/>
                      <w:szCs w:val="24"/>
                      <w:lang w:val="en-GB" w:eastAsia="cs-CZ"/>
                    </w:rPr>
                    <w:t xml:space="preserve"> of third parties </w:t>
                  </w:r>
                  <w:r w:rsidRPr="00C67FEB" w:rsidR="00534856">
                    <w:rPr>
                      <w:rFonts w:ascii="Times New Roman" w:eastAsia="Times New Roman" w:hAnsi="Times New Roman" w:cs="Times New Roman"/>
                      <w:sz w:val="24"/>
                      <w:szCs w:val="24"/>
                      <w:lang w:val="en-GB" w:eastAsia="cs-CZ"/>
                    </w:rPr>
                    <w:t>within</w:t>
                  </w:r>
                  <w:r w:rsidRPr="00C67FEB">
                    <w:rPr>
                      <w:rFonts w:ascii="Times New Roman" w:eastAsia="Times New Roman" w:hAnsi="Times New Roman" w:cs="Times New Roman"/>
                      <w:sz w:val="24"/>
                      <w:szCs w:val="24"/>
                      <w:lang w:val="en-GB" w:eastAsia="cs-CZ"/>
                    </w:rPr>
                    <w:t xml:space="preserve"> the trust fund</w:t>
                  </w:r>
                </w:p>
              </w:tc>
            </w:tr>
          </w:tbl>
          <w:p w:rsidR="00403DFA" w:rsidRPr="00B93D64" w:rsidP="0087579E">
            <w:pPr>
              <w:keepNext/>
              <w:pBdr>
                <w:top w:val="single" w:sz="6" w:space="1" w:color="000000"/>
                <w:left w:val="single" w:sz="6" w:space="0" w:color="000000"/>
                <w:bottom w:val="single" w:sz="6" w:space="1" w:color="000000"/>
                <w:right w:val="single" w:sz="6" w:space="4" w:color="000000"/>
              </w:pBdr>
              <w:spacing w:before="200" w:after="120" w:line="240" w:lineRule="auto"/>
              <w:jc w:val="center"/>
              <w:outlineLvl w:val="3"/>
              <w:rPr>
                <w:rFonts w:ascii="Times New Roman" w:eastAsia="Times New Roman" w:hAnsi="Times New Roman" w:cs="Times New Roman"/>
                <w:b/>
                <w:bCs/>
                <w:sz w:val="24"/>
                <w:szCs w:val="24"/>
                <w:lang w:val="en-GB" w:eastAsia="cs-CZ"/>
              </w:rPr>
            </w:pPr>
            <w:bookmarkEnd w:id="69"/>
            <w:r>
              <w:rPr>
                <w:rFonts w:ascii="Times New Roman" w:eastAsia="Times New Roman" w:hAnsi="Times New Roman" w:cs="Times New Roman"/>
                <w:b/>
                <w:bCs/>
                <w:sz w:val="14"/>
                <w:szCs w:val="14"/>
                <w:lang w:val="en-GB" w:eastAsia="cs-CZ"/>
              </w:rPr>
              <w:t xml:space="preserve"> </w:t>
            </w:r>
            <w:r w:rsidRPr="00B93D64">
              <w:rPr>
                <w:rFonts w:ascii="Times New Roman" w:eastAsia="Times New Roman" w:hAnsi="Times New Roman" w:cs="Times New Roman"/>
                <w:b/>
                <w:bCs/>
                <w:sz w:val="24"/>
                <w:szCs w:val="24"/>
                <w:lang w:val="en-GB" w:eastAsia="cs-CZ"/>
              </w:rPr>
              <w:t xml:space="preserve">4. IMPLEMENTATION </w:t>
            </w:r>
            <w:r w:rsidR="00B93D64">
              <w:rPr>
                <w:rFonts w:ascii="Times New Roman" w:eastAsia="Times New Roman" w:hAnsi="Times New Roman" w:cs="Times New Roman"/>
                <w:b/>
                <w:bCs/>
                <w:sz w:val="24"/>
                <w:szCs w:val="24"/>
                <w:lang w:val="en-GB" w:eastAsia="cs-CZ"/>
              </w:rPr>
              <w:t xml:space="preserve">OF </w:t>
            </w:r>
            <w:r w:rsidRPr="00B93D64">
              <w:rPr>
                <w:rFonts w:ascii="Times New Roman" w:eastAsia="Times New Roman" w:hAnsi="Times New Roman" w:cs="Times New Roman"/>
                <w:b/>
                <w:bCs/>
                <w:sz w:val="24"/>
                <w:szCs w:val="24"/>
                <w:lang w:val="en-GB" w:eastAsia="cs-CZ"/>
              </w:rPr>
              <w:t>RECOMMENDED OPTIONS AND ENFORCEMENT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incorporation of recommended variants into the Czech legal order will be done by amending the relevant provisions of the relevant laws. Supervision of </w:t>
            </w:r>
            <w:r w:rsidRPr="00C67FEB" w:rsidR="002354A4">
              <w:rPr>
                <w:rFonts w:ascii="Times New Roman" w:eastAsia="Times New Roman" w:hAnsi="Times New Roman" w:cs="Times New Roman"/>
                <w:sz w:val="24"/>
                <w:szCs w:val="24"/>
                <w:lang w:val="en-GB" w:eastAsia="cs-CZ"/>
              </w:rPr>
              <w:t>fulfilment</w:t>
            </w:r>
            <w:r w:rsidRPr="00C67FEB">
              <w:rPr>
                <w:rFonts w:ascii="Times New Roman" w:eastAsia="Times New Roman" w:hAnsi="Times New Roman" w:cs="Times New Roman"/>
                <w:sz w:val="24"/>
                <w:szCs w:val="24"/>
                <w:lang w:val="en-GB" w:eastAsia="cs-CZ"/>
              </w:rPr>
              <w:t xml:space="preserve"> of obligations in the financial market performs CNB, which may </w:t>
            </w:r>
            <w:r w:rsidRPr="00C67FEB" w:rsidR="002354A4">
              <w:rPr>
                <w:rFonts w:ascii="Times New Roman" w:eastAsia="Times New Roman" w:hAnsi="Times New Roman" w:cs="Times New Roman"/>
                <w:sz w:val="24"/>
                <w:szCs w:val="24"/>
                <w:lang w:val="en-GB" w:eastAsia="cs-CZ"/>
              </w:rPr>
              <w:t>punish offenses</w:t>
            </w:r>
            <w:r w:rsidRPr="00C67FEB">
              <w:rPr>
                <w:rFonts w:ascii="Times New Roman" w:eastAsia="Times New Roman" w:hAnsi="Times New Roman" w:cs="Times New Roman"/>
                <w:sz w:val="24"/>
                <w:szCs w:val="24"/>
                <w:lang w:val="en-GB" w:eastAsia="cs-CZ"/>
              </w:rPr>
              <w:t xml:space="preserve"> as </w:t>
            </w:r>
            <w:r w:rsidRPr="00C67FEB" w:rsidR="002354A4">
              <w:rPr>
                <w:rFonts w:ascii="Times New Roman" w:eastAsia="Times New Roman" w:hAnsi="Times New Roman" w:cs="Times New Roman"/>
                <w:sz w:val="24"/>
                <w:szCs w:val="24"/>
                <w:lang w:val="en-GB" w:eastAsia="cs-CZ"/>
              </w:rPr>
              <w:t>misdemeanours</w:t>
            </w:r>
            <w:r w:rsidRPr="00C67FEB">
              <w:rPr>
                <w:rFonts w:ascii="Times New Roman" w:eastAsia="Times New Roman" w:hAnsi="Times New Roman" w:cs="Times New Roman"/>
                <w:sz w:val="24"/>
                <w:szCs w:val="24"/>
                <w:lang w:val="en-GB" w:eastAsia="cs-CZ"/>
              </w:rPr>
              <w:t xml:space="preserve"> and take action to remedy or other measures. Supervising the regulation of advertising, according to </w:t>
            </w:r>
            <w:r w:rsidRPr="00C67FEB" w:rsidR="002354A4">
              <w:rPr>
                <w:rFonts w:ascii="Times New Roman" w:eastAsia="Times New Roman" w:hAnsi="Times New Roman" w:cs="Times New Roman"/>
                <w:sz w:val="24"/>
                <w:szCs w:val="24"/>
                <w:lang w:val="en-GB" w:eastAsia="cs-CZ"/>
              </w:rPr>
              <w:t>the</w:t>
            </w:r>
            <w:r w:rsidRPr="00C67FEB">
              <w:rPr>
                <w:rFonts w:ascii="Times New Roman" w:eastAsia="Times New Roman" w:hAnsi="Times New Roman" w:cs="Times New Roman"/>
                <w:sz w:val="24"/>
                <w:szCs w:val="24"/>
                <w:lang w:val="en-GB" w:eastAsia="cs-CZ"/>
              </w:rPr>
              <w:t xml:space="preserve"> proposal should </w:t>
            </w:r>
            <w:r w:rsidRPr="00C67FEB" w:rsidR="002354A4">
              <w:rPr>
                <w:rFonts w:ascii="Times New Roman" w:eastAsia="Times New Roman" w:hAnsi="Times New Roman" w:cs="Times New Roman"/>
                <w:sz w:val="24"/>
                <w:szCs w:val="24"/>
                <w:lang w:val="en-GB" w:eastAsia="cs-CZ"/>
              </w:rPr>
              <w:t>perform</w:t>
            </w:r>
            <w:r w:rsidRPr="00C67FEB">
              <w:rPr>
                <w:rFonts w:ascii="Times New Roman" w:eastAsia="Times New Roman" w:hAnsi="Times New Roman" w:cs="Times New Roman"/>
                <w:sz w:val="24"/>
                <w:szCs w:val="24"/>
                <w:lang w:val="en-GB" w:eastAsia="cs-CZ"/>
              </w:rPr>
              <w:t xml:space="preserve"> regional trade offices. If an offense (such as fraud or embezzlement) is committed, law enforcement authorities will be involved.</w:t>
            </w:r>
            <w:r w:rsidR="0087579E">
              <w:rPr>
                <w:rFonts w:ascii="Times New Roman" w:eastAsia="Times New Roman" w:hAnsi="Times New Roman" w:cs="Times New Roman"/>
                <w:sz w:val="24"/>
                <w:szCs w:val="24"/>
                <w:lang w:val="en-GB" w:eastAsia="cs-CZ"/>
              </w:rPr>
              <w:t xml:space="preserve"> </w:t>
            </w:r>
          </w:p>
          <w:p w:rsidR="00403DFA" w:rsidRPr="00C67FEB" w:rsidP="0087579E">
            <w:pPr>
              <w:keepNext/>
              <w:pBdr>
                <w:top w:val="single" w:sz="6" w:space="1" w:color="000000"/>
                <w:left w:val="single" w:sz="6" w:space="0" w:color="000000"/>
                <w:bottom w:val="single" w:sz="6" w:space="1" w:color="000000"/>
                <w:right w:val="single" w:sz="6" w:space="4" w:color="000000"/>
              </w:pBdr>
              <w:spacing w:before="200" w:after="120" w:line="240" w:lineRule="auto"/>
              <w:jc w:val="center"/>
              <w:outlineLvl w:val="3"/>
              <w:rPr>
                <w:rFonts w:ascii="Times New Roman" w:eastAsia="Times New Roman" w:hAnsi="Times New Roman" w:cs="Times New Roman"/>
                <w:sz w:val="24"/>
                <w:szCs w:val="24"/>
                <w:lang w:val="en-GB" w:eastAsia="cs-CZ"/>
              </w:rPr>
            </w:pPr>
            <w:r>
              <w:rPr>
                <w:rFonts w:ascii="Times New Roman" w:eastAsia="Times New Roman" w:hAnsi="Times New Roman" w:cs="Times New Roman"/>
                <w:sz w:val="14"/>
                <w:szCs w:val="14"/>
                <w:lang w:val="en-GB" w:eastAsia="cs-CZ"/>
              </w:rPr>
              <w:t xml:space="preserve"> </w:t>
            </w:r>
            <w:r w:rsidRPr="00B93D64">
              <w:rPr>
                <w:rFonts w:ascii="Times New Roman" w:eastAsia="Times New Roman" w:hAnsi="Times New Roman" w:cs="Times New Roman"/>
                <w:b/>
                <w:bCs/>
                <w:sz w:val="24"/>
                <w:szCs w:val="24"/>
                <w:lang w:val="en-GB" w:eastAsia="cs-CZ"/>
              </w:rPr>
              <w:t>5. REGULATORY EFFECTIV</w:t>
            </w:r>
            <w:r w:rsidRPr="00B93D64" w:rsidR="00B93D64">
              <w:rPr>
                <w:rFonts w:ascii="Times New Roman" w:eastAsia="Times New Roman" w:hAnsi="Times New Roman" w:cs="Times New Roman"/>
                <w:b/>
                <w:bCs/>
                <w:sz w:val="24"/>
                <w:szCs w:val="24"/>
                <w:lang w:val="en-GB" w:eastAsia="cs-CZ"/>
              </w:rPr>
              <w:t>ITY</w:t>
            </w:r>
            <w:r w:rsidRPr="00B93D64">
              <w:rPr>
                <w:rFonts w:ascii="Times New Roman" w:eastAsia="Times New Roman" w:hAnsi="Times New Roman" w:cs="Times New Roman"/>
                <w:b/>
                <w:bCs/>
                <w:sz w:val="24"/>
                <w:szCs w:val="24"/>
                <w:lang w:val="en-GB" w:eastAsia="cs-CZ"/>
              </w:rPr>
              <w:t xml:space="preserve"> REVIEW</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Ministry of Finance will review the effectiveness of the newly introduced regulation 3 years after the entry into force of the </w:t>
            </w:r>
            <w:r w:rsidRPr="00C67FEB" w:rsidR="002354A4">
              <w:rPr>
                <w:rFonts w:ascii="Times New Roman" w:eastAsia="Times New Roman" w:hAnsi="Times New Roman" w:cs="Times New Roman"/>
                <w:sz w:val="24"/>
                <w:szCs w:val="24"/>
                <w:lang w:val="en-GB" w:eastAsia="cs-CZ"/>
              </w:rPr>
              <w:t>act.</w:t>
            </w:r>
            <w:r w:rsidRPr="00C67FEB">
              <w:rPr>
                <w:rFonts w:ascii="Times New Roman" w:eastAsia="Times New Roman" w:hAnsi="Times New Roman" w:cs="Times New Roman"/>
                <w:sz w:val="24"/>
                <w:szCs w:val="24"/>
                <w:lang w:val="en-GB" w:eastAsia="cs-CZ"/>
              </w:rPr>
              <w:t xml:space="preserve"> The MF will continue to consult regularly with market participants and the supervisory authority (CNB), as well as with other interested parties (</w:t>
            </w:r>
            <w:r w:rsidRPr="00C67FEB" w:rsidR="002354A4">
              <w:rPr>
                <w:rFonts w:ascii="Times New Roman" w:eastAsia="Times New Roman" w:hAnsi="Times New Roman" w:cs="Times New Roman"/>
                <w:sz w:val="24"/>
                <w:szCs w:val="24"/>
                <w:lang w:val="en-GB" w:eastAsia="cs-CZ"/>
              </w:rPr>
              <w:t>e.g.</w:t>
            </w:r>
            <w:r w:rsidRPr="00C67FEB">
              <w:rPr>
                <w:rFonts w:ascii="Times New Roman" w:eastAsia="Times New Roman" w:hAnsi="Times New Roman" w:cs="Times New Roman"/>
                <w:sz w:val="24"/>
                <w:szCs w:val="24"/>
                <w:lang w:val="en-GB" w:eastAsia="cs-CZ"/>
              </w:rPr>
              <w:t xml:space="preserve"> representatives of the academic sphere). These consultations will include an analysis of the impact of the new regulation and a discussion on its possible calibration with another amendment. </w:t>
            </w:r>
            <w:r w:rsidRPr="00C67FEB" w:rsidR="00112477">
              <w:rPr>
                <w:rFonts w:ascii="Times New Roman" w:eastAsia="Times New Roman" w:hAnsi="Times New Roman" w:cs="Times New Roman"/>
                <w:sz w:val="24"/>
                <w:szCs w:val="24"/>
                <w:lang w:val="en-GB" w:eastAsia="cs-CZ"/>
              </w:rPr>
              <w:t>It a</w:t>
            </w:r>
            <w:r w:rsidRPr="00C67FEB">
              <w:rPr>
                <w:rFonts w:ascii="Times New Roman" w:eastAsia="Times New Roman" w:hAnsi="Times New Roman" w:cs="Times New Roman"/>
                <w:sz w:val="24"/>
                <w:szCs w:val="24"/>
                <w:lang w:val="en-GB" w:eastAsia="cs-CZ"/>
              </w:rPr>
              <w:t xml:space="preserve">ppears desirable to evaluate primarily the changes in the number of people in the sector, the effectiveness of the extension of the </w:t>
            </w:r>
            <w:r w:rsidRPr="00C67FEB" w:rsidR="00112477">
              <w:rPr>
                <w:rFonts w:ascii="Times New Roman" w:eastAsia="Times New Roman" w:hAnsi="Times New Roman" w:cs="Times New Roman"/>
                <w:sz w:val="24"/>
                <w:szCs w:val="24"/>
                <w:lang w:val="en-GB" w:eastAsia="cs-CZ"/>
              </w:rPr>
              <w:t>terms of issue</w:t>
            </w:r>
            <w:r w:rsidRPr="00C67FEB" w:rsidR="002354A4">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the new results of inspections and surveillance activities, the change in the scope of unfulfilled obligations, costs and benefits of the proposed </w:t>
            </w:r>
            <w:r w:rsidRPr="00C67FEB" w:rsidR="002354A4">
              <w:rPr>
                <w:rFonts w:ascii="Times New Roman" w:eastAsia="Times New Roman" w:hAnsi="Times New Roman" w:cs="Times New Roman"/>
                <w:sz w:val="24"/>
                <w:szCs w:val="24"/>
                <w:lang w:val="en-GB" w:eastAsia="cs-CZ"/>
              </w:rPr>
              <w:t>measures,</w:t>
            </w:r>
            <w:r w:rsidRPr="00C67FEB">
              <w:rPr>
                <w:rFonts w:ascii="Times New Roman" w:eastAsia="Times New Roman" w:hAnsi="Times New Roman" w:cs="Times New Roman"/>
                <w:sz w:val="24"/>
                <w:szCs w:val="24"/>
                <w:lang w:val="en-GB" w:eastAsia="cs-CZ"/>
              </w:rPr>
              <w:t xml:space="preserve"> etc.</w:t>
            </w:r>
            <w:r w:rsidR="0087579E">
              <w:rPr>
                <w:rFonts w:ascii="Times New Roman" w:eastAsia="Times New Roman" w:hAnsi="Times New Roman" w:cs="Times New Roman"/>
                <w:sz w:val="24"/>
                <w:szCs w:val="24"/>
                <w:lang w:val="en-GB" w:eastAsia="cs-CZ"/>
              </w:rPr>
              <w:t xml:space="preserve"> </w:t>
            </w:r>
          </w:p>
          <w:p w:rsidR="00403DFA" w:rsidRPr="00B93D64" w:rsidP="0087579E">
            <w:pPr>
              <w:keepNext/>
              <w:pBdr>
                <w:top w:val="single" w:sz="6" w:space="1" w:color="000000"/>
                <w:left w:val="single" w:sz="6" w:space="0" w:color="000000"/>
                <w:bottom w:val="single" w:sz="6" w:space="1" w:color="000000"/>
                <w:right w:val="single" w:sz="6" w:space="4" w:color="000000"/>
              </w:pBdr>
              <w:spacing w:before="200" w:after="120" w:line="240" w:lineRule="auto"/>
              <w:jc w:val="center"/>
              <w:outlineLvl w:val="3"/>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14"/>
                <w:szCs w:val="14"/>
                <w:lang w:val="en-GB" w:eastAsia="cs-CZ"/>
              </w:rPr>
              <w:t xml:space="preserve"> </w:t>
            </w:r>
            <w:r w:rsidRPr="00B93D64">
              <w:rPr>
                <w:rFonts w:ascii="Times New Roman" w:eastAsia="Times New Roman" w:hAnsi="Times New Roman" w:cs="Times New Roman"/>
                <w:b/>
                <w:bCs/>
                <w:sz w:val="24"/>
                <w:szCs w:val="24"/>
                <w:lang w:val="en-GB" w:eastAsia="cs-CZ"/>
              </w:rPr>
              <w:t>6. CONSULTATION AND DATA SOURCES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The MF published a public consultation on the draft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sz w:val="24"/>
                <w:szCs w:val="24"/>
                <w:lang w:val="en-GB" w:eastAsia="cs-CZ"/>
              </w:rPr>
              <w:t xml:space="preserve"> in the Czech Republic</w:t>
            </w:r>
            <w:r>
              <w:rPr>
                <w:rStyle w:val="FootnoteReference"/>
                <w:rFonts w:ascii="Times New Roman" w:eastAsia="Times New Roman" w:hAnsi="Times New Roman" w:cs="Times New Roman"/>
                <w:sz w:val="24"/>
                <w:szCs w:val="24"/>
                <w:lang w:val="en-GB" w:eastAsia="cs-CZ"/>
              </w:rPr>
              <w:footnoteReference w:id="8"/>
            </w:r>
            <w:bookmarkStart w:id="70" w:name="_ftnref7"/>
            <w:bookmarkEnd w:id="70"/>
            <w:r w:rsidRPr="00C67FEB" w:rsidR="00E05DAF">
              <w:rPr>
                <w:rFonts w:ascii="Times New Roman" w:eastAsia="Times New Roman" w:hAnsi="Times New Roman" w:cs="Times New Roman"/>
                <w:sz w:val="24"/>
                <w:szCs w:val="24"/>
                <w:lang w:val="en-GB" w:eastAsia="cs-CZ"/>
              </w:rPr>
              <w:t xml:space="preserve"> on </w:t>
            </w:r>
            <w:r w:rsidRPr="00C67FEB">
              <w:rPr>
                <w:rFonts w:ascii="Times New Roman" w:eastAsia="Times New Roman" w:hAnsi="Times New Roman" w:cs="Times New Roman"/>
                <w:sz w:val="24"/>
                <w:szCs w:val="24"/>
                <w:lang w:val="en-GB" w:eastAsia="cs-CZ"/>
              </w:rPr>
              <w:t>7 December 2018, with the term to express to 9</w:t>
            </w:r>
            <w:r w:rsidRPr="00C67FEB" w:rsidR="00E05DAF">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January 2019. In this context, it invited the capital market participants and the professional public to submit any concrete proposals, including the justification of the proposed change, which could be taken into account in the preparation of the amendment.</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After incorporating the comments received and finalizing the text, the Ministry of Finance submitted the </w:t>
            </w:r>
            <w:r w:rsidRPr="00C67FEB" w:rsidR="00D169AF">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Pr>
                <w:rFonts w:ascii="Times New Roman" w:eastAsia="Times New Roman" w:hAnsi="Times New Roman" w:cs="Times New Roman"/>
                <w:sz w:val="24"/>
                <w:szCs w:val="24"/>
                <w:lang w:val="en-GB" w:eastAsia="cs-CZ"/>
              </w:rPr>
              <w:t xml:space="preserve">, </w:t>
            </w:r>
            <w:r w:rsidRPr="00C67FEB" w:rsidR="00E05DAF">
              <w:rPr>
                <w:rFonts w:ascii="Times New Roman" w:eastAsia="Times New Roman" w:hAnsi="Times New Roman" w:cs="Times New Roman"/>
                <w:sz w:val="24"/>
                <w:szCs w:val="24"/>
                <w:lang w:val="en-GB" w:eastAsia="cs-CZ"/>
              </w:rPr>
              <w:t xml:space="preserve">to the Government </w:t>
            </w:r>
            <w:r w:rsidRPr="00C67FEB">
              <w:rPr>
                <w:rFonts w:ascii="Times New Roman" w:eastAsia="Times New Roman" w:hAnsi="Times New Roman" w:cs="Times New Roman"/>
                <w:sz w:val="24"/>
                <w:szCs w:val="24"/>
                <w:lang w:val="en-GB" w:eastAsia="cs-CZ"/>
              </w:rPr>
              <w:t xml:space="preserve">which approved this document at its meeting on 4 March 2019 (Resolution No. 156).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Subsequently, on 8 August 2019, a document entitled </w:t>
            </w:r>
            <w:r w:rsidRPr="00C67FEB" w:rsidR="00E05DA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Planned Legislative Measures Arising from the </w:t>
            </w:r>
            <w:r w:rsidRPr="00C67FEB" w:rsidR="00393C54">
              <w:rPr>
                <w:rFonts w:ascii="Times New Roman" w:eastAsia="Times New Roman" w:hAnsi="Times New Roman" w:cs="Times New Roman"/>
                <w:sz w:val="24"/>
                <w:szCs w:val="24"/>
                <w:lang w:val="en-GB" w:eastAsia="cs-CZ"/>
              </w:rPr>
              <w:t>National Strategy for the Development of the Capital Market in the Czech Republic 2019 - 2023</w:t>
            </w:r>
            <w:r w:rsidRPr="00C67FEB" w:rsidR="00E05DAF">
              <w:rPr>
                <w:rFonts w:ascii="Times New Roman" w:eastAsia="Times New Roman" w:hAnsi="Times New Roman" w:cs="Times New Roman"/>
                <w:sz w:val="24"/>
                <w:szCs w:val="24"/>
                <w:lang w:val="en-GB" w:eastAsia="cs-CZ"/>
              </w:rPr>
              <w:t>”</w:t>
            </w:r>
            <w:r w:rsidRPr="00C67FEB">
              <w:rPr>
                <w:rFonts w:ascii="Times New Roman" w:eastAsia="Times New Roman" w:hAnsi="Times New Roman" w:cs="Times New Roman"/>
                <w:sz w:val="24"/>
                <w:szCs w:val="24"/>
                <w:lang w:val="en-GB" w:eastAsia="cs-CZ"/>
              </w:rPr>
              <w:t xml:space="preserve"> was published for public consultation.</w:t>
            </w:r>
            <w:r>
              <w:rPr>
                <w:rStyle w:val="FootnoteReference"/>
                <w:rFonts w:ascii="Times New Roman" w:eastAsia="Times New Roman" w:hAnsi="Times New Roman" w:cs="Times New Roman"/>
                <w:sz w:val="24"/>
                <w:szCs w:val="24"/>
                <w:lang w:val="en-GB" w:eastAsia="cs-CZ"/>
              </w:rPr>
              <w:footnoteReference w:id="9"/>
            </w:r>
            <w:bookmarkStart w:id="71" w:name="_ftnref8"/>
            <w:bookmarkEnd w:id="71"/>
            <w:r w:rsidRPr="00C67FEB">
              <w:rPr>
                <w:rFonts w:ascii="Times New Roman" w:eastAsia="Times New Roman" w:hAnsi="Times New Roman" w:cs="Times New Roman"/>
                <w:sz w:val="24"/>
                <w:szCs w:val="24"/>
                <w:lang w:val="en-GB" w:eastAsia="cs-CZ"/>
              </w:rPr>
              <w:t xml:space="preserve"> In this context, the Ministry of Finance also invited capital market participants and the professional public to submit any specific proposals, including the justification of the proposed change, which could be taken into account in the preparation of the amendment. At the invitation responded one supervisor</w:t>
            </w:r>
            <w:r w:rsidRPr="00C67FEB" w:rsidR="00E05DAF">
              <w:rPr>
                <w:rFonts w:ascii="Times New Roman" w:eastAsia="Times New Roman" w:hAnsi="Times New Roman" w:cs="Times New Roman"/>
                <w:sz w:val="24"/>
                <w:szCs w:val="24"/>
                <w:lang w:val="en-GB" w:eastAsia="cs-CZ"/>
              </w:rPr>
              <w:t>y authority</w:t>
            </w:r>
            <w:r w:rsidRPr="00C67FEB">
              <w:rPr>
                <w:rFonts w:ascii="Times New Roman" w:eastAsia="Times New Roman" w:hAnsi="Times New Roman" w:cs="Times New Roman"/>
                <w:sz w:val="24"/>
                <w:szCs w:val="24"/>
                <w:lang w:val="en-GB" w:eastAsia="cs-CZ"/>
              </w:rPr>
              <w:t xml:space="preserve">, one ministry, 6 </w:t>
            </w:r>
            <w:r w:rsidRPr="00C67FEB" w:rsidR="00E05DAF">
              <w:rPr>
                <w:rFonts w:ascii="Times New Roman" w:eastAsia="Times New Roman" w:hAnsi="Times New Roman" w:cs="Times New Roman"/>
                <w:sz w:val="24"/>
                <w:szCs w:val="24"/>
                <w:lang w:val="en-GB" w:eastAsia="cs-CZ"/>
              </w:rPr>
              <w:t>m</w:t>
            </w:r>
            <w:r w:rsidRPr="00C67FEB">
              <w:rPr>
                <w:rFonts w:ascii="Times New Roman" w:eastAsia="Times New Roman" w:hAnsi="Times New Roman" w:cs="Times New Roman"/>
                <w:sz w:val="24"/>
                <w:szCs w:val="24"/>
                <w:lang w:val="en-GB" w:eastAsia="cs-CZ"/>
              </w:rPr>
              <w:t xml:space="preserve">arket </w:t>
            </w:r>
            <w:r w:rsidRPr="00C67FEB" w:rsidR="00E05DAF">
              <w:rPr>
                <w:rFonts w:ascii="Times New Roman" w:eastAsia="Times New Roman" w:hAnsi="Times New Roman" w:cs="Times New Roman"/>
                <w:sz w:val="24"/>
                <w:szCs w:val="24"/>
                <w:lang w:val="en-GB" w:eastAsia="cs-CZ"/>
              </w:rPr>
              <w:t>a</w:t>
            </w:r>
            <w:r w:rsidRPr="00C67FEB" w:rsidR="00413F41">
              <w:rPr>
                <w:rFonts w:ascii="Times New Roman" w:eastAsia="Times New Roman" w:hAnsi="Times New Roman" w:cs="Times New Roman"/>
                <w:sz w:val="24"/>
                <w:szCs w:val="24"/>
                <w:lang w:val="en-GB" w:eastAsia="cs-CZ"/>
              </w:rPr>
              <w:t>ssociation</w:t>
            </w:r>
            <w:r w:rsidRPr="00C67FEB" w:rsidR="00E05DAF">
              <w:rPr>
                <w:rFonts w:ascii="Times New Roman" w:eastAsia="Times New Roman" w:hAnsi="Times New Roman" w:cs="Times New Roman"/>
                <w:sz w:val="24"/>
                <w:szCs w:val="24"/>
                <w:lang w:val="en-GB" w:eastAsia="cs-CZ"/>
              </w:rPr>
              <w:t>s</w:t>
            </w:r>
            <w:r w:rsidRPr="00C67FEB">
              <w:rPr>
                <w:rFonts w:ascii="Times New Roman" w:eastAsia="Times New Roman" w:hAnsi="Times New Roman" w:cs="Times New Roman"/>
                <w:sz w:val="24"/>
                <w:szCs w:val="24"/>
                <w:lang w:val="en-GB" w:eastAsia="cs-CZ"/>
              </w:rPr>
              <w:t xml:space="preserve">, one international market </w:t>
            </w:r>
            <w:r w:rsidRPr="00C67FEB" w:rsidR="00413F41">
              <w:rPr>
                <w:rFonts w:ascii="Times New Roman" w:eastAsia="Times New Roman" w:hAnsi="Times New Roman" w:cs="Times New Roman"/>
                <w:sz w:val="24"/>
                <w:szCs w:val="24"/>
                <w:lang w:val="en-GB" w:eastAsia="cs-CZ"/>
              </w:rPr>
              <w:t>association</w:t>
            </w:r>
            <w:r w:rsidRPr="00C67FEB">
              <w:rPr>
                <w:rFonts w:ascii="Times New Roman" w:eastAsia="Times New Roman" w:hAnsi="Times New Roman" w:cs="Times New Roman"/>
                <w:sz w:val="24"/>
                <w:szCs w:val="24"/>
                <w:lang w:val="en-GB" w:eastAsia="cs-CZ"/>
              </w:rPr>
              <w:t>, a trade union representative, one educational institution</w:t>
            </w:r>
            <w:r w:rsidRPr="00C67FEB" w:rsidR="00E05DAF">
              <w:rPr>
                <w:rFonts w:ascii="Times New Roman" w:eastAsia="Times New Roman" w:hAnsi="Times New Roman" w:cs="Times New Roman"/>
                <w:sz w:val="24"/>
                <w:szCs w:val="24"/>
                <w:lang w:val="en-GB" w:eastAsia="cs-CZ"/>
              </w:rPr>
              <w:t xml:space="preserve">, </w:t>
            </w:r>
            <w:r w:rsidRPr="00C67FEB">
              <w:rPr>
                <w:rFonts w:ascii="Times New Roman" w:eastAsia="Times New Roman" w:hAnsi="Times New Roman" w:cs="Times New Roman"/>
                <w:sz w:val="24"/>
                <w:szCs w:val="24"/>
                <w:lang w:val="en-GB" w:eastAsia="cs-CZ"/>
              </w:rPr>
              <w:t xml:space="preserve">5 market operators and </w:t>
            </w:r>
            <w:r w:rsidRPr="00C67FEB" w:rsidR="00E05DAF">
              <w:rPr>
                <w:rFonts w:ascii="Times New Roman" w:eastAsia="Times New Roman" w:hAnsi="Times New Roman" w:cs="Times New Roman"/>
                <w:sz w:val="24"/>
                <w:szCs w:val="24"/>
                <w:lang w:val="en-GB" w:eastAsia="cs-CZ"/>
              </w:rPr>
              <w:t xml:space="preserve">5 </w:t>
            </w:r>
            <w:r w:rsidRPr="00C67FEB">
              <w:rPr>
                <w:rFonts w:ascii="Times New Roman" w:eastAsia="Times New Roman" w:hAnsi="Times New Roman" w:cs="Times New Roman"/>
                <w:sz w:val="24"/>
                <w:szCs w:val="24"/>
                <w:lang w:val="en-GB" w:eastAsia="cs-CZ"/>
              </w:rPr>
              <w:t xml:space="preserve">private </w:t>
            </w:r>
            <w:r w:rsidRPr="00C67FEB">
              <w:rPr>
                <w:rFonts w:ascii="Times New Roman" w:eastAsia="Times New Roman" w:hAnsi="Times New Roman" w:cs="Times New Roman"/>
                <w:sz w:val="24"/>
                <w:szCs w:val="24"/>
                <w:lang w:val="en-GB" w:eastAsia="cs-CZ"/>
              </w:rPr>
              <w:t>persons.</w:t>
            </w:r>
            <w:r w:rsidR="0087579E">
              <w:rPr>
                <w:rFonts w:ascii="Times New Roman" w:eastAsia="Times New Roman" w:hAnsi="Times New Roman" w:cs="Times New Roman"/>
                <w:sz w:val="24"/>
                <w:szCs w:val="24"/>
                <w:lang w:val="en-GB" w:eastAsia="cs-CZ"/>
              </w:rPr>
              <w:t xml:space="preserve"> </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The analysis of the individual issues examined all available data sources, in particular data available via the Internet, such as lists kept by the CNB, foreign legislation, professional literature, including foreign data, and other data provided by participants in discussions and consultations.</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For the sake of transparency, the </w:t>
            </w:r>
            <w:r w:rsidRPr="00C67FEB" w:rsidR="00E05DAF">
              <w:rPr>
                <w:rFonts w:ascii="Times New Roman" w:eastAsia="Times New Roman" w:hAnsi="Times New Roman" w:cs="Times New Roman"/>
                <w:sz w:val="24"/>
                <w:szCs w:val="24"/>
                <w:lang w:val="en-GB" w:eastAsia="cs-CZ"/>
              </w:rPr>
              <w:t>submitter</w:t>
            </w:r>
            <w:r w:rsidRPr="00C67FEB">
              <w:rPr>
                <w:rFonts w:ascii="Times New Roman" w:eastAsia="Times New Roman" w:hAnsi="Times New Roman" w:cs="Times New Roman"/>
                <w:sz w:val="24"/>
                <w:szCs w:val="24"/>
                <w:lang w:val="en-GB" w:eastAsia="cs-CZ"/>
              </w:rPr>
              <w:t xml:space="preserve"> published the results of these consultations for some of the individual options to which he received feedback. The </w:t>
            </w:r>
            <w:r w:rsidRPr="00C67FEB" w:rsidR="00CD1328">
              <w:rPr>
                <w:rFonts w:ascii="Times New Roman" w:eastAsia="Times New Roman" w:hAnsi="Times New Roman" w:cs="Times New Roman"/>
                <w:sz w:val="24"/>
                <w:szCs w:val="24"/>
                <w:lang w:val="en-GB" w:eastAsia="cs-CZ"/>
              </w:rPr>
              <w:t>submitter</w:t>
            </w:r>
            <w:r w:rsidRPr="00C67FEB">
              <w:rPr>
                <w:rFonts w:ascii="Times New Roman" w:eastAsia="Times New Roman" w:hAnsi="Times New Roman" w:cs="Times New Roman"/>
                <w:sz w:val="24"/>
                <w:szCs w:val="24"/>
                <w:lang w:val="en-GB" w:eastAsia="cs-CZ"/>
              </w:rPr>
              <w:t xml:space="preserve"> also received many comments orally, resulting from numerous discussions. At least a summary of these consultations has been attempted by the </w:t>
            </w:r>
            <w:r w:rsidRPr="00C67FEB" w:rsidR="00CD1328">
              <w:rPr>
                <w:rFonts w:ascii="Times New Roman" w:eastAsia="Times New Roman" w:hAnsi="Times New Roman" w:cs="Times New Roman"/>
                <w:sz w:val="24"/>
                <w:szCs w:val="24"/>
                <w:lang w:val="en-GB" w:eastAsia="cs-CZ"/>
              </w:rPr>
              <w:t>submitter</w:t>
            </w:r>
            <w:r w:rsidRPr="00C67FEB">
              <w:rPr>
                <w:rFonts w:ascii="Times New Roman" w:eastAsia="Times New Roman" w:hAnsi="Times New Roman" w:cs="Times New Roman"/>
                <w:sz w:val="24"/>
                <w:szCs w:val="24"/>
                <w:lang w:val="en-GB" w:eastAsia="cs-CZ"/>
              </w:rPr>
              <w:t xml:space="preserve"> at the end of the remaining individual options. The </w:t>
            </w:r>
            <w:r w:rsidRPr="00C67FEB" w:rsidR="00CD1328">
              <w:rPr>
                <w:rFonts w:ascii="Times New Roman" w:eastAsia="Times New Roman" w:hAnsi="Times New Roman" w:cs="Times New Roman"/>
                <w:sz w:val="24"/>
                <w:szCs w:val="24"/>
                <w:lang w:val="en-GB" w:eastAsia="cs-CZ"/>
              </w:rPr>
              <w:t>submitter</w:t>
            </w:r>
            <w:r w:rsidRPr="00C67FEB">
              <w:rPr>
                <w:rFonts w:ascii="Times New Roman" w:eastAsia="Times New Roman" w:hAnsi="Times New Roman" w:cs="Times New Roman"/>
                <w:sz w:val="24"/>
                <w:szCs w:val="24"/>
                <w:lang w:val="en-GB" w:eastAsia="cs-CZ"/>
              </w:rPr>
              <w:t xml:space="preserve"> is aware of the need to react to the needs of practical functioning and the changes that are taking place in the capital market. When choosing the most appropriate solution, the </w:t>
            </w:r>
            <w:r w:rsidRPr="00C67FEB" w:rsidR="00CD1328">
              <w:rPr>
                <w:rFonts w:ascii="Times New Roman" w:eastAsia="Times New Roman" w:hAnsi="Times New Roman" w:cs="Times New Roman"/>
                <w:sz w:val="24"/>
                <w:szCs w:val="24"/>
                <w:lang w:val="en-GB" w:eastAsia="cs-CZ"/>
              </w:rPr>
              <w:t>submitter</w:t>
            </w:r>
            <w:r w:rsidRPr="00C67FEB">
              <w:rPr>
                <w:rFonts w:ascii="Times New Roman" w:eastAsia="Times New Roman" w:hAnsi="Times New Roman" w:cs="Times New Roman"/>
                <w:sz w:val="24"/>
                <w:szCs w:val="24"/>
                <w:lang w:val="en-GB" w:eastAsia="cs-CZ"/>
              </w:rPr>
              <w:t xml:space="preserve"> respected the private law area related to capital market issues, which should be regulated as freely as possible, but also not forgetting the need to protect especially retail investors and also inspired by the legislation of Western European countries.</w:t>
            </w:r>
            <w:r w:rsidR="0087579E">
              <w:rPr>
                <w:rFonts w:ascii="Times New Roman" w:eastAsia="Times New Roman" w:hAnsi="Times New Roman" w:cs="Times New Roman"/>
                <w:sz w:val="24"/>
                <w:szCs w:val="24"/>
                <w:lang w:val="en-GB" w:eastAsia="cs-CZ"/>
              </w:rPr>
              <w:t xml:space="preserve"> </w:t>
            </w:r>
          </w:p>
          <w:p w:rsidR="00403DFA" w:rsidRPr="00B93D64" w:rsidP="0087579E">
            <w:pPr>
              <w:keepNext/>
              <w:pBdr>
                <w:top w:val="single" w:sz="6" w:space="1" w:color="000000"/>
                <w:left w:val="single" w:sz="6" w:space="0" w:color="000000"/>
                <w:bottom w:val="single" w:sz="6" w:space="1" w:color="000000"/>
                <w:right w:val="single" w:sz="6" w:space="4" w:color="000000"/>
              </w:pBdr>
              <w:spacing w:before="200" w:after="120" w:line="240" w:lineRule="auto"/>
              <w:jc w:val="center"/>
              <w:outlineLvl w:val="3"/>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14"/>
                <w:szCs w:val="14"/>
                <w:lang w:val="en-GB" w:eastAsia="cs-CZ"/>
              </w:rPr>
              <w:t xml:space="preserve"> </w:t>
            </w:r>
            <w:r w:rsidRPr="00B93D64" w:rsidR="00CD1328">
              <w:rPr>
                <w:rFonts w:ascii="Times New Roman" w:eastAsia="Times New Roman" w:hAnsi="Times New Roman" w:cs="Times New Roman"/>
                <w:b/>
                <w:bCs/>
                <w:sz w:val="24"/>
                <w:szCs w:val="24"/>
                <w:lang w:val="en-GB" w:eastAsia="cs-CZ"/>
              </w:rPr>
              <w:t>7</w:t>
            </w:r>
            <w:r w:rsidRPr="00B93D64">
              <w:rPr>
                <w:rFonts w:ascii="Times New Roman" w:eastAsia="Times New Roman" w:hAnsi="Times New Roman" w:cs="Times New Roman"/>
                <w:b/>
                <w:bCs/>
                <w:sz w:val="24"/>
                <w:szCs w:val="24"/>
                <w:lang w:val="en-GB" w:eastAsia="cs-CZ"/>
              </w:rPr>
              <w:t xml:space="preserve">. </w:t>
            </w:r>
            <w:r w:rsidRPr="00B93D64" w:rsidR="00CD1328">
              <w:rPr>
                <w:rFonts w:ascii="Times New Roman" w:eastAsia="Times New Roman" w:hAnsi="Times New Roman" w:cs="Times New Roman"/>
                <w:b/>
                <w:bCs/>
                <w:sz w:val="24"/>
                <w:szCs w:val="24"/>
                <w:lang w:val="en-GB" w:eastAsia="cs-CZ"/>
              </w:rPr>
              <w:t>CONTACTS FOR RIA PROCESSOR</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 xml:space="preserve">Mgr. Bc. </w:t>
            </w:r>
            <w:r w:rsidRPr="00B93D64" w:rsidR="00B93D64">
              <w:rPr>
                <w:rFonts w:ascii="Times New Roman" w:eastAsia="Times New Roman" w:hAnsi="Times New Roman" w:cs="Times New Roman"/>
                <w:b/>
                <w:bCs/>
                <w:sz w:val="24"/>
                <w:szCs w:val="24"/>
                <w:lang w:val="en-GB" w:eastAsia="cs-CZ"/>
              </w:rPr>
              <w:t>Aleš Králík</w:t>
            </w:r>
            <w:r w:rsidRPr="00C67FEB">
              <w:rPr>
                <w:rFonts w:ascii="Times New Roman" w:eastAsia="Times New Roman" w:hAnsi="Times New Roman" w:cs="Times New Roman"/>
                <w:sz w:val="24"/>
                <w:szCs w:val="24"/>
                <w:lang w:val="en-GB" w:eastAsia="cs-CZ"/>
              </w:rPr>
              <w:t>, LL.M.</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Ministry of Finance / Financial Markets II / Capital Market Department</w:t>
            </w:r>
          </w:p>
          <w:p w:rsidR="00403DFA" w:rsidRPr="00C67FEB" w:rsidP="0087579E">
            <w:pPr>
              <w:keepNext/>
              <w:spacing w:before="120" w:after="120" w:line="240" w:lineRule="auto"/>
              <w:jc w:val="both"/>
              <w:rPr>
                <w:rFonts w:ascii="Times New Roman" w:eastAsia="Times New Roman" w:hAnsi="Times New Roman" w:cs="Times New Roman"/>
                <w:sz w:val="24"/>
                <w:szCs w:val="24"/>
                <w:lang w:val="en-GB" w:eastAsia="cs-CZ"/>
              </w:rPr>
            </w:pPr>
            <w:r w:rsidRPr="00C67FEB">
              <w:rPr>
                <w:rFonts w:ascii="Times New Roman" w:eastAsia="Times New Roman" w:hAnsi="Times New Roman" w:cs="Times New Roman"/>
                <w:sz w:val="24"/>
                <w:szCs w:val="24"/>
                <w:lang w:val="en-GB" w:eastAsia="cs-CZ"/>
              </w:rPr>
              <w:t>Tel: +420 257 04 24 35, e- mail: ales.kralik@mfcr.cz</w:t>
            </w:r>
          </w:p>
          <w:p w:rsidR="00403DFA" w:rsidRPr="00C67FEB" w:rsidP="0087579E">
            <w:pPr>
              <w:keepNext/>
              <w:spacing w:after="0" w:line="240" w:lineRule="auto"/>
              <w:rPr>
                <w:rFonts w:ascii="Times New Roman" w:eastAsia="Times New Roman" w:hAnsi="Times New Roman" w:cs="Times New Roman"/>
                <w:sz w:val="24"/>
                <w:szCs w:val="24"/>
                <w:lang w:val="en-GB" w:eastAsia="cs-CZ"/>
              </w:rPr>
            </w:pPr>
            <w:bookmarkStart w:id="72" w:name="_ftn1"/>
            <w:bookmarkEnd w:id="72"/>
          </w:p>
        </w:tc>
        <w:tc>
          <w:tcPr>
            <w:tcW w:w="341" w:type="dxa"/>
            <w:vAlign w:val="center"/>
            <w:hideMark/>
          </w:tcPr>
          <w:p w:rsidR="00403DFA" w:rsidRPr="00C67FEB" w:rsidP="0087579E">
            <w:pPr>
              <w:keepNext/>
              <w:spacing w:after="0" w:line="240" w:lineRule="auto"/>
              <w:rPr>
                <w:rFonts w:ascii="Times New Roman" w:eastAsia="Times New Roman" w:hAnsi="Times New Roman" w:cs="Times New Roman"/>
                <w:sz w:val="20"/>
                <w:szCs w:val="20"/>
                <w:lang w:val="en-GB" w:eastAsia="cs-CZ"/>
              </w:rPr>
            </w:pPr>
          </w:p>
        </w:tc>
      </w:tr>
    </w:tbl>
    <w:p w:rsidR="00EE1188" w:rsidRPr="00810A92" w:rsidP="0087579E">
      <w:pPr>
        <w:keepNext/>
        <w:rPr>
          <w:lang w:val="en-GB"/>
        </w:rPr>
      </w:pPr>
    </w:p>
    <w:sectPr w:rsidSect="0087579E">
      <w:headerReference w:type="default" r:id="rId6"/>
      <w:pgSz w:w="11906" w:h="16838"/>
      <w:pgMar w:top="1417" w:right="1417" w:bottom="1417" w:left="1417"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60CF" w:rsidP="00A06368">
      <w:pPr>
        <w:spacing w:after="0" w:line="240" w:lineRule="auto"/>
      </w:pPr>
      <w:r>
        <w:separator/>
      </w:r>
    </w:p>
  </w:footnote>
  <w:footnote w:type="continuationSeparator" w:id="1">
    <w:p w:rsidR="002C60CF" w:rsidP="00A06368">
      <w:pPr>
        <w:spacing w:after="0" w:line="240" w:lineRule="auto"/>
      </w:pPr>
      <w:r>
        <w:continuationSeparator/>
      </w:r>
    </w:p>
  </w:footnote>
  <w:footnote w:id="2">
    <w:p w:rsidR="0087579E">
      <w:pPr>
        <w:pStyle w:val="FootnoteText"/>
      </w:pPr>
      <w:r>
        <w:rPr>
          <w:rStyle w:val="FootnoteReference"/>
        </w:rPr>
        <w:footnoteRef/>
      </w:r>
      <w:r>
        <w:t xml:space="preserve"> </w:t>
      </w:r>
      <w:r w:rsidRPr="00A06368">
        <w:rPr>
          <w:rFonts w:ascii="Times New Roman" w:hAnsi="Times New Roman" w:cs="Times New Roman"/>
          <w:lang w:val="en-GB"/>
        </w:rPr>
        <w:t>Between 2016-2017,</w:t>
      </w:r>
      <w:r w:rsidRPr="00A06368">
        <w:rPr>
          <w:rFonts w:ascii="Times New Roman" w:hAnsi="Times New Roman" w:cs="Times New Roman"/>
          <w:lang w:val="en-GB"/>
        </w:rPr>
        <w:t xml:space="preserve"> the UK had an ISA account approximately 22,000,000</w:t>
      </w:r>
      <w:r>
        <w:rPr>
          <w:rFonts w:ascii="Times New Roman" w:hAnsi="Times New Roman" w:cs="Times New Roman"/>
          <w:lang w:val="en-GB"/>
        </w:rPr>
        <w:t xml:space="preserve"> residents</w:t>
      </w:r>
      <w:r w:rsidRPr="00A06368">
        <w:rPr>
          <w:rFonts w:ascii="Times New Roman" w:hAnsi="Times New Roman" w:cs="Times New Roman"/>
          <w:lang w:val="en-GB"/>
        </w:rPr>
        <w:t>. Approximately 8.5 million residents in this period deposited cash in Cash ISA, 2.5 million residents in Stocks and Shares ISA, the remaining 11 million residents in this period deposited no savings but had an active ISA account with savings from previous years. Innovative ISA was a new product this year, so only 5,000 people put their savings in it, but it is estimated that 31,000 people have already put their savings in it the following year. Lifetime ISA was established a year later, i</w:t>
      </w:r>
      <w:r>
        <w:rPr>
          <w:rFonts w:ascii="Times New Roman" w:hAnsi="Times New Roman" w:cs="Times New Roman"/>
          <w:lang w:val="en-GB"/>
        </w:rPr>
        <w:t>.</w:t>
      </w:r>
      <w:r w:rsidRPr="00A06368">
        <w:rPr>
          <w:rFonts w:ascii="Times New Roman" w:hAnsi="Times New Roman" w:cs="Times New Roman"/>
          <w:lang w:val="en-GB"/>
        </w:rPr>
        <w:t>e</w:t>
      </w:r>
      <w:r>
        <w:rPr>
          <w:rFonts w:ascii="Times New Roman" w:hAnsi="Times New Roman" w:cs="Times New Roman"/>
          <w:lang w:val="en-GB"/>
        </w:rPr>
        <w:t>.</w:t>
      </w:r>
      <w:r w:rsidRPr="00A06368">
        <w:rPr>
          <w:rFonts w:ascii="Times New Roman" w:hAnsi="Times New Roman" w:cs="Times New Roman"/>
          <w:lang w:val="en-GB"/>
        </w:rPr>
        <w:t xml:space="preserve"> in the period 2017-2018, when it was estimated that 166 000 </w:t>
      </w:r>
      <w:r>
        <w:rPr>
          <w:rFonts w:ascii="Times New Roman" w:hAnsi="Times New Roman" w:cs="Times New Roman"/>
          <w:lang w:val="en-GB"/>
        </w:rPr>
        <w:t>residents</w:t>
      </w:r>
      <w:r w:rsidRPr="00A06368">
        <w:rPr>
          <w:rFonts w:ascii="Times New Roman" w:hAnsi="Times New Roman" w:cs="Times New Roman"/>
          <w:lang w:val="en-GB"/>
        </w:rPr>
        <w:t xml:space="preserve"> invested in it. In addition, according to preliminary estimates, the so-called Junior ISA used 900,000 </w:t>
      </w:r>
      <w:r>
        <w:rPr>
          <w:rFonts w:ascii="Times New Roman" w:hAnsi="Times New Roman" w:cs="Times New Roman"/>
          <w:lang w:val="en-GB"/>
        </w:rPr>
        <w:t>residents</w:t>
      </w:r>
      <w:r w:rsidRPr="00A06368">
        <w:rPr>
          <w:rFonts w:ascii="Times New Roman" w:hAnsi="Times New Roman" w:cs="Times New Roman"/>
          <w:lang w:val="en-GB"/>
        </w:rPr>
        <w:t xml:space="preserve"> in 2017-2018. Source: Individual Saving Account (ISA) Statistics.</w:t>
      </w:r>
      <w:r>
        <w:t xml:space="preserve"> </w:t>
      </w:r>
    </w:p>
  </w:footnote>
  <w:footnote w:id="3">
    <w:p w:rsidR="0087579E">
      <w:pPr>
        <w:pStyle w:val="FootnoteText"/>
      </w:pPr>
      <w:r>
        <w:rPr>
          <w:rStyle w:val="FootnoteReference"/>
        </w:rPr>
        <w:footnoteRef/>
      </w:r>
      <w:r>
        <w:t xml:space="preserve"> </w:t>
      </w:r>
      <w:r w:rsidRPr="00D9565C">
        <w:rPr>
          <w:rFonts w:ascii="Times New Roman" w:hAnsi="Times New Roman" w:cs="Times New Roman"/>
          <w:lang w:val="en-GB"/>
        </w:rPr>
        <w:t>More than a third of US households, nearly 44 million, owned at least one type of IRA in mid-2017. The traditional IRA was owned by 35 million households, the Roth IRA was owned by 25 million households and nearly 8 million households owned an IRU subsidized at least in part by employers. Source: US Retirement and Education Savings.</w:t>
      </w:r>
    </w:p>
  </w:footnote>
  <w:footnote w:id="4">
    <w:p w:rsidR="0087579E">
      <w:pPr>
        <w:pStyle w:val="FootnoteText"/>
      </w:pPr>
      <w:r>
        <w:rPr>
          <w:rStyle w:val="FootnoteReference"/>
        </w:rPr>
        <w:footnoteRef/>
      </w:r>
      <w:r>
        <w:t xml:space="preserve"> </w:t>
      </w:r>
      <w:r w:rsidRPr="00D309EB">
        <w:rPr>
          <w:rFonts w:ascii="Times New Roman" w:hAnsi="Times New Roman" w:cs="Times New Roman"/>
          <w:lang w:val="en-GB"/>
        </w:rPr>
        <w:t>The average appreciation of dynamic participati</w:t>
      </w:r>
      <w:r>
        <w:rPr>
          <w:rFonts w:ascii="Times New Roman" w:hAnsi="Times New Roman" w:cs="Times New Roman"/>
          <w:lang w:val="en-GB"/>
        </w:rPr>
        <w:t xml:space="preserve">on </w:t>
      </w:r>
      <w:r w:rsidRPr="00D309EB">
        <w:rPr>
          <w:rFonts w:ascii="Times New Roman" w:hAnsi="Times New Roman" w:cs="Times New Roman"/>
          <w:lang w:val="en-GB"/>
        </w:rPr>
        <w:t>funds in 2017 was 7.18%, but in 2018 - 8.25%.</w:t>
      </w:r>
    </w:p>
  </w:footnote>
  <w:footnote w:id="5">
    <w:p w:rsidR="0087579E">
      <w:pPr>
        <w:pStyle w:val="FootnoteText"/>
      </w:pPr>
      <w:r>
        <w:rPr>
          <w:rStyle w:val="FootnoteReference"/>
        </w:rPr>
        <w:footnoteRef/>
      </w:r>
      <w:r>
        <w:t xml:space="preserve"> </w:t>
      </w:r>
      <w:r w:rsidRPr="00D309EB">
        <w:rPr>
          <w:rFonts w:ascii="Times New Roman" w:hAnsi="Times New Roman" w:cs="Times New Roman"/>
          <w:lang w:val="en-GB"/>
        </w:rPr>
        <w:t xml:space="preserve">The standard in the area of collective investment and foreign </w:t>
      </w:r>
      <w:r>
        <w:rPr>
          <w:rFonts w:ascii="Times New Roman" w:hAnsi="Times New Roman" w:cs="Times New Roman"/>
          <w:lang w:val="en-GB"/>
        </w:rPr>
        <w:t>contribution defined</w:t>
      </w:r>
      <w:r w:rsidRPr="00D309EB">
        <w:rPr>
          <w:rFonts w:ascii="Times New Roman" w:hAnsi="Times New Roman" w:cs="Times New Roman"/>
          <w:lang w:val="en-GB"/>
        </w:rPr>
        <w:t xml:space="preserve"> voluntary systems is that in addition to the management fee, the fund pays other costs such as transaction costs, securities management fees (custody fees), depository fees, audit. These additional costs depend on the type of securities and investment strategy and are usually in the range of 0.1 - 0.5% in relation to the assets under management.</w:t>
      </w:r>
    </w:p>
  </w:footnote>
  <w:footnote w:id="6">
    <w:p w:rsidR="0087579E">
      <w:pPr>
        <w:pStyle w:val="FootnoteText"/>
      </w:pPr>
      <w:r>
        <w:rPr>
          <w:rStyle w:val="FootnoteReference"/>
        </w:rPr>
        <w:footnoteRef/>
      </w:r>
      <w:r>
        <w:t xml:space="preserve"> </w:t>
      </w:r>
      <w:r w:rsidRPr="00A77ADF">
        <w:rPr>
          <w:rFonts w:ascii="Times New Roman" w:hAnsi="Times New Roman" w:cs="Times New Roman"/>
          <w:lang w:val="en-GB"/>
        </w:rPr>
        <w:t>Judgment of the Constitutional Court file no. II. ÚS 543/11.</w:t>
      </w:r>
    </w:p>
  </w:footnote>
  <w:footnote w:id="7">
    <w:p w:rsidR="0087579E">
      <w:pPr>
        <w:pStyle w:val="FootnoteText"/>
      </w:pPr>
      <w:r>
        <w:rPr>
          <w:rStyle w:val="FootnoteReference"/>
        </w:rPr>
        <w:footnoteRef/>
      </w:r>
      <w:r>
        <w:t xml:space="preserve"> </w:t>
      </w:r>
      <w:r w:rsidRPr="0081411B">
        <w:rPr>
          <w:rFonts w:ascii="Times New Roman" w:hAnsi="Times New Roman" w:cs="Times New Roman"/>
          <w:lang w:val="en-GB"/>
        </w:rPr>
        <w:t xml:space="preserve">For example, the CNB suspects XYZ of violating several financial market laws. According to some, under the guise of a trust fund, XYZ offers classic collective investment. If that were the case, it would circumvent the dozens of regulatory and very costly obligations that licensed investment funds have to fulfil. A CNB spokeswoman confirmed that the CNB was intensively </w:t>
      </w:r>
      <w:r>
        <w:rPr>
          <w:rFonts w:ascii="Times New Roman" w:hAnsi="Times New Roman" w:cs="Times New Roman"/>
          <w:lang w:val="en-GB"/>
        </w:rPr>
        <w:t>checking</w:t>
      </w:r>
      <w:r w:rsidRPr="0081411B">
        <w:rPr>
          <w:rFonts w:ascii="Times New Roman" w:hAnsi="Times New Roman" w:cs="Times New Roman"/>
          <w:lang w:val="en-GB"/>
        </w:rPr>
        <w:t xml:space="preserve"> on XYZ for possible breaches of the Banking Act and Management Companies and Investment Funds Act and that the CNB was taking all legal remedial action.</w:t>
      </w:r>
    </w:p>
  </w:footnote>
  <w:footnote w:id="8">
    <w:p w:rsidR="0087579E" w:rsidRPr="00E05DAF">
      <w:pPr>
        <w:pStyle w:val="FootnoteText"/>
        <w:rPr>
          <w:rFonts w:ascii="Times New Roman" w:hAnsi="Times New Roman" w:cs="Times New Roman"/>
        </w:rPr>
      </w:pPr>
      <w:r>
        <w:rPr>
          <w:rStyle w:val="FootnoteReference"/>
        </w:rPr>
        <w:footnoteRef/>
      </w:r>
      <w:r>
        <w:t xml:space="preserve"> </w:t>
      </w:r>
      <w:r w:rsidRPr="00E05DAF">
        <w:rPr>
          <w:rFonts w:ascii="Times New Roman" w:hAnsi="Times New Roman" w:cs="Times New Roman"/>
        </w:rPr>
        <w:t>https://www.mfcr.cz/cs/soukromy-sektor/kapitalovy-trh/podnikani-na-kapitalovem-trhu/2018/verejna-konzultace-koncepce-rozvoje-kapi-33657</w:t>
      </w:r>
    </w:p>
  </w:footnote>
  <w:footnote w:id="9">
    <w:p w:rsidR="0087579E">
      <w:pPr>
        <w:pStyle w:val="FootnoteText"/>
      </w:pPr>
      <w:r w:rsidRPr="00E05DAF">
        <w:rPr>
          <w:rStyle w:val="FootnoteReference"/>
          <w:rFonts w:ascii="Times New Roman" w:hAnsi="Times New Roman" w:cs="Times New Roman"/>
        </w:rPr>
        <w:footnoteRef/>
      </w:r>
      <w:r w:rsidRPr="00E05DAF">
        <w:rPr>
          <w:rFonts w:ascii="Times New Roman" w:hAnsi="Times New Roman" w:cs="Times New Roman"/>
        </w:rPr>
        <w:t xml:space="preserve"> https://www.mfcr.cz/cs/soukromy-sektor/kapitalovy-trh/podnikani-na-kapitalovem-trhu/2019/verejna-konzultace-planovana-legislativn-35843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892579692"/>
      <w:docPartObj>
        <w:docPartGallery w:val="Page Numbers (Top of Page)"/>
        <w:docPartUnique/>
      </w:docPartObj>
    </w:sdtPr>
    <w:sdtContent>
      <w:p w:rsidR="0087579E" w:rsidRPr="0087579E">
        <w:pPr>
          <w:pStyle w:val="Header"/>
          <w:jc w:val="center"/>
          <w:rPr>
            <w:rFonts w:ascii="Times New Roman" w:hAnsi="Times New Roman" w:cs="Times New Roman"/>
          </w:rPr>
        </w:pPr>
        <w:r w:rsidRPr="0087579E">
          <w:rPr>
            <w:rFonts w:ascii="Times New Roman" w:hAnsi="Times New Roman" w:cs="Times New Roman"/>
          </w:rPr>
          <w:fldChar w:fldCharType="begin"/>
        </w:r>
        <w:r w:rsidRPr="0087579E">
          <w:rPr>
            <w:rFonts w:ascii="Times New Roman" w:hAnsi="Times New Roman" w:cs="Times New Roman"/>
          </w:rPr>
          <w:instrText>PAGE   \* MERGEFORMAT</w:instrText>
        </w:r>
        <w:r w:rsidRPr="0087579E">
          <w:rPr>
            <w:rFonts w:ascii="Times New Roman" w:hAnsi="Times New Roman" w:cs="Times New Roman"/>
          </w:rPr>
          <w:fldChar w:fldCharType="separate"/>
        </w:r>
        <w:r w:rsidR="002348C6">
          <w:rPr>
            <w:rFonts w:ascii="Times New Roman" w:hAnsi="Times New Roman" w:cs="Times New Roman"/>
            <w:noProof/>
          </w:rPr>
          <w:t>- 70 -</w:t>
        </w:r>
        <w:r w:rsidRPr="0087579E">
          <w:rPr>
            <w:rFonts w:ascii="Times New Roman" w:hAnsi="Times New Roman" w:cs="Times New Roman"/>
          </w:rPr>
          <w:fldChar w:fldCharType="end"/>
        </w:r>
      </w:p>
    </w:sdtContent>
  </w:sdt>
  <w:p w:rsidR="0087579E" w:rsidRPr="0087579E">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D53DF"/>
    <w:multiLevelType w:val="multilevel"/>
    <w:tmpl w:val="9842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E1ED5"/>
    <w:multiLevelType w:val="multilevel"/>
    <w:tmpl w:val="F4C0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220449"/>
    <w:multiLevelType w:val="hybridMultilevel"/>
    <w:tmpl w:val="3F6EE61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
    <w:nsid w:val="0E796AEF"/>
    <w:multiLevelType w:val="multilevel"/>
    <w:tmpl w:val="681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A72F50"/>
    <w:multiLevelType w:val="hybridMultilevel"/>
    <w:tmpl w:val="8E6060BC"/>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5">
    <w:nsid w:val="1078750B"/>
    <w:multiLevelType w:val="hybridMultilevel"/>
    <w:tmpl w:val="11E6166E"/>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6">
    <w:nsid w:val="10EF5658"/>
    <w:multiLevelType w:val="multilevel"/>
    <w:tmpl w:val="5C44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781609"/>
    <w:multiLevelType w:val="multilevel"/>
    <w:tmpl w:val="30B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B01305"/>
    <w:multiLevelType w:val="hybridMultilevel"/>
    <w:tmpl w:val="94FE6F6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C50351"/>
    <w:multiLevelType w:val="multilevel"/>
    <w:tmpl w:val="E5B8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DC6692"/>
    <w:multiLevelType w:val="multilevel"/>
    <w:tmpl w:val="53F4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FC34BE"/>
    <w:multiLevelType w:val="hybridMultilevel"/>
    <w:tmpl w:val="1C7E7398"/>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12">
    <w:nsid w:val="2D584E3B"/>
    <w:multiLevelType w:val="multilevel"/>
    <w:tmpl w:val="FDD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001657F"/>
    <w:multiLevelType w:val="multilevel"/>
    <w:tmpl w:val="F2A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A648F2"/>
    <w:multiLevelType w:val="multilevel"/>
    <w:tmpl w:val="7074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514826"/>
    <w:multiLevelType w:val="multilevel"/>
    <w:tmpl w:val="5516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972CCE"/>
    <w:multiLevelType w:val="multilevel"/>
    <w:tmpl w:val="3CD2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75E211C"/>
    <w:multiLevelType w:val="multilevel"/>
    <w:tmpl w:val="C7EC21C8"/>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400671"/>
    <w:multiLevelType w:val="multilevel"/>
    <w:tmpl w:val="89F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697DC2"/>
    <w:multiLevelType w:val="multilevel"/>
    <w:tmpl w:val="888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3E139C"/>
    <w:multiLevelType w:val="multilevel"/>
    <w:tmpl w:val="E57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586959"/>
    <w:multiLevelType w:val="hybridMultilevel"/>
    <w:tmpl w:val="750E391E"/>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22">
    <w:nsid w:val="563503DC"/>
    <w:multiLevelType w:val="multilevel"/>
    <w:tmpl w:val="58F8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B2412F"/>
    <w:multiLevelType w:val="multilevel"/>
    <w:tmpl w:val="BB4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1E3191"/>
    <w:multiLevelType w:val="hybridMultilevel"/>
    <w:tmpl w:val="9558C0F8"/>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25">
    <w:nsid w:val="644A3579"/>
    <w:multiLevelType w:val="multilevel"/>
    <w:tmpl w:val="27F2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F60F79"/>
    <w:multiLevelType w:val="hybridMultilevel"/>
    <w:tmpl w:val="29E0D530"/>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27">
    <w:nsid w:val="68C33DCF"/>
    <w:multiLevelType w:val="hybridMultilevel"/>
    <w:tmpl w:val="D39CB70A"/>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abstractNum w:abstractNumId="28">
    <w:nsid w:val="6ECE2DB5"/>
    <w:multiLevelType w:val="hybridMultilevel"/>
    <w:tmpl w:val="7A022DA2"/>
    <w:lvl w:ilvl="0">
      <w:start w:val="1"/>
      <w:numFmt w:val="decimal"/>
      <w:lvlText w:val="%1."/>
      <w:lvlJc w:val="left"/>
      <w:pPr>
        <w:ind w:left="1348" w:hanging="360"/>
      </w:pPr>
    </w:lvl>
    <w:lvl w:ilvl="1" w:tentative="1">
      <w:start w:val="1"/>
      <w:numFmt w:val="lowerLetter"/>
      <w:lvlText w:val="%2."/>
      <w:lvlJc w:val="left"/>
      <w:pPr>
        <w:ind w:left="2068" w:hanging="360"/>
      </w:pPr>
    </w:lvl>
    <w:lvl w:ilvl="2" w:tentative="1">
      <w:start w:val="1"/>
      <w:numFmt w:val="lowerRoman"/>
      <w:lvlText w:val="%3."/>
      <w:lvlJc w:val="right"/>
      <w:pPr>
        <w:ind w:left="2788" w:hanging="180"/>
      </w:pPr>
    </w:lvl>
    <w:lvl w:ilvl="3" w:tentative="1">
      <w:start w:val="1"/>
      <w:numFmt w:val="decimal"/>
      <w:lvlText w:val="%4."/>
      <w:lvlJc w:val="left"/>
      <w:pPr>
        <w:ind w:left="3508" w:hanging="360"/>
      </w:pPr>
    </w:lvl>
    <w:lvl w:ilvl="4" w:tentative="1">
      <w:start w:val="1"/>
      <w:numFmt w:val="lowerLetter"/>
      <w:lvlText w:val="%5."/>
      <w:lvlJc w:val="left"/>
      <w:pPr>
        <w:ind w:left="4228" w:hanging="360"/>
      </w:pPr>
    </w:lvl>
    <w:lvl w:ilvl="5" w:tentative="1">
      <w:start w:val="1"/>
      <w:numFmt w:val="lowerRoman"/>
      <w:lvlText w:val="%6."/>
      <w:lvlJc w:val="right"/>
      <w:pPr>
        <w:ind w:left="4948" w:hanging="180"/>
      </w:pPr>
    </w:lvl>
    <w:lvl w:ilvl="6" w:tentative="1">
      <w:start w:val="1"/>
      <w:numFmt w:val="decimal"/>
      <w:lvlText w:val="%7."/>
      <w:lvlJc w:val="left"/>
      <w:pPr>
        <w:ind w:left="5668" w:hanging="360"/>
      </w:pPr>
    </w:lvl>
    <w:lvl w:ilvl="7" w:tentative="1">
      <w:start w:val="1"/>
      <w:numFmt w:val="lowerLetter"/>
      <w:lvlText w:val="%8."/>
      <w:lvlJc w:val="left"/>
      <w:pPr>
        <w:ind w:left="6388" w:hanging="360"/>
      </w:pPr>
    </w:lvl>
    <w:lvl w:ilvl="8" w:tentative="1">
      <w:start w:val="1"/>
      <w:numFmt w:val="lowerRoman"/>
      <w:lvlText w:val="%9."/>
      <w:lvlJc w:val="right"/>
      <w:pPr>
        <w:ind w:left="7108" w:hanging="180"/>
      </w:pPr>
    </w:lvl>
  </w:abstractNum>
  <w:abstractNum w:abstractNumId="29">
    <w:nsid w:val="70D32BA0"/>
    <w:multiLevelType w:val="multilevel"/>
    <w:tmpl w:val="8E1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594DB3"/>
    <w:multiLevelType w:val="hybridMultilevel"/>
    <w:tmpl w:val="47DE9126"/>
    <w:lvl w:ilvl="0">
      <w:start w:val="1"/>
      <w:numFmt w:val="bullet"/>
      <w:lvlText w:val=""/>
      <w:lvlJc w:val="left"/>
      <w:pPr>
        <w:ind w:left="1247" w:hanging="360"/>
      </w:pPr>
      <w:rPr>
        <w:rFonts w:ascii="Symbol" w:hAnsi="Symbol" w:cs="Symbol" w:hint="default"/>
      </w:rPr>
    </w:lvl>
    <w:lvl w:ilvl="1" w:tentative="1">
      <w:start w:val="1"/>
      <w:numFmt w:val="bullet"/>
      <w:lvlText w:val="o"/>
      <w:lvlJc w:val="left"/>
      <w:pPr>
        <w:ind w:left="1967" w:hanging="360"/>
      </w:pPr>
      <w:rPr>
        <w:rFonts w:ascii="Courier New" w:hAnsi="Courier New" w:cs="Courier New" w:hint="default"/>
      </w:rPr>
    </w:lvl>
    <w:lvl w:ilvl="2" w:tentative="1">
      <w:start w:val="1"/>
      <w:numFmt w:val="bullet"/>
      <w:lvlText w:val=""/>
      <w:lvlJc w:val="left"/>
      <w:pPr>
        <w:ind w:left="2687" w:hanging="360"/>
      </w:pPr>
      <w:rPr>
        <w:rFonts w:ascii="Wingdings" w:hAnsi="Wingdings" w:cs="Wingdings" w:hint="default"/>
      </w:rPr>
    </w:lvl>
    <w:lvl w:ilvl="3" w:tentative="1">
      <w:start w:val="1"/>
      <w:numFmt w:val="bullet"/>
      <w:lvlText w:val=""/>
      <w:lvlJc w:val="left"/>
      <w:pPr>
        <w:ind w:left="3407" w:hanging="360"/>
      </w:pPr>
      <w:rPr>
        <w:rFonts w:ascii="Symbol" w:hAnsi="Symbol" w:cs="Symbol" w:hint="default"/>
      </w:rPr>
    </w:lvl>
    <w:lvl w:ilvl="4" w:tentative="1">
      <w:start w:val="1"/>
      <w:numFmt w:val="bullet"/>
      <w:lvlText w:val="o"/>
      <w:lvlJc w:val="left"/>
      <w:pPr>
        <w:ind w:left="4127" w:hanging="360"/>
      </w:pPr>
      <w:rPr>
        <w:rFonts w:ascii="Courier New" w:hAnsi="Courier New" w:cs="Courier New" w:hint="default"/>
      </w:rPr>
    </w:lvl>
    <w:lvl w:ilvl="5" w:tentative="1">
      <w:start w:val="1"/>
      <w:numFmt w:val="bullet"/>
      <w:lvlText w:val=""/>
      <w:lvlJc w:val="left"/>
      <w:pPr>
        <w:ind w:left="4847" w:hanging="360"/>
      </w:pPr>
      <w:rPr>
        <w:rFonts w:ascii="Wingdings" w:hAnsi="Wingdings" w:cs="Wingdings" w:hint="default"/>
      </w:rPr>
    </w:lvl>
    <w:lvl w:ilvl="6" w:tentative="1">
      <w:start w:val="1"/>
      <w:numFmt w:val="bullet"/>
      <w:lvlText w:val=""/>
      <w:lvlJc w:val="left"/>
      <w:pPr>
        <w:ind w:left="5567" w:hanging="360"/>
      </w:pPr>
      <w:rPr>
        <w:rFonts w:ascii="Symbol" w:hAnsi="Symbol" w:cs="Symbol" w:hint="default"/>
      </w:rPr>
    </w:lvl>
    <w:lvl w:ilvl="7" w:tentative="1">
      <w:start w:val="1"/>
      <w:numFmt w:val="bullet"/>
      <w:lvlText w:val="o"/>
      <w:lvlJc w:val="left"/>
      <w:pPr>
        <w:ind w:left="6287" w:hanging="360"/>
      </w:pPr>
      <w:rPr>
        <w:rFonts w:ascii="Courier New" w:hAnsi="Courier New" w:cs="Courier New" w:hint="default"/>
      </w:rPr>
    </w:lvl>
    <w:lvl w:ilvl="8" w:tentative="1">
      <w:start w:val="1"/>
      <w:numFmt w:val="bullet"/>
      <w:lvlText w:val=""/>
      <w:lvlJc w:val="left"/>
      <w:pPr>
        <w:ind w:left="7007" w:hanging="360"/>
      </w:pPr>
      <w:rPr>
        <w:rFonts w:ascii="Wingdings" w:hAnsi="Wingdings" w:cs="Wingdings" w:hint="default"/>
      </w:rPr>
    </w:lvl>
  </w:abstractNum>
  <w:num w:numId="1">
    <w:abstractNumId w:val="15"/>
  </w:num>
  <w:num w:numId="2">
    <w:abstractNumId w:val="0"/>
  </w:num>
  <w:num w:numId="3">
    <w:abstractNumId w:val="9"/>
  </w:num>
  <w:num w:numId="4">
    <w:abstractNumId w:val="18"/>
  </w:num>
  <w:num w:numId="5">
    <w:abstractNumId w:val="17"/>
  </w:num>
  <w:num w:numId="6">
    <w:abstractNumId w:val="19"/>
  </w:num>
  <w:num w:numId="7">
    <w:abstractNumId w:val="12"/>
  </w:num>
  <w:num w:numId="8">
    <w:abstractNumId w:val="6"/>
  </w:num>
  <w:num w:numId="9">
    <w:abstractNumId w:val="10"/>
  </w:num>
  <w:num w:numId="10">
    <w:abstractNumId w:val="16"/>
  </w:num>
  <w:num w:numId="11">
    <w:abstractNumId w:val="1"/>
  </w:num>
  <w:num w:numId="12">
    <w:abstractNumId w:val="23"/>
  </w:num>
  <w:num w:numId="13">
    <w:abstractNumId w:val="22"/>
  </w:num>
  <w:num w:numId="14">
    <w:abstractNumId w:val="13"/>
  </w:num>
  <w:num w:numId="15">
    <w:abstractNumId w:val="29"/>
  </w:num>
  <w:num w:numId="16">
    <w:abstractNumId w:val="25"/>
  </w:num>
  <w:num w:numId="17">
    <w:abstractNumId w:val="14"/>
  </w:num>
  <w:num w:numId="18">
    <w:abstractNumId w:val="3"/>
  </w:num>
  <w:num w:numId="19">
    <w:abstractNumId w:val="20"/>
  </w:num>
  <w:num w:numId="20">
    <w:abstractNumId w:val="7"/>
  </w:num>
  <w:num w:numId="21">
    <w:abstractNumId w:val="4"/>
  </w:num>
  <w:num w:numId="22">
    <w:abstractNumId w:val="5"/>
  </w:num>
  <w:num w:numId="23">
    <w:abstractNumId w:val="28"/>
  </w:num>
  <w:num w:numId="24">
    <w:abstractNumId w:val="8"/>
  </w:num>
  <w:num w:numId="25">
    <w:abstractNumId w:val="24"/>
  </w:num>
  <w:num w:numId="26">
    <w:abstractNumId w:val="30"/>
  </w:num>
  <w:num w:numId="27">
    <w:abstractNumId w:val="26"/>
  </w:num>
  <w:num w:numId="28">
    <w:abstractNumId w:val="21"/>
  </w:num>
  <w:num w:numId="29">
    <w:abstractNumId w:val="11"/>
  </w:num>
  <w:num w:numId="30">
    <w:abstractNumId w:val="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DA8"/>
  </w:style>
  <w:style w:type="paragraph" w:styleId="Heading1">
    <w:name w:val="heading 1"/>
    <w:basedOn w:val="Normal"/>
    <w:next w:val="Normal"/>
    <w:link w:val="Nadpis1Char"/>
    <w:uiPriority w:val="9"/>
    <w:qFormat/>
    <w:rsid w:val="007F5A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Nadpis3Char"/>
    <w:uiPriority w:val="9"/>
    <w:qFormat/>
    <w:rsid w:val="00403DF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Heading4">
    <w:name w:val="heading 4"/>
    <w:basedOn w:val="Normal"/>
    <w:link w:val="Nadpis4Char"/>
    <w:uiPriority w:val="9"/>
    <w:qFormat/>
    <w:rsid w:val="00403DF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3Char">
    <w:name w:val="Nadpis 3 Char"/>
    <w:basedOn w:val="DefaultParagraphFont"/>
    <w:link w:val="Heading3"/>
    <w:uiPriority w:val="9"/>
    <w:rsid w:val="00403DFA"/>
    <w:rPr>
      <w:rFonts w:ascii="Times New Roman" w:eastAsia="Times New Roman" w:hAnsi="Times New Roman" w:cs="Times New Roman"/>
      <w:b/>
      <w:bCs/>
      <w:sz w:val="27"/>
      <w:szCs w:val="27"/>
      <w:lang w:eastAsia="cs-CZ"/>
    </w:rPr>
  </w:style>
  <w:style w:type="character" w:customStyle="1" w:styleId="Nadpis4Char">
    <w:name w:val="Nadpis 4 Char"/>
    <w:basedOn w:val="DefaultParagraphFont"/>
    <w:link w:val="Heading4"/>
    <w:uiPriority w:val="9"/>
    <w:rsid w:val="00403DFA"/>
    <w:rPr>
      <w:rFonts w:ascii="Times New Roman" w:eastAsia="Times New Roman" w:hAnsi="Times New Roman" w:cs="Times New Roman"/>
      <w:b/>
      <w:bCs/>
      <w:sz w:val="24"/>
      <w:szCs w:val="24"/>
      <w:lang w:eastAsia="cs-CZ"/>
    </w:rPr>
  </w:style>
  <w:style w:type="paragraph" w:customStyle="1" w:styleId="msonormal">
    <w:name w:val="msonormal"/>
    <w:basedOn w:val="Normal"/>
    <w:rsid w:val="00403DF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unhideWhenUsed/>
    <w:rsid w:val="00403D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403DFA"/>
    <w:rPr>
      <w:color w:val="0000FF"/>
      <w:u w:val="single"/>
    </w:rPr>
  </w:style>
  <w:style w:type="character" w:styleId="FollowedHyperlink">
    <w:name w:val="FollowedHyperlink"/>
    <w:basedOn w:val="DefaultParagraphFont"/>
    <w:uiPriority w:val="99"/>
    <w:semiHidden/>
    <w:unhideWhenUsed/>
    <w:rsid w:val="00403DFA"/>
    <w:rPr>
      <w:color w:val="800080"/>
      <w:u w:val="single"/>
    </w:rPr>
  </w:style>
  <w:style w:type="paragraph" w:styleId="BalloonText">
    <w:name w:val="Balloon Text"/>
    <w:basedOn w:val="Normal"/>
    <w:link w:val="TextbublinyChar"/>
    <w:uiPriority w:val="99"/>
    <w:semiHidden/>
    <w:unhideWhenUsed/>
    <w:rsid w:val="007A4E7C"/>
    <w:pPr>
      <w:spacing w:after="0" w:line="240" w:lineRule="auto"/>
    </w:pPr>
    <w:rPr>
      <w:rFonts w:ascii="Times New Roman" w:hAnsi="Times New Roman" w:cs="Times New Roman"/>
      <w:sz w:val="18"/>
      <w:szCs w:val="18"/>
    </w:rPr>
  </w:style>
  <w:style w:type="character" w:customStyle="1" w:styleId="TextbublinyChar">
    <w:name w:val="Text bubliny Char"/>
    <w:basedOn w:val="DefaultParagraphFont"/>
    <w:link w:val="BalloonText"/>
    <w:uiPriority w:val="99"/>
    <w:semiHidden/>
    <w:rsid w:val="007A4E7C"/>
    <w:rPr>
      <w:rFonts w:ascii="Times New Roman" w:hAnsi="Times New Roman" w:cs="Times New Roman"/>
      <w:sz w:val="18"/>
      <w:szCs w:val="18"/>
    </w:rPr>
  </w:style>
  <w:style w:type="character" w:customStyle="1" w:styleId="Nadpis1Char">
    <w:name w:val="Nadpis 1 Char"/>
    <w:basedOn w:val="DefaultParagraphFont"/>
    <w:link w:val="Heading1"/>
    <w:uiPriority w:val="9"/>
    <w:rsid w:val="007F5A6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5886"/>
    <w:pPr>
      <w:ind w:left="720"/>
      <w:contextualSpacing/>
    </w:pPr>
  </w:style>
  <w:style w:type="paragraph" w:styleId="TOCHeading">
    <w:name w:val="TOC Heading"/>
    <w:basedOn w:val="Heading1"/>
    <w:next w:val="Normal"/>
    <w:uiPriority w:val="39"/>
    <w:unhideWhenUsed/>
    <w:qFormat/>
    <w:rsid w:val="00811E5F"/>
    <w:pPr>
      <w:spacing w:before="480" w:line="276" w:lineRule="auto"/>
      <w:outlineLvl w:val="9"/>
    </w:pPr>
    <w:rPr>
      <w:b/>
      <w:bCs/>
      <w:sz w:val="28"/>
      <w:szCs w:val="28"/>
      <w:lang w:eastAsia="ko-KR"/>
    </w:rPr>
  </w:style>
  <w:style w:type="paragraph" w:styleId="TOC1">
    <w:name w:val="toc 1"/>
    <w:basedOn w:val="Normal"/>
    <w:next w:val="Normal"/>
    <w:autoRedefine/>
    <w:uiPriority w:val="39"/>
    <w:unhideWhenUsed/>
    <w:rsid w:val="00811E5F"/>
    <w:pPr>
      <w:spacing w:before="120" w:after="120"/>
    </w:pPr>
    <w:rPr>
      <w:b/>
      <w:bCs/>
      <w:caps/>
      <w:sz w:val="20"/>
      <w:szCs w:val="20"/>
    </w:rPr>
  </w:style>
  <w:style w:type="paragraph" w:styleId="TOC2">
    <w:name w:val="toc 2"/>
    <w:basedOn w:val="Normal"/>
    <w:next w:val="Normal"/>
    <w:autoRedefine/>
    <w:uiPriority w:val="39"/>
    <w:semiHidden/>
    <w:unhideWhenUsed/>
    <w:rsid w:val="00811E5F"/>
    <w:pPr>
      <w:spacing w:after="0"/>
      <w:ind w:left="220"/>
    </w:pPr>
    <w:rPr>
      <w:smallCaps/>
      <w:sz w:val="20"/>
      <w:szCs w:val="20"/>
    </w:rPr>
  </w:style>
  <w:style w:type="paragraph" w:styleId="TOC3">
    <w:name w:val="toc 3"/>
    <w:basedOn w:val="Normal"/>
    <w:next w:val="Normal"/>
    <w:autoRedefine/>
    <w:uiPriority w:val="39"/>
    <w:semiHidden/>
    <w:unhideWhenUsed/>
    <w:rsid w:val="00811E5F"/>
    <w:pPr>
      <w:spacing w:after="0"/>
      <w:ind w:left="440"/>
    </w:pPr>
    <w:rPr>
      <w:i/>
      <w:iCs/>
      <w:sz w:val="20"/>
      <w:szCs w:val="20"/>
    </w:rPr>
  </w:style>
  <w:style w:type="paragraph" w:styleId="TOC4">
    <w:name w:val="toc 4"/>
    <w:basedOn w:val="Normal"/>
    <w:next w:val="Normal"/>
    <w:autoRedefine/>
    <w:uiPriority w:val="39"/>
    <w:semiHidden/>
    <w:unhideWhenUsed/>
    <w:rsid w:val="00811E5F"/>
    <w:pPr>
      <w:spacing w:after="0"/>
      <w:ind w:left="660"/>
    </w:pPr>
    <w:rPr>
      <w:sz w:val="18"/>
      <w:szCs w:val="18"/>
    </w:rPr>
  </w:style>
  <w:style w:type="paragraph" w:styleId="TOC5">
    <w:name w:val="toc 5"/>
    <w:basedOn w:val="Normal"/>
    <w:next w:val="Normal"/>
    <w:autoRedefine/>
    <w:uiPriority w:val="39"/>
    <w:semiHidden/>
    <w:unhideWhenUsed/>
    <w:rsid w:val="00811E5F"/>
    <w:pPr>
      <w:spacing w:after="0"/>
      <w:ind w:left="880"/>
    </w:pPr>
    <w:rPr>
      <w:sz w:val="18"/>
      <w:szCs w:val="18"/>
    </w:rPr>
  </w:style>
  <w:style w:type="paragraph" w:styleId="TOC6">
    <w:name w:val="toc 6"/>
    <w:basedOn w:val="Normal"/>
    <w:next w:val="Normal"/>
    <w:autoRedefine/>
    <w:uiPriority w:val="39"/>
    <w:semiHidden/>
    <w:unhideWhenUsed/>
    <w:rsid w:val="00811E5F"/>
    <w:pPr>
      <w:spacing w:after="0"/>
      <w:ind w:left="1100"/>
    </w:pPr>
    <w:rPr>
      <w:sz w:val="18"/>
      <w:szCs w:val="18"/>
    </w:rPr>
  </w:style>
  <w:style w:type="paragraph" w:styleId="TOC7">
    <w:name w:val="toc 7"/>
    <w:basedOn w:val="Normal"/>
    <w:next w:val="Normal"/>
    <w:autoRedefine/>
    <w:uiPriority w:val="39"/>
    <w:semiHidden/>
    <w:unhideWhenUsed/>
    <w:rsid w:val="00811E5F"/>
    <w:pPr>
      <w:spacing w:after="0"/>
      <w:ind w:left="1320"/>
    </w:pPr>
    <w:rPr>
      <w:sz w:val="18"/>
      <w:szCs w:val="18"/>
    </w:rPr>
  </w:style>
  <w:style w:type="paragraph" w:styleId="TOC8">
    <w:name w:val="toc 8"/>
    <w:basedOn w:val="Normal"/>
    <w:next w:val="Normal"/>
    <w:autoRedefine/>
    <w:uiPriority w:val="39"/>
    <w:semiHidden/>
    <w:unhideWhenUsed/>
    <w:rsid w:val="00811E5F"/>
    <w:pPr>
      <w:spacing w:after="0"/>
      <w:ind w:left="1540"/>
    </w:pPr>
    <w:rPr>
      <w:sz w:val="18"/>
      <w:szCs w:val="18"/>
    </w:rPr>
  </w:style>
  <w:style w:type="paragraph" w:styleId="TOC9">
    <w:name w:val="toc 9"/>
    <w:basedOn w:val="Normal"/>
    <w:next w:val="Normal"/>
    <w:autoRedefine/>
    <w:uiPriority w:val="39"/>
    <w:semiHidden/>
    <w:unhideWhenUsed/>
    <w:rsid w:val="00811E5F"/>
    <w:pPr>
      <w:spacing w:after="0"/>
      <w:ind w:left="1760"/>
    </w:pPr>
    <w:rPr>
      <w:sz w:val="18"/>
      <w:szCs w:val="18"/>
    </w:rPr>
  </w:style>
  <w:style w:type="paragraph" w:styleId="FootnoteText">
    <w:name w:val="footnote text"/>
    <w:basedOn w:val="Normal"/>
    <w:link w:val="TextpoznpodarouChar"/>
    <w:uiPriority w:val="99"/>
    <w:semiHidden/>
    <w:unhideWhenUsed/>
    <w:rsid w:val="00A06368"/>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A06368"/>
    <w:rPr>
      <w:sz w:val="20"/>
      <w:szCs w:val="20"/>
    </w:rPr>
  </w:style>
  <w:style w:type="character" w:styleId="FootnoteReference">
    <w:name w:val="footnote reference"/>
    <w:basedOn w:val="DefaultParagraphFont"/>
    <w:uiPriority w:val="99"/>
    <w:semiHidden/>
    <w:unhideWhenUsed/>
    <w:rsid w:val="00A06368"/>
    <w:rPr>
      <w:vertAlign w:val="superscript"/>
    </w:rPr>
  </w:style>
  <w:style w:type="paragraph" w:styleId="Header">
    <w:name w:val="header"/>
    <w:basedOn w:val="Normal"/>
    <w:link w:val="ZhlavChar"/>
    <w:uiPriority w:val="99"/>
    <w:unhideWhenUsed/>
    <w:rsid w:val="0087579E"/>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87579E"/>
  </w:style>
  <w:style w:type="paragraph" w:styleId="Footer">
    <w:name w:val="footer"/>
    <w:basedOn w:val="Normal"/>
    <w:link w:val="ZpatChar"/>
    <w:uiPriority w:val="99"/>
    <w:unhideWhenUsed/>
    <w:rsid w:val="0087579E"/>
    <w:pPr>
      <w:tabs>
        <w:tab w:val="center" w:pos="4536"/>
        <w:tab w:val="right" w:pos="9072"/>
      </w:tabs>
      <w:spacing w:after="0" w:line="240" w:lineRule="auto"/>
    </w:pPr>
  </w:style>
  <w:style w:type="character" w:customStyle="1" w:styleId="ZpatChar">
    <w:name w:val="Zápatí Char"/>
    <w:basedOn w:val="DefaultParagraphFont"/>
    <w:link w:val="Footer"/>
    <w:uiPriority w:val="99"/>
    <w:rsid w:val="0087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7AC2F-D521-4F64-A7E5-85AE1516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1096</TotalTime>
  <Pages>1</Pages>
  <Words>31881</Words>
  <Characters>188100</Characters>
  <Application>Microsoft Office Word</Application>
  <DocSecurity>0</DocSecurity>
  <Lines>1567</Lines>
  <Paragraphs>439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50</cp:revision>
  <dcterms:created xsi:type="dcterms:W3CDTF">2020-04-16T08:49:00Z</dcterms:created>
</cp:coreProperties>
</file>