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3073"/>
        <w:gridCol w:w="2263"/>
        <w:gridCol w:w="2997"/>
      </w:tblGrid>
      <w:tr w:rsidTr="0064456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6"/>
        </w:trPr>
        <w:tc>
          <w:tcPr>
            <w:tcW w:w="580" w:type="dxa"/>
            <w:vMerge w:val="restart"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  <w:bookmarkStart w:id="0" w:name="_Toc455075012"/>
            <w:r w:rsidRPr="00A15A5A">
              <w:rPr>
                <w:rFonts w:cstheme="minorHAnsi"/>
                <w:noProof/>
                <w:sz w:val="28"/>
                <w:lang w:val="cs-CZ"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62865</wp:posOffset>
                  </wp:positionH>
                  <wp:positionV relativeFrom="paragraph">
                    <wp:posOffset>10795</wp:posOffset>
                  </wp:positionV>
                  <wp:extent cx="332105" cy="881380"/>
                  <wp:effectExtent l="0" t="0" r="0" b="0"/>
                  <wp:wrapTight wrapText="bothSides">
                    <wp:wrapPolygon>
                      <wp:start x="0" y="0"/>
                      <wp:lineTo x="0" y="21009"/>
                      <wp:lineTo x="19824" y="21009"/>
                      <wp:lineTo x="19824" y="0"/>
                      <wp:lineTo x="0" y="0"/>
                    </wp:wrapPolygon>
                  </wp:wrapTight>
                  <wp:docPr id="1" name="Obrázek 1" descr="lista_vertikal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ta_vertikal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4" w:type="dxa"/>
          </w:tcPr>
          <w:p w:rsidR="00EE2756" w:rsidRPr="00C165AF" w:rsidP="00644566">
            <w:pPr>
              <w:pStyle w:val="Heading1"/>
              <w:spacing w:after="40" w:line="192" w:lineRule="auto"/>
              <w:outlineLvl w:val="0"/>
              <w:rPr>
                <w:rFonts w:cstheme="minorHAnsi"/>
                <w:b w:val="0"/>
                <w:sz w:val="48"/>
                <w:szCs w:val="48"/>
                <w:lang w:val="cs-CZ"/>
              </w:rPr>
            </w:pPr>
            <w:r w:rsidRPr="00C165AF">
              <w:rPr>
                <w:rFonts w:asciiTheme="minorHAnsi" w:hAnsiTheme="minorHAnsi" w:cstheme="minorHAnsi"/>
                <w:color w:val="4F81BD" w:themeColor="accent1"/>
                <w:sz w:val="48"/>
                <w:szCs w:val="48"/>
              </w:rPr>
              <w:t>KONZULTACE</w:t>
            </w:r>
          </w:p>
        </w:tc>
        <w:tc>
          <w:tcPr>
            <w:tcW w:w="3544" w:type="dxa"/>
            <w:vMerge w:val="restart"/>
          </w:tcPr>
          <w:p w:rsidR="00EE2756" w:rsidP="00644566">
            <w:pPr>
              <w:jc w:val="right"/>
              <w:rPr>
                <w:rFonts w:cstheme="minorHAnsi"/>
                <w:b/>
                <w:lang w:val="cs-CZ"/>
              </w:rPr>
            </w:pPr>
            <w:r>
              <w:rPr>
                <w:rFonts w:cstheme="minorHAnsi"/>
                <w:b/>
                <w:noProof/>
                <w:lang w:val="cs-CZ" w:eastAsia="cs-CZ"/>
              </w:rPr>
              <w:drawing>
                <wp:inline distT="0" distB="0" distL="0" distR="0">
                  <wp:extent cx="793940" cy="951907"/>
                  <wp:effectExtent l="0" t="0" r="6350" b="63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MF cze W (003)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28" cy="105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  <w:vMerge w:val="restart"/>
          </w:tcPr>
          <w:p w:rsidR="00EE2756" w:rsidRPr="00C165AF" w:rsidP="00644566">
            <w:pPr>
              <w:spacing w:before="200"/>
              <w:rPr>
                <w:rFonts w:cstheme="minorHAnsi"/>
                <w:b/>
                <w:caps/>
                <w:sz w:val="44"/>
                <w:szCs w:val="44"/>
                <w:lang w:val="cs-CZ"/>
              </w:rPr>
            </w:pPr>
            <w:r w:rsidRPr="00C165AF">
              <w:rPr>
                <w:rFonts w:cstheme="minorHAnsi"/>
                <w:b/>
                <w:caps/>
                <w:sz w:val="44"/>
                <w:szCs w:val="44"/>
                <w:lang w:val="cs-CZ"/>
              </w:rPr>
              <w:t>Ministerstvo financí</w:t>
            </w:r>
          </w:p>
        </w:tc>
      </w:tr>
      <w:tr w:rsidTr="00644566">
        <w:tblPrEx>
          <w:tblW w:w="0" w:type="auto"/>
          <w:tblLook w:val="04A0"/>
        </w:tblPrEx>
        <w:trPr>
          <w:trHeight w:val="946"/>
        </w:trPr>
        <w:tc>
          <w:tcPr>
            <w:tcW w:w="580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  <w:tc>
          <w:tcPr>
            <w:tcW w:w="3384" w:type="dxa"/>
          </w:tcPr>
          <w:p w:rsidR="00EE2756" w:rsidRPr="008079B6" w:rsidP="00644566">
            <w:pPr>
              <w:rPr>
                <w:rFonts w:cstheme="minorHAnsi"/>
                <w:b/>
                <w:sz w:val="28"/>
                <w:szCs w:val="28"/>
                <w:lang w:val="cs-CZ"/>
              </w:rPr>
            </w:pPr>
            <w:r w:rsidRPr="008079B6">
              <w:rPr>
                <w:rFonts w:cstheme="minorHAnsi"/>
                <w:b/>
                <w:caps/>
                <w:color w:val="262626" w:themeColor="text1" w:themeTint="D9"/>
                <w:sz w:val="28"/>
                <w:szCs w:val="28"/>
              </w:rPr>
              <w:t>Listopad</w:t>
            </w:r>
            <w:r w:rsidRPr="008079B6">
              <w:rPr>
                <w:rFonts w:cstheme="minorHAnsi"/>
                <w:b/>
                <w:color w:val="262626" w:themeColor="text1" w:themeTint="D9"/>
                <w:sz w:val="28"/>
                <w:szCs w:val="28"/>
              </w:rPr>
              <w:t xml:space="preserve"> 2023</w:t>
            </w:r>
          </w:p>
        </w:tc>
        <w:tc>
          <w:tcPr>
            <w:tcW w:w="3544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  <w:tc>
          <w:tcPr>
            <w:tcW w:w="2263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</w:tr>
    </w:tbl>
    <w:p w:rsidR="009423AB" w:rsidRPr="001D25FD" w:rsidP="00EE2756">
      <w:pPr>
        <w:pStyle w:val="Header"/>
      </w:pPr>
    </w:p>
    <w:p w:rsidR="009423AB" w:rsidRPr="001D25FD" w:rsidP="009423A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751067" w:rsidP="00751067">
      <w:pPr>
        <w:spacing w:after="0" w:line="240" w:lineRule="auto"/>
        <w:jc w:val="center"/>
        <w:rPr>
          <w:b/>
          <w:caps/>
          <w:sz w:val="56"/>
          <w:szCs w:val="72"/>
        </w:rPr>
      </w:pPr>
      <w:r w:rsidRPr="001D25FD">
        <w:rPr>
          <w:b/>
          <w:caps/>
          <w:sz w:val="56"/>
          <w:szCs w:val="72"/>
        </w:rPr>
        <w:t>Transpozice směrnice</w:t>
      </w:r>
      <w:r>
        <w:rPr>
          <w:b/>
          <w:caps/>
          <w:sz w:val="56"/>
          <w:szCs w:val="72"/>
        </w:rPr>
        <w:t xml:space="preserve"> 2023/2225</w:t>
      </w:r>
    </w:p>
    <w:p w:rsidR="00751067" w:rsidP="00751067">
      <w:pPr>
        <w:spacing w:after="0" w:line="240" w:lineRule="auto"/>
        <w:jc w:val="center"/>
        <w:rPr>
          <w:b/>
          <w:caps/>
          <w:sz w:val="56"/>
          <w:szCs w:val="72"/>
        </w:rPr>
      </w:pPr>
      <w:r w:rsidRPr="001D25FD">
        <w:rPr>
          <w:b/>
          <w:caps/>
          <w:sz w:val="56"/>
          <w:szCs w:val="72"/>
        </w:rPr>
        <w:t xml:space="preserve">o </w:t>
      </w:r>
      <w:r>
        <w:rPr>
          <w:b/>
          <w:caps/>
          <w:sz w:val="56"/>
          <w:szCs w:val="72"/>
        </w:rPr>
        <w:t xml:space="preserve">smlouvách o </w:t>
      </w:r>
      <w:r w:rsidRPr="001D25FD">
        <w:rPr>
          <w:b/>
          <w:caps/>
          <w:sz w:val="56"/>
          <w:szCs w:val="72"/>
        </w:rPr>
        <w:t>spotřebitelském úvěru</w:t>
      </w:r>
      <w:r>
        <w:rPr>
          <w:b/>
          <w:caps/>
          <w:sz w:val="56"/>
          <w:szCs w:val="72"/>
        </w:rPr>
        <w:t xml:space="preserve"> </w:t>
      </w:r>
      <w:r w:rsidRPr="001D25FD">
        <w:rPr>
          <w:b/>
          <w:caps/>
          <w:sz w:val="56"/>
          <w:szCs w:val="72"/>
        </w:rPr>
        <w:t>(CCD2)</w:t>
      </w: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9423AB" w:rsidRPr="00914FD8" w:rsidP="009423AB">
      <w:pPr>
        <w:spacing w:after="0" w:line="240" w:lineRule="auto"/>
        <w:jc w:val="center"/>
        <w:rPr>
          <w:caps/>
          <w:sz w:val="44"/>
          <w:szCs w:val="72"/>
        </w:rPr>
      </w:pPr>
      <w:r>
        <w:rPr>
          <w:caps/>
          <w:sz w:val="44"/>
          <w:szCs w:val="72"/>
        </w:rPr>
        <w:t>příloha konzultačního materiálu</w:t>
      </w:r>
      <w:r w:rsidR="00751067">
        <w:rPr>
          <w:caps/>
          <w:sz w:val="44"/>
          <w:szCs w:val="72"/>
        </w:rPr>
        <w:t xml:space="preserve"> -</w:t>
      </w:r>
      <w:r>
        <w:rPr>
          <w:caps/>
          <w:sz w:val="44"/>
          <w:szCs w:val="72"/>
        </w:rPr>
        <w:t xml:space="preserve"> </w:t>
      </w:r>
      <w:r>
        <w:rPr>
          <w:caps/>
          <w:sz w:val="44"/>
          <w:szCs w:val="72"/>
        </w:rPr>
        <w:br/>
      </w:r>
      <w:r>
        <w:rPr>
          <w:caps/>
          <w:sz w:val="44"/>
          <w:szCs w:val="72"/>
        </w:rPr>
        <w:t xml:space="preserve">formulář pro odpovědi </w:t>
      </w:r>
    </w:p>
    <w:p w:rsidR="009423AB" w:rsidP="009423AB">
      <w:pPr>
        <w:jc w:val="center"/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9423AB" w:rsidRPr="001D25FD" w:rsidP="00E00A08">
      <w:pPr>
        <w:spacing w:after="0" w:line="20" w:lineRule="atLeast"/>
      </w:pPr>
      <w:r w:rsidRPr="00A80057">
        <w:t xml:space="preserve">oddělení </w:t>
      </w:r>
      <w:r w:rsidRPr="001D25FD">
        <w:t>Retailové finanční služby a ochrana spotřebitele</w:t>
      </w:r>
    </w:p>
    <w:p w:rsidR="009423AB" w:rsidP="00E00A08">
      <w:pPr>
        <w:pStyle w:val="Header"/>
        <w:spacing w:line="20" w:lineRule="atLeast"/>
      </w:pPr>
      <w:r w:rsidRPr="001D25FD">
        <w:t>odbor Finanční trhy II</w:t>
      </w:r>
      <w:r>
        <w:t>I</w:t>
      </w:r>
    </w:p>
    <w:p w:rsidR="009423AB" w:rsidP="00E00A08">
      <w:pPr>
        <w:pStyle w:val="Header"/>
        <w:spacing w:line="20" w:lineRule="atLeast"/>
      </w:pPr>
      <w:r>
        <w:t>sekce Finanční trhy</w:t>
      </w:r>
    </w:p>
    <w:p w:rsidR="009423AB" w:rsidP="00E00A08">
      <w:pPr>
        <w:pStyle w:val="Header"/>
        <w:spacing w:line="20" w:lineRule="atLeast"/>
        <w:rPr>
          <w:rFonts w:cstheme="minorHAnsi"/>
          <w:b/>
        </w:rPr>
      </w:pPr>
      <w:r>
        <w:fldChar w:fldCharType="begin"/>
      </w:r>
      <w:r>
        <w:instrText xml:space="preserve"> HYPERLINK "mailto:platebni.sluzby@mfcr.cz" </w:instrText>
      </w:r>
      <w:r>
        <w:fldChar w:fldCharType="separate"/>
      </w:r>
      <w:r>
        <w:rPr>
          <w:rStyle w:val="Hyperlink"/>
        </w:rPr>
        <w:t>uver</w:t>
      </w:r>
      <w:r w:rsidRPr="001D25FD">
        <w:rPr>
          <w:rStyle w:val="Hyperlink"/>
        </w:rPr>
        <w:t>@mfcr.cz</w:t>
      </w:r>
      <w:r>
        <w:fldChar w:fldCharType="end"/>
      </w:r>
      <w:r>
        <w:rPr>
          <w:rFonts w:cstheme="minorHAnsi"/>
          <w:b/>
        </w:rPr>
        <w:br w:type="page"/>
      </w:r>
    </w:p>
    <w:p w:rsidR="00C44CBA" w:rsidP="005F558A">
      <w:pPr>
        <w:spacing w:before="480" w:after="240"/>
        <w:jc w:val="both"/>
        <w:rPr>
          <w:rFonts w:cs="Times New Roman"/>
        </w:rPr>
      </w:pPr>
      <w:bookmarkEnd w:id="0"/>
      <w:r w:rsidRPr="00250CD0">
        <w:rPr>
          <w:rFonts w:cs="Times New Roman"/>
          <w:b/>
        </w:rPr>
        <w:t>Respondent</w:t>
      </w:r>
      <w:r w:rsidRPr="00250CD0">
        <w:rPr>
          <w:rFonts w:cs="Times New Roman"/>
        </w:rPr>
        <w:t xml:space="preserve"> (jméno</w:t>
      </w:r>
      <w:r w:rsidR="007014BD">
        <w:rPr>
          <w:rFonts w:cs="Times New Roman"/>
        </w:rPr>
        <w:t xml:space="preserve"> a příjmení / název organizace):</w:t>
      </w:r>
    </w:p>
    <w:p w:rsidR="00751067" w:rsidP="00EE2756">
      <w:pPr>
        <w:pBdr>
          <w:bottom w:val="single" w:sz="4" w:space="1" w:color="auto"/>
        </w:pBdr>
        <w:spacing w:after="240"/>
        <w:jc w:val="both"/>
        <w:rPr>
          <w:rFonts w:cstheme="minorHAnsi"/>
        </w:rPr>
      </w:pPr>
    </w:p>
    <w:p w:rsidR="00EE2756" w:rsidP="00EE2756">
      <w:pPr>
        <w:pBdr>
          <w:bottom w:val="single" w:sz="4" w:space="1" w:color="auto"/>
        </w:pBdr>
        <w:spacing w:after="240"/>
        <w:jc w:val="both"/>
        <w:rPr>
          <w:rFonts w:cstheme="minorHAnsi"/>
        </w:rPr>
      </w:pPr>
    </w:p>
    <w:p w:rsidR="00AB7DA6" w:rsidP="004C7357">
      <w:pPr>
        <w:spacing w:after="240"/>
        <w:jc w:val="both"/>
        <w:rPr>
          <w:rFonts w:cstheme="minorHAnsi"/>
        </w:rPr>
      </w:pPr>
      <w:r w:rsidRPr="00B57E1A">
        <w:rPr>
          <w:rFonts w:cstheme="minorHAnsi"/>
        </w:rPr>
        <w:t xml:space="preserve">Své odpovědi prosím vždy </w:t>
      </w:r>
      <w:r w:rsidRPr="00B57E1A">
        <w:rPr>
          <w:rFonts w:cstheme="minorHAnsi"/>
          <w:b/>
        </w:rPr>
        <w:t>odůvodněte</w:t>
      </w:r>
      <w:r w:rsidRPr="00B57E1A">
        <w:rPr>
          <w:rFonts w:cstheme="minorHAnsi"/>
        </w:rPr>
        <w:t>, případně ilustrujte konkrétním příkladem.</w:t>
      </w:r>
    </w:p>
    <w:p w:rsidR="002B5CCB" w:rsidRPr="00495019" w:rsidP="00554DA4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495019">
        <w:rPr>
          <w:rFonts w:cs="Times New Roman"/>
          <w:i/>
          <w:spacing w:val="10"/>
        </w:rPr>
        <w:t>B.1 Posuzování úvěruschopnosti při tzv. překročení</w:t>
      </w:r>
    </w:p>
    <w:p w:rsidR="00554DA4" w:rsidP="004A6EE2">
      <w:pPr>
        <w:jc w:val="both"/>
        <w:rPr>
          <w:b/>
        </w:rPr>
      </w:pPr>
      <w:r w:rsidRPr="00250CD0">
        <w:rPr>
          <w:rFonts w:cs="Times New Roman"/>
          <w:b/>
        </w:rPr>
        <w:t xml:space="preserve">1. </w:t>
      </w:r>
      <w:r w:rsidRPr="006023F6" w:rsidR="006023F6">
        <w:rPr>
          <w:b/>
        </w:rPr>
        <w:t xml:space="preserve">Považujete za vhodné aplikovat posuzování úvěruschopnosti na </w:t>
      </w:r>
      <w:r>
        <w:rPr>
          <w:b/>
        </w:rPr>
        <w:t xml:space="preserve">tzv. </w:t>
      </w:r>
      <w:r w:rsidRPr="006023F6" w:rsidR="006023F6">
        <w:rPr>
          <w:b/>
        </w:rPr>
        <w:t xml:space="preserve">překročení? </w:t>
      </w:r>
    </w:p>
    <w:p w:rsidR="00F736D6" w:rsidP="00AA37A5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554DA4" w:rsidP="00554DA4">
      <w:pPr>
        <w:jc w:val="both"/>
        <w:rPr>
          <w:b/>
        </w:rPr>
      </w:pPr>
      <w:r>
        <w:rPr>
          <w:b/>
        </w:rPr>
        <w:t>1a</w:t>
      </w:r>
      <w:r>
        <w:rPr>
          <w:b/>
        </w:rPr>
        <w:t xml:space="preserve">. </w:t>
      </w:r>
      <w:r w:rsidRPr="006023F6">
        <w:rPr>
          <w:b/>
        </w:rPr>
        <w:t xml:space="preserve">Pokud ano, jak by se v takovém případě měla určovat výše spotřebitelského úvěru? </w:t>
      </w:r>
    </w:p>
    <w:p w:rsidR="00554DA4" w:rsidP="00AA37A5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2B5CCB" w:rsidRPr="00495019" w:rsidP="00495019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495019">
        <w:rPr>
          <w:rFonts w:cs="Times New Roman"/>
          <w:i/>
          <w:spacing w:val="10"/>
        </w:rPr>
        <w:t>B.2 Debetní karty s odloženou splatností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2</w:t>
      </w:r>
      <w:r w:rsidRPr="00250CD0">
        <w:rPr>
          <w:rFonts w:cs="Times New Roman"/>
          <w:b/>
        </w:rPr>
        <w:t xml:space="preserve">. </w:t>
      </w:r>
      <w:r w:rsidRPr="006023F6" w:rsidR="006023F6">
        <w:rPr>
          <w:rFonts w:cs="Times New Roman"/>
          <w:b/>
        </w:rPr>
        <w:t xml:space="preserve">Jste si vědomi nabídky </w:t>
      </w:r>
      <w:r w:rsidRPr="00554DA4" w:rsidR="00554DA4">
        <w:rPr>
          <w:rFonts w:cs="Times New Roman"/>
          <w:b/>
        </w:rPr>
        <w:t>tohoto produktu na českém trhu</w:t>
      </w:r>
      <w:r w:rsidRPr="006023F6" w:rsidR="006023F6">
        <w:rPr>
          <w:rFonts w:cs="Times New Roman"/>
          <w:b/>
        </w:rPr>
        <w:t xml:space="preserve">? </w:t>
      </w:r>
    </w:p>
    <w:p w:rsidR="001A5190" w:rsidP="00AA37A5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2C3B6C" w:rsidP="001A5190">
      <w:pPr>
        <w:jc w:val="both"/>
        <w:rPr>
          <w:rFonts w:cs="Times New Roman"/>
          <w:b/>
        </w:rPr>
      </w:pPr>
      <w:r>
        <w:rPr>
          <w:rFonts w:cs="Times New Roman"/>
          <w:b/>
        </w:rPr>
        <w:t>3</w:t>
      </w:r>
      <w:r w:rsidRPr="00250CD0" w:rsidR="004A6EE2">
        <w:rPr>
          <w:rFonts w:cs="Times New Roman"/>
          <w:b/>
        </w:rPr>
        <w:t xml:space="preserve">. </w:t>
      </w:r>
      <w:r w:rsidRPr="00554DA4" w:rsidR="00554DA4">
        <w:rPr>
          <w:rFonts w:cs="Times New Roman"/>
          <w:b/>
        </w:rPr>
        <w:t>Má být tento produkt regulovaný stejně jako obdobné produkty (kontokorentní úvěr, debetní karty s odloženou splatností, kreditní karty)?</w:t>
      </w:r>
    </w:p>
    <w:p w:rsidR="001A5190" w:rsidP="00AA37A5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DD632F" w:rsidRPr="00495019" w:rsidP="00495019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495019">
        <w:rPr>
          <w:rFonts w:cs="Times New Roman"/>
          <w:i/>
          <w:spacing w:val="10"/>
        </w:rPr>
        <w:t xml:space="preserve">B.3 </w:t>
      </w:r>
      <w:r w:rsidRPr="00495019" w:rsidR="00554DA4">
        <w:rPr>
          <w:rFonts w:cs="Times New Roman"/>
          <w:i/>
          <w:spacing w:val="10"/>
        </w:rPr>
        <w:t>Úleva pro plnění některých informačních povinností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Pr="00250CD0">
        <w:rPr>
          <w:rFonts w:cs="Times New Roman"/>
          <w:b/>
        </w:rPr>
        <w:t xml:space="preserve">. </w:t>
      </w:r>
      <w:r w:rsidRPr="00554DA4" w:rsidR="00554DA4">
        <w:rPr>
          <w:rFonts w:cs="Times New Roman"/>
          <w:b/>
        </w:rPr>
        <w:t>Souhlasíte se zachováním stávající regulace úvěrů do 200 EUR?</w:t>
      </w:r>
    </w:p>
    <w:p w:rsidR="001A5190" w:rsidRPr="00250CD0" w:rsidP="00AA37A5">
      <w:pPr>
        <w:spacing w:after="240"/>
        <w:jc w:val="both"/>
        <w:rPr>
          <w:rFonts w:cs="Times New Roman"/>
          <w:b/>
        </w:rPr>
      </w:pPr>
      <w:r w:rsidRPr="00250CD0">
        <w:rPr>
          <w:rFonts w:cs="Times New Roman"/>
        </w:rPr>
        <w:t xml:space="preserve">Odpověď: </w:t>
      </w:r>
    </w:p>
    <w:p w:rsidR="00731348" w:rsidRPr="00250CD0" w:rsidP="001A5190">
      <w:pPr>
        <w:jc w:val="both"/>
        <w:rPr>
          <w:rFonts w:cs="Times New Roman"/>
          <w:b/>
        </w:rPr>
      </w:pPr>
      <w:r>
        <w:rPr>
          <w:rFonts w:cs="Times New Roman"/>
          <w:b/>
        </w:rPr>
        <w:t>5</w:t>
      </w:r>
      <w:r w:rsidRPr="00250CD0" w:rsidR="004A6EE2">
        <w:rPr>
          <w:rFonts w:cs="Times New Roman"/>
          <w:b/>
        </w:rPr>
        <w:t xml:space="preserve">. </w:t>
      </w:r>
      <w:r w:rsidRPr="00554DA4" w:rsidR="00554DA4">
        <w:rPr>
          <w:rFonts w:cs="Times New Roman"/>
          <w:b/>
          <w:lang w:val="en-US"/>
        </w:rPr>
        <w:t>Považujete za vhodné využít možnost úlevy pro plnění některých informačních povinností pro úvěry poskytované zdarma?</w:t>
      </w:r>
    </w:p>
    <w:p w:rsidR="001A5190" w:rsidRPr="00250CD0" w:rsidP="00AA37A5">
      <w:pPr>
        <w:spacing w:after="240"/>
        <w:jc w:val="both"/>
        <w:rPr>
          <w:rFonts w:cs="Times New Roman"/>
          <w:b/>
        </w:rPr>
      </w:pPr>
      <w:r w:rsidRPr="00250CD0">
        <w:rPr>
          <w:rFonts w:cs="Times New Roman"/>
        </w:rPr>
        <w:t xml:space="preserve">Odpověď: 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6</w:t>
      </w:r>
      <w:r w:rsidRPr="00250CD0">
        <w:rPr>
          <w:rFonts w:cs="Times New Roman"/>
          <w:b/>
        </w:rPr>
        <w:t xml:space="preserve">. </w:t>
      </w:r>
      <w:r w:rsidRPr="00554DA4" w:rsidR="00554DA4">
        <w:rPr>
          <w:b/>
        </w:rPr>
        <w:t>Považujete za vhodné využít možnost úlevy pro plnění některých informačních povinností pro úvěry splatné do 3 měsíců se zanedbatelnými náklady?</w:t>
      </w:r>
    </w:p>
    <w:p w:rsidR="0041238D" w:rsidRPr="0041238D" w:rsidP="00AA37A5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 </w:t>
      </w:r>
    </w:p>
    <w:p w:rsidR="00DD632F" w:rsidRPr="00495019" w:rsidP="00495019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495019">
        <w:rPr>
          <w:rFonts w:cs="Times New Roman"/>
          <w:i/>
          <w:spacing w:val="10"/>
        </w:rPr>
        <w:t xml:space="preserve">B.4 </w:t>
      </w:r>
      <w:r w:rsidRPr="00495019" w:rsidR="0039296F">
        <w:rPr>
          <w:rFonts w:cs="Times New Roman"/>
          <w:i/>
          <w:spacing w:val="10"/>
        </w:rPr>
        <w:t>Zákaz některých reklam na spotřebitelský úvěr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7</w:t>
      </w:r>
      <w:r w:rsidRPr="00250CD0">
        <w:rPr>
          <w:rFonts w:cs="Times New Roman"/>
          <w:b/>
        </w:rPr>
        <w:t>.</w:t>
      </w:r>
      <w:r w:rsidR="0039296F">
        <w:rPr>
          <w:rFonts w:cs="Times New Roman"/>
          <w:b/>
        </w:rPr>
        <w:t xml:space="preserve"> </w:t>
      </w:r>
      <w:r w:rsidRPr="0039296F" w:rsidR="0039296F">
        <w:rPr>
          <w:rFonts w:cs="Times New Roman"/>
          <w:b/>
        </w:rPr>
        <w:t>Považujete za vhodné zakazovat nad rámec reklam uvedených v čl. 8 odst. 7 Směrnice další reklamy na spotřebitelské úvěry?</w:t>
      </w:r>
    </w:p>
    <w:p w:rsidR="001A5190" w:rsidP="00AA37A5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4A6EE2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7a</w:t>
      </w:r>
      <w:r w:rsidRPr="00250CD0">
        <w:rPr>
          <w:rFonts w:cs="Times New Roman"/>
          <w:b/>
        </w:rPr>
        <w:t xml:space="preserve">. </w:t>
      </w:r>
      <w:r w:rsidRPr="0039296F" w:rsidR="0039296F">
        <w:rPr>
          <w:rFonts w:cs="Times New Roman"/>
          <w:b/>
        </w:rPr>
        <w:t>Pokud ano, považujete za vhodné zakázat reklamu, která</w:t>
      </w:r>
    </w:p>
    <w:p w:rsidR="00AA37A5" w:rsidP="00AA37A5">
      <w:pPr>
        <w:spacing w:after="120"/>
        <w:ind w:firstLine="709"/>
        <w:jc w:val="both"/>
        <w:rPr>
          <w:rFonts w:cs="Times New Roman"/>
          <w:b/>
        </w:rPr>
      </w:pPr>
      <w:r w:rsidRPr="0039296F">
        <w:rPr>
          <w:rFonts w:cs="Times New Roman"/>
          <w:b/>
        </w:rPr>
        <w:t>a) zdůrazňuje snadnost a rychlost získání úvěru?</w:t>
      </w:r>
      <w:r>
        <w:rPr>
          <w:rFonts w:cs="Times New Roman"/>
          <w:b/>
        </w:rPr>
        <w:t xml:space="preserve"> </w:t>
      </w:r>
    </w:p>
    <w:p w:rsidR="00AA37A5" w:rsidP="005F558A">
      <w:pPr>
        <w:spacing w:after="240"/>
        <w:ind w:firstLine="709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AA37A5" w:rsidP="00AA37A5">
      <w:pPr>
        <w:spacing w:after="120"/>
        <w:ind w:firstLine="709"/>
        <w:jc w:val="both"/>
        <w:rPr>
          <w:rFonts w:cs="Times New Roman"/>
          <w:b/>
        </w:rPr>
      </w:pPr>
      <w:r w:rsidRPr="0039296F">
        <w:rPr>
          <w:rFonts w:cs="Times New Roman"/>
          <w:b/>
        </w:rPr>
        <w:t>b) uvádí, že sleva je podmíněna čerpáním úvěru?</w:t>
      </w:r>
      <w:r>
        <w:rPr>
          <w:rFonts w:cs="Times New Roman"/>
          <w:b/>
        </w:rPr>
        <w:t xml:space="preserve"> </w:t>
      </w:r>
    </w:p>
    <w:p w:rsidR="00AA37A5" w:rsidRPr="0039296F" w:rsidP="00AA37A5">
      <w:pPr>
        <w:spacing w:after="240"/>
        <w:ind w:firstLine="709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AA37A5" w:rsidP="00AA37A5">
      <w:pPr>
        <w:spacing w:after="120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c</w:t>
      </w:r>
      <w:r w:rsidRPr="0039296F" w:rsidR="0039296F">
        <w:rPr>
          <w:rFonts w:cs="Times New Roman"/>
          <w:b/>
        </w:rPr>
        <w:t>) nabízí odklad zahájení splácení delší než 3 měsíce?</w:t>
      </w:r>
      <w:r>
        <w:rPr>
          <w:rFonts w:cs="Times New Roman"/>
          <w:b/>
        </w:rPr>
        <w:t xml:space="preserve"> </w:t>
      </w:r>
    </w:p>
    <w:p w:rsidR="00AA37A5" w:rsidRPr="0039296F" w:rsidP="00AA37A5">
      <w:pPr>
        <w:spacing w:after="240"/>
        <w:ind w:firstLine="709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AA37A5" w:rsidP="00AA37A5">
      <w:pPr>
        <w:spacing w:after="120"/>
        <w:ind w:firstLine="709"/>
        <w:jc w:val="both"/>
        <w:rPr>
          <w:rFonts w:cs="Times New Roman"/>
          <w:b/>
        </w:rPr>
      </w:pPr>
      <w:r w:rsidRPr="0039296F">
        <w:rPr>
          <w:rFonts w:cs="Times New Roman"/>
          <w:b/>
        </w:rPr>
        <w:t>d) jinou?</w:t>
      </w:r>
      <w:r>
        <w:rPr>
          <w:rFonts w:cs="Times New Roman"/>
          <w:b/>
        </w:rPr>
        <w:t xml:space="preserve"> </w:t>
      </w:r>
    </w:p>
    <w:p w:rsidR="00AA37A5" w:rsidRPr="0039296F" w:rsidP="00AA37A5">
      <w:pPr>
        <w:spacing w:after="240"/>
        <w:ind w:firstLine="709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B320F0" w:rsidRPr="00890A0B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890A0B">
        <w:rPr>
          <w:rFonts w:cs="Times New Roman"/>
          <w:i/>
          <w:spacing w:val="10"/>
        </w:rPr>
        <w:t xml:space="preserve">B.5 </w:t>
      </w:r>
      <w:r w:rsidRPr="00890A0B" w:rsidR="0039296F">
        <w:rPr>
          <w:rFonts w:cs="Times New Roman"/>
          <w:i/>
          <w:spacing w:val="10"/>
        </w:rPr>
        <w:t>Opatření k zamezení nepřiměřeně vysokým cenám úvěrů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8</w:t>
      </w:r>
      <w:r w:rsidRPr="00250CD0">
        <w:rPr>
          <w:rFonts w:cs="Times New Roman"/>
          <w:b/>
        </w:rPr>
        <w:t xml:space="preserve">. </w:t>
      </w:r>
      <w:r w:rsidRPr="0039296F" w:rsidR="0039296F">
        <w:rPr>
          <w:rFonts w:cs="Times New Roman"/>
          <w:b/>
        </w:rPr>
        <w:t>Souhlasíte se zachováním stávajícího stavu založeném na judikaturním výkladu (ne)souladu ceny úvěru s</w:t>
      </w:r>
      <w:r w:rsidR="00890A0B">
        <w:rPr>
          <w:rFonts w:cs="Times New Roman"/>
          <w:b/>
        </w:rPr>
        <w:t> </w:t>
      </w:r>
      <w:r w:rsidRPr="0039296F" w:rsidR="0039296F">
        <w:rPr>
          <w:rFonts w:cs="Times New Roman"/>
          <w:b/>
        </w:rPr>
        <w:t>dobrými mravy?</w:t>
      </w:r>
    </w:p>
    <w:p w:rsidR="001A5190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890A0B" w:rsidP="00216F24">
      <w:pPr>
        <w:spacing w:after="24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8a. Pokud ne, jaká </w:t>
      </w:r>
      <w:r w:rsidRPr="0039296F">
        <w:rPr>
          <w:rFonts w:cs="Times New Roman"/>
          <w:b/>
        </w:rPr>
        <w:t>jiná opatření</w:t>
      </w:r>
      <w:r>
        <w:rPr>
          <w:rFonts w:cs="Times New Roman"/>
          <w:b/>
        </w:rPr>
        <w:t xml:space="preserve"> </w:t>
      </w:r>
      <w:r w:rsidRPr="0039296F">
        <w:rPr>
          <w:rFonts w:cs="Times New Roman"/>
          <w:b/>
        </w:rPr>
        <w:t>navrhujete</w:t>
      </w:r>
      <w:r>
        <w:rPr>
          <w:rFonts w:cs="Times New Roman"/>
          <w:b/>
        </w:rPr>
        <w:t>?</w:t>
      </w:r>
    </w:p>
    <w:p w:rsidR="00890A0B" w:rsidP="00890A0B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B320F0" w:rsidRPr="00890A0B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890A0B">
        <w:rPr>
          <w:rFonts w:cs="Times New Roman"/>
          <w:i/>
          <w:spacing w:val="10"/>
        </w:rPr>
        <w:t>B.6 Omezení některých poplatků tvořících cenu úvěru</w:t>
      </w:r>
    </w:p>
    <w:p w:rsidR="004965CD" w:rsidRPr="00250CD0" w:rsidP="001A5190">
      <w:pPr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Pr="00250CD0" w:rsidR="004A6EE2">
        <w:rPr>
          <w:rFonts w:cs="Times New Roman"/>
          <w:b/>
        </w:rPr>
        <w:t xml:space="preserve">. </w:t>
      </w:r>
      <w:r w:rsidRPr="0039296F" w:rsidR="0039296F">
        <w:rPr>
          <w:b/>
        </w:rPr>
        <w:t xml:space="preserve">Považujete za vhodné omezit nebo zakázat některé poplatky účtované spotřebiteli nad rámec úrokové sazby? </w:t>
      </w:r>
    </w:p>
    <w:p w:rsidR="001A5190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AA37A5" w:rsidP="00AA37A5">
      <w:pPr>
        <w:spacing w:after="240"/>
        <w:jc w:val="both"/>
        <w:rPr>
          <w:b/>
        </w:rPr>
      </w:pPr>
      <w:r>
        <w:rPr>
          <w:b/>
        </w:rPr>
        <w:t xml:space="preserve">9a. </w:t>
      </w:r>
      <w:r w:rsidRPr="0039296F">
        <w:rPr>
          <w:b/>
        </w:rPr>
        <w:t>Pokud ano, které a jakým způsobem?</w:t>
      </w:r>
    </w:p>
    <w:p w:rsidR="00AA37A5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B320F0" w:rsidRPr="00890A0B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890A0B">
        <w:rPr>
          <w:rFonts w:cs="Times New Roman"/>
          <w:i/>
          <w:spacing w:val="10"/>
        </w:rPr>
        <w:t>B.7 Finanční vzdělávání</w:t>
      </w:r>
    </w:p>
    <w:p w:rsidR="009A072C" w:rsidRPr="00250CD0" w:rsidP="001A5190">
      <w:pPr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="00AA37A5">
        <w:rPr>
          <w:rFonts w:cs="Times New Roman"/>
          <w:b/>
        </w:rPr>
        <w:t>0</w:t>
      </w:r>
      <w:r w:rsidRPr="00250CD0" w:rsidR="004A6EE2">
        <w:rPr>
          <w:rFonts w:cs="Times New Roman"/>
          <w:b/>
        </w:rPr>
        <w:t xml:space="preserve">. </w:t>
      </w:r>
      <w:r w:rsidRPr="0039296F">
        <w:rPr>
          <w:rFonts w:cs="Times New Roman"/>
          <w:b/>
        </w:rPr>
        <w:t>Souhlasíte se začleněním informace o procesu poskytování úvěru do informací trvale přístupných spotřebiteli podle § 92 ZSÚ, nebo navrhujete jiné řešení?</w:t>
      </w:r>
    </w:p>
    <w:p w:rsidR="001A5190" w:rsidRPr="00250CD0" w:rsidP="00216F24">
      <w:pPr>
        <w:spacing w:after="240"/>
        <w:jc w:val="both"/>
        <w:rPr>
          <w:rFonts w:cs="Times New Roman"/>
          <w:b/>
        </w:rPr>
      </w:pPr>
      <w:r w:rsidRPr="00250CD0">
        <w:rPr>
          <w:rFonts w:cs="Times New Roman"/>
        </w:rPr>
        <w:t xml:space="preserve">Odpověď: </w:t>
      </w:r>
    </w:p>
    <w:p w:rsidR="00B320F0" w:rsidRPr="00890A0B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890A0B">
        <w:rPr>
          <w:rFonts w:cs="Times New Roman"/>
          <w:i/>
          <w:spacing w:val="10"/>
        </w:rPr>
        <w:t>B.8 Opatření shovívavosti</w:t>
      </w:r>
    </w:p>
    <w:p w:rsidR="004A6EE2" w:rsidRPr="00250CD0" w:rsidP="004A6EE2">
      <w:pPr>
        <w:jc w:val="both"/>
        <w:rPr>
          <w:rFonts w:cs="Times New Roman"/>
          <w:b/>
        </w:rPr>
      </w:pPr>
      <w:r w:rsidRPr="00250CD0">
        <w:rPr>
          <w:rFonts w:cs="Times New Roman"/>
          <w:b/>
        </w:rPr>
        <w:t>1</w:t>
      </w:r>
      <w:r w:rsidR="00AA37A5">
        <w:rPr>
          <w:rFonts w:cs="Times New Roman"/>
          <w:b/>
        </w:rPr>
        <w:t>1</w:t>
      </w:r>
      <w:r w:rsidRPr="0039296F" w:rsidR="0039296F">
        <w:rPr>
          <w:rFonts w:cs="Times New Roman"/>
          <w:b/>
        </w:rPr>
        <w:t>.</w:t>
      </w:r>
      <w:r w:rsidR="0039296F">
        <w:rPr>
          <w:rFonts w:cs="Times New Roman"/>
          <w:b/>
        </w:rPr>
        <w:t xml:space="preserve"> </w:t>
      </w:r>
      <w:r w:rsidRPr="0039296F" w:rsidR="0039296F">
        <w:rPr>
          <w:rFonts w:cs="Times New Roman"/>
          <w:b/>
        </w:rPr>
        <w:t>Považujete za vhodné výčet opatření uvedený v</w:t>
      </w:r>
      <w:r w:rsidR="0039296F">
        <w:rPr>
          <w:rFonts w:cs="Times New Roman"/>
          <w:b/>
        </w:rPr>
        <w:t> </w:t>
      </w:r>
      <w:r w:rsidRPr="0039296F" w:rsidR="0039296F">
        <w:rPr>
          <w:rFonts w:cs="Times New Roman"/>
          <w:b/>
        </w:rPr>
        <w:t>ST</w:t>
      </w:r>
      <w:r w:rsidR="0039296F">
        <w:rPr>
          <w:rFonts w:cs="Times New Roman"/>
          <w:b/>
        </w:rPr>
        <w:t xml:space="preserve"> </w:t>
      </w:r>
      <w:r w:rsidRPr="0039296F" w:rsidR="0039296F">
        <w:rPr>
          <w:rFonts w:cs="Times New Roman"/>
          <w:b/>
        </w:rPr>
        <w:t>473 zachovat</w:t>
      </w:r>
      <w:r w:rsidR="00AA37A5">
        <w:rPr>
          <w:rFonts w:cs="Times New Roman"/>
          <w:b/>
        </w:rPr>
        <w:t>,</w:t>
      </w:r>
      <w:r w:rsidRPr="0039296F" w:rsidR="0039296F">
        <w:rPr>
          <w:rFonts w:cs="Times New Roman"/>
          <w:b/>
        </w:rPr>
        <w:t xml:space="preserve"> nebo upravit?</w:t>
      </w:r>
    </w:p>
    <w:p w:rsidR="001A5190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CC0AF5" w:rsidRPr="00890A0B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890A0B">
        <w:rPr>
          <w:rFonts w:cs="Times New Roman"/>
          <w:i/>
          <w:spacing w:val="10"/>
        </w:rPr>
        <w:t>B.</w:t>
      </w:r>
      <w:r w:rsidRPr="00890A0B" w:rsidR="0039296F">
        <w:rPr>
          <w:rFonts w:cs="Times New Roman"/>
          <w:i/>
          <w:spacing w:val="10"/>
        </w:rPr>
        <w:t>9</w:t>
      </w:r>
      <w:r w:rsidRPr="00890A0B">
        <w:rPr>
          <w:rFonts w:cs="Times New Roman"/>
          <w:i/>
          <w:spacing w:val="10"/>
        </w:rPr>
        <w:t xml:space="preserve"> Výjimky z oprávnění k činnosti a registrace</w:t>
      </w:r>
    </w:p>
    <w:p w:rsidR="004A6EE2" w:rsidRPr="00250CD0" w:rsidP="00216F24">
      <w:pPr>
        <w:widowControl w:val="0"/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="00AA37A5">
        <w:rPr>
          <w:rFonts w:cs="Times New Roman"/>
          <w:b/>
        </w:rPr>
        <w:t>2</w:t>
      </w:r>
      <w:r w:rsidRPr="00250CD0">
        <w:rPr>
          <w:rFonts w:cs="Times New Roman"/>
          <w:b/>
        </w:rPr>
        <w:t xml:space="preserve">. </w:t>
      </w:r>
      <w:r w:rsidRPr="0039296F">
        <w:rPr>
          <w:rFonts w:cs="Times New Roman"/>
          <w:b/>
        </w:rPr>
        <w:t>Považujete za vhodné využít výjimku pro zprostředkovatele?</w:t>
      </w:r>
    </w:p>
    <w:p w:rsidR="001A5190" w:rsidRPr="00250CD0" w:rsidP="00216F24">
      <w:pPr>
        <w:widowControl w:val="0"/>
        <w:spacing w:after="240"/>
        <w:jc w:val="both"/>
        <w:rPr>
          <w:rFonts w:cs="Times New Roman"/>
          <w:b/>
        </w:rPr>
      </w:pPr>
      <w:r w:rsidRPr="00250CD0">
        <w:rPr>
          <w:rFonts w:cs="Times New Roman"/>
        </w:rPr>
        <w:t xml:space="preserve">Odpověď: </w:t>
      </w:r>
    </w:p>
    <w:p w:rsidR="00B32933" w:rsidRPr="00250CD0" w:rsidP="00216F24">
      <w:pPr>
        <w:widowControl w:val="0"/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="00AA37A5">
        <w:rPr>
          <w:rFonts w:cs="Times New Roman"/>
          <w:b/>
        </w:rPr>
        <w:t>2a</w:t>
      </w:r>
      <w:r w:rsidRPr="00250CD0" w:rsidR="004A6EE2">
        <w:rPr>
          <w:rFonts w:cs="Times New Roman"/>
          <w:b/>
        </w:rPr>
        <w:t xml:space="preserve">. </w:t>
      </w:r>
      <w:r w:rsidRPr="0039296F">
        <w:rPr>
          <w:rFonts w:cs="Times New Roman"/>
          <w:b/>
        </w:rPr>
        <w:t xml:space="preserve">V případě nevyužití výjimky pro zprostředkovatele </w:t>
      </w:r>
      <w:r>
        <w:rPr>
          <w:rFonts w:cs="Times New Roman"/>
          <w:b/>
        </w:rPr>
        <w:t xml:space="preserve">– </w:t>
      </w:r>
      <w:r w:rsidRPr="0039296F">
        <w:rPr>
          <w:rFonts w:cs="Times New Roman"/>
          <w:b/>
        </w:rPr>
        <w:t>souhlasíte</w:t>
      </w:r>
      <w:r>
        <w:rPr>
          <w:rFonts w:cs="Times New Roman"/>
          <w:b/>
        </w:rPr>
        <w:t xml:space="preserve"> </w:t>
      </w:r>
      <w:r w:rsidRPr="0039296F">
        <w:rPr>
          <w:rFonts w:cs="Times New Roman"/>
          <w:b/>
        </w:rPr>
        <w:t>se zachováním stávajícího systému registrace zprostředkovatelů?</w:t>
      </w:r>
    </w:p>
    <w:p w:rsidR="00C44CBA" w:rsidRPr="00250CD0" w:rsidP="00216F24">
      <w:pPr>
        <w:widowControl w:val="0"/>
        <w:spacing w:after="240"/>
        <w:jc w:val="both"/>
        <w:rPr>
          <w:rFonts w:cs="Times New Roman"/>
          <w:b/>
        </w:rPr>
      </w:pPr>
      <w:r w:rsidRPr="00250CD0">
        <w:rPr>
          <w:rFonts w:cs="Times New Roman"/>
        </w:rPr>
        <w:t xml:space="preserve">Odpověď: </w:t>
      </w:r>
    </w:p>
    <w:p w:rsidR="00B32933" w:rsidRPr="00250CD0" w:rsidP="00C44CBA">
      <w:pPr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="00AA37A5">
        <w:rPr>
          <w:rFonts w:cs="Times New Roman"/>
          <w:b/>
        </w:rPr>
        <w:t>3</w:t>
      </w:r>
      <w:r>
        <w:rPr>
          <w:rFonts w:cs="Times New Roman"/>
          <w:b/>
        </w:rPr>
        <w:t xml:space="preserve">. </w:t>
      </w:r>
      <w:r w:rsidRPr="0039296F">
        <w:rPr>
          <w:rFonts w:cs="Times New Roman"/>
          <w:b/>
        </w:rPr>
        <w:t>Považujete za vhodné využít výjimku pro poskytovatele?</w:t>
      </w:r>
    </w:p>
    <w:p w:rsidR="00AB7DA6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>Odpověď:</w:t>
      </w:r>
    </w:p>
    <w:p w:rsidR="00216F24" w:rsidP="0039296F">
      <w:pPr>
        <w:jc w:val="both"/>
        <w:rPr>
          <w:rFonts w:cs="Times New Roman"/>
          <w:b/>
        </w:rPr>
      </w:pPr>
      <w:r w:rsidRPr="0039296F">
        <w:rPr>
          <w:rFonts w:cs="Times New Roman"/>
          <w:b/>
        </w:rPr>
        <w:t>1</w:t>
      </w:r>
      <w:r w:rsidR="00AA37A5">
        <w:rPr>
          <w:rFonts w:cs="Times New Roman"/>
          <w:b/>
        </w:rPr>
        <w:t>3a</w:t>
      </w:r>
      <w:r w:rsidRPr="0039296F">
        <w:rPr>
          <w:rFonts w:cs="Times New Roman"/>
          <w:b/>
        </w:rPr>
        <w:t xml:space="preserve">. V případě, že by výjimka pro poskytovatele nebyla využita – považujete stávající způsob řízení o udělení oprávnění k činnosti nebankovního poskytovatele spotřebitelského úvěru za vhodný i pro tento druh činnosti? </w:t>
      </w:r>
    </w:p>
    <w:p w:rsidR="00216F24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>Odpověď:</w:t>
      </w:r>
    </w:p>
    <w:p w:rsidR="0039296F" w:rsidRPr="0039296F" w:rsidP="0039296F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13b. </w:t>
      </w:r>
      <w:r w:rsidRPr="0039296F">
        <w:rPr>
          <w:rFonts w:cs="Times New Roman"/>
          <w:b/>
        </w:rPr>
        <w:t xml:space="preserve">Pokud ne, považujete za vhodné zavést </w:t>
      </w:r>
      <w:r>
        <w:rPr>
          <w:rFonts w:cs="Times New Roman"/>
          <w:b/>
        </w:rPr>
        <w:t xml:space="preserve">pro poskytovatele </w:t>
      </w:r>
      <w:r w:rsidRPr="0039296F">
        <w:rPr>
          <w:rFonts w:cs="Times New Roman"/>
          <w:b/>
        </w:rPr>
        <w:t>obdobný způsob udělení oprávnění k</w:t>
      </w:r>
      <w:r>
        <w:rPr>
          <w:rFonts w:cs="Times New Roman"/>
          <w:b/>
        </w:rPr>
        <w:t> </w:t>
      </w:r>
      <w:r w:rsidRPr="0039296F">
        <w:rPr>
          <w:rFonts w:cs="Times New Roman"/>
          <w:b/>
        </w:rPr>
        <w:t>činnosti jako je nyní pro zprostředkovatele v podobě jednoduché žádosti nebo registrace?</w:t>
      </w:r>
    </w:p>
    <w:p w:rsidR="0039296F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>Odpověď:</w:t>
      </w:r>
    </w:p>
    <w:p w:rsidR="00CC0AF5" w:rsidRPr="00AC61B6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22"/>
        </w:rPr>
      </w:pPr>
      <w:r w:rsidRPr="00250CD0">
        <w:rPr>
          <w:rFonts w:cs="Times New Roman"/>
        </w:rPr>
        <w:t xml:space="preserve"> </w:t>
      </w:r>
      <w:r w:rsidRPr="00890A0B" w:rsidR="00AB7DA6">
        <w:rPr>
          <w:rFonts w:cs="Times New Roman"/>
          <w:i/>
          <w:spacing w:val="10"/>
        </w:rPr>
        <w:t>B.1</w:t>
      </w:r>
      <w:r w:rsidRPr="00890A0B" w:rsidR="0039296F">
        <w:rPr>
          <w:rFonts w:cs="Times New Roman"/>
          <w:i/>
          <w:spacing w:val="10"/>
        </w:rPr>
        <w:t>0</w:t>
      </w:r>
      <w:r w:rsidRPr="00890A0B" w:rsidR="00AB7DA6">
        <w:rPr>
          <w:rFonts w:cs="Times New Roman"/>
          <w:i/>
          <w:spacing w:val="10"/>
        </w:rPr>
        <w:t xml:space="preserve"> Oprávnění České národní banky k produktové intervenci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14</w:t>
      </w:r>
      <w:r w:rsidRPr="00250CD0">
        <w:rPr>
          <w:rFonts w:cs="Times New Roman"/>
          <w:b/>
        </w:rPr>
        <w:t xml:space="preserve">. </w:t>
      </w:r>
      <w:r w:rsidRPr="00C50E1B" w:rsidR="00C50E1B">
        <w:rPr>
          <w:rFonts w:cs="Times New Roman"/>
          <w:b/>
        </w:rPr>
        <w:t>Považujete za vhodné výslovně upravit pravomoc České národní banky nařídit stažení úvěrových produktů z nabídky poskytovatele, nebo k tomuto účelu považujete za dostatečnou stávající úpravu v § 145 ZSÚ?</w:t>
      </w:r>
    </w:p>
    <w:p w:rsidR="00C44CBA" w:rsidP="00216F24">
      <w:pPr>
        <w:spacing w:after="240"/>
        <w:jc w:val="both"/>
        <w:rPr>
          <w:rFonts w:cs="Times New Roman"/>
        </w:rPr>
      </w:pPr>
      <w:r w:rsidRPr="00250CD0">
        <w:rPr>
          <w:rFonts w:cs="Times New Roman"/>
        </w:rPr>
        <w:t xml:space="preserve">Odpověď: </w:t>
      </w:r>
    </w:p>
    <w:p w:rsidR="00AB7DA6" w:rsidRPr="00890A0B" w:rsidP="00890A0B">
      <w:pPr>
        <w:shd w:val="clear" w:color="auto" w:fill="D9D9D9" w:themeFill="background1" w:themeFillShade="D9"/>
        <w:spacing w:before="360"/>
        <w:jc w:val="both"/>
        <w:rPr>
          <w:rFonts w:cs="Times New Roman"/>
          <w:i/>
          <w:spacing w:val="10"/>
        </w:rPr>
      </w:pPr>
      <w:r w:rsidRPr="00890A0B">
        <w:rPr>
          <w:rFonts w:cs="Times New Roman"/>
          <w:i/>
          <w:spacing w:val="10"/>
        </w:rPr>
        <w:t>B.1</w:t>
      </w:r>
      <w:r w:rsidRPr="00890A0B" w:rsidR="00C50E1B">
        <w:rPr>
          <w:rFonts w:cs="Times New Roman"/>
          <w:i/>
          <w:spacing w:val="10"/>
        </w:rPr>
        <w:t>1</w:t>
      </w:r>
      <w:r w:rsidRPr="00890A0B">
        <w:rPr>
          <w:rFonts w:cs="Times New Roman"/>
          <w:i/>
          <w:spacing w:val="10"/>
        </w:rPr>
        <w:t xml:space="preserve"> Ostatní</w:t>
      </w:r>
    </w:p>
    <w:p w:rsidR="004A6EE2" w:rsidRPr="00250CD0" w:rsidP="004A6EE2">
      <w:pPr>
        <w:jc w:val="both"/>
        <w:rPr>
          <w:rFonts w:cs="Times New Roman"/>
          <w:b/>
        </w:rPr>
      </w:pPr>
      <w:r>
        <w:rPr>
          <w:rFonts w:cs="Times New Roman"/>
          <w:b/>
        </w:rPr>
        <w:t>15</w:t>
      </w:r>
      <w:r w:rsidRPr="00250CD0">
        <w:rPr>
          <w:rFonts w:cs="Times New Roman"/>
          <w:b/>
        </w:rPr>
        <w:t xml:space="preserve">. </w:t>
      </w:r>
      <w:r w:rsidRPr="00BD7EA8" w:rsidR="00BD7EA8">
        <w:rPr>
          <w:rFonts w:cs="Times New Roman"/>
          <w:b/>
        </w:rPr>
        <w:t xml:space="preserve">Máte nějaký další podnět týkající se </w:t>
      </w:r>
      <w:r w:rsidR="00C50E1B">
        <w:rPr>
          <w:rFonts w:cs="Times New Roman"/>
          <w:b/>
        </w:rPr>
        <w:t>novelizované</w:t>
      </w:r>
      <w:r w:rsidR="00B10EEB">
        <w:rPr>
          <w:rFonts w:cs="Times New Roman"/>
          <w:b/>
        </w:rPr>
        <w:t xml:space="preserve"> právní úpravy poskytování a zprostředkování spotřebitelského úvěru? </w:t>
      </w:r>
    </w:p>
    <w:p w:rsidR="002233DE" w:rsidRPr="00250CD0" w:rsidP="00216F24">
      <w:pPr>
        <w:spacing w:after="240"/>
        <w:jc w:val="both"/>
        <w:rPr>
          <w:rFonts w:cs="Times New Roman"/>
          <w:b/>
        </w:rPr>
      </w:pPr>
      <w:r w:rsidRPr="00250CD0">
        <w:rPr>
          <w:rFonts w:cs="Times New Roman"/>
        </w:rPr>
        <w:t xml:space="preserve">Odpověď: </w:t>
      </w:r>
      <w:bookmarkStart w:id="1" w:name="_GoBack"/>
      <w:bookmarkEnd w:id="1"/>
    </w:p>
    <w:sectPr w:rsidSect="00EE2756">
      <w:pgSz w:w="11906" w:h="16838"/>
      <w:pgMar w:top="1276" w:right="1417" w:bottom="1276" w:left="1417" w:header="426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44A45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87BB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FE4"/>
    <w:multiLevelType w:val="hybridMultilevel"/>
    <w:tmpl w:val="D13200A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4F7D"/>
    <w:multiLevelType w:val="hybridMultilevel"/>
    <w:tmpl w:val="7A08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F21D5"/>
    <w:multiLevelType w:val="hybridMultilevel"/>
    <w:tmpl w:val="29064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6CA4"/>
    <w:multiLevelType w:val="hybridMultilevel"/>
    <w:tmpl w:val="3C002DF8"/>
    <w:lvl w:ilvl="0">
      <w:start w:val="1"/>
      <w:numFmt w:val="decimal"/>
      <w:lvlText w:val="%1."/>
      <w:lvlJc w:val="lef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0E7C6B58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E7B3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11D21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229DE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A7D1B"/>
    <w:multiLevelType w:val="hybridMultilevel"/>
    <w:tmpl w:val="81E2421E"/>
    <w:lvl w:ilvl="0">
      <w:start w:val="0"/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1F6767E1"/>
    <w:multiLevelType w:val="hybridMultilevel"/>
    <w:tmpl w:val="E4C033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1700E7D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05099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81AB5"/>
    <w:multiLevelType w:val="multilevel"/>
    <w:tmpl w:val="1C089E0C"/>
    <w:lvl w:ilvl="0">
      <w:start w:val="3"/>
      <w:numFmt w:val="upperLetter"/>
      <w:pStyle w:val="Nadpis1ur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bCs w:val="0"/>
        <w:i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Nadpis2ur"/>
      <w:lvlText w:val="%1.%2"/>
      <w:lvlJc w:val="left"/>
      <w:pPr>
        <w:tabs>
          <w:tab w:val="num" w:pos="1077"/>
        </w:tabs>
        <w:ind w:left="1077" w:hanging="10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FFFFFF" w:themeColor="background1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pStyle w:val="Nadpis3ur"/>
      <w:lvlText w:val="%3"/>
      <w:lvlJc w:val="left"/>
      <w:pPr>
        <w:tabs>
          <w:tab w:val="num" w:pos="720"/>
        </w:tabs>
        <w:ind w:left="720" w:hanging="607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C99305B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04DF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27137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17D2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13530"/>
    <w:multiLevelType w:val="hybridMultilevel"/>
    <w:tmpl w:val="6F12A1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367E2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376C9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24841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43645"/>
    <w:multiLevelType w:val="hybridMultilevel"/>
    <w:tmpl w:val="5E7E8C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00456"/>
    <w:multiLevelType w:val="hybridMultilevel"/>
    <w:tmpl w:val="1E3A2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75316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337CE"/>
    <w:multiLevelType w:val="hybridMultilevel"/>
    <w:tmpl w:val="0F848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82D7D"/>
    <w:multiLevelType w:val="hybridMultilevel"/>
    <w:tmpl w:val="58B0B3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0F2D03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B5992"/>
    <w:multiLevelType w:val="hybridMultilevel"/>
    <w:tmpl w:val="18003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53217"/>
    <w:multiLevelType w:val="multilevel"/>
    <w:tmpl w:val="406012D4"/>
    <w:numStyleLink w:val="Styl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6C3F0689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A65AA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15BC1"/>
    <w:multiLevelType w:val="hybridMultilevel"/>
    <w:tmpl w:val="381273B0"/>
    <w:lvl w:ilvl="0">
      <w:start w:val="1"/>
      <w:numFmt w:val="decimal"/>
      <w:pStyle w:val="otazky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77CF7"/>
    <w:multiLevelType w:val="multilevel"/>
    <w:tmpl w:val="406012D4"/>
    <w:styleLink w:val="Styl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Roman"/>
      <w:lvlText w:val="%1.%2."/>
      <w:lvlJc w:val="left"/>
      <w:pPr>
        <w:ind w:left="792" w:hanging="432"/>
      </w:pPr>
      <w:rPr>
        <w:color w:val="4F81BD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CFD371B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Roman"/>
        <w:lvlText w:val="%1.%2."/>
        <w:lvlJc w:val="left"/>
        <w:pPr>
          <w:ind w:left="792" w:hanging="432"/>
        </w:pPr>
        <w:rPr>
          <w:color w:val="4F81BD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24"/>
  </w:num>
  <w:num w:numId="4">
    <w:abstractNumId w:val="14"/>
  </w:num>
  <w:num w:numId="5">
    <w:abstractNumId w:val="14"/>
  </w:num>
  <w:num w:numId="6">
    <w:abstractNumId w:val="1"/>
  </w:num>
  <w:num w:numId="7">
    <w:abstractNumId w:val="33"/>
  </w:num>
  <w:num w:numId="8">
    <w:abstractNumId w:val="31"/>
  </w:num>
  <w:num w:numId="9">
    <w:abstractNumId w:val="17"/>
  </w:num>
  <w:num w:numId="10">
    <w:abstractNumId w:val="5"/>
  </w:num>
  <w:num w:numId="11">
    <w:abstractNumId w:val="35"/>
  </w:num>
  <w:num w:numId="12">
    <w:abstractNumId w:val="32"/>
  </w:num>
  <w:num w:numId="13">
    <w:abstractNumId w:val="7"/>
  </w:num>
  <w:num w:numId="14">
    <w:abstractNumId w:val="27"/>
  </w:num>
  <w:num w:numId="15">
    <w:abstractNumId w:val="29"/>
  </w:num>
  <w:num w:numId="16">
    <w:abstractNumId w:val="12"/>
  </w:num>
  <w:num w:numId="17">
    <w:abstractNumId w:val="8"/>
  </w:num>
  <w:num w:numId="18">
    <w:abstractNumId w:val="22"/>
  </w:num>
  <w:num w:numId="19">
    <w:abstractNumId w:val="18"/>
  </w:num>
  <w:num w:numId="20">
    <w:abstractNumId w:val="9"/>
  </w:num>
  <w:num w:numId="21">
    <w:abstractNumId w:val="0"/>
  </w:num>
  <w:num w:numId="22">
    <w:abstractNumId w:val="21"/>
  </w:num>
  <w:num w:numId="23">
    <w:abstractNumId w:val="14"/>
  </w:num>
  <w:num w:numId="24">
    <w:abstractNumId w:val="16"/>
  </w:num>
  <w:num w:numId="25">
    <w:abstractNumId w:val="6"/>
  </w:num>
  <w:num w:numId="26">
    <w:abstractNumId w:val="25"/>
  </w:num>
  <w:num w:numId="27">
    <w:abstractNumId w:val="15"/>
  </w:num>
  <w:num w:numId="28">
    <w:abstractNumId w:val="28"/>
  </w:num>
  <w:num w:numId="29">
    <w:abstractNumId w:val="20"/>
  </w:num>
  <w:num w:numId="30">
    <w:abstractNumId w:val="33"/>
  </w:num>
  <w:num w:numId="31">
    <w:abstractNumId w:val="2"/>
  </w:num>
  <w:num w:numId="32">
    <w:abstractNumId w:val="13"/>
  </w:num>
  <w:num w:numId="33">
    <w:abstractNumId w:val="19"/>
  </w:num>
  <w:num w:numId="34">
    <w:abstractNumId w:val="4"/>
  </w:num>
  <w:num w:numId="35">
    <w:abstractNumId w:val="23"/>
  </w:num>
  <w:num w:numId="36">
    <w:abstractNumId w:val="33"/>
    <w:lvlOverride w:ilvl="0">
      <w:startOverride w:val="1"/>
    </w:lvlOverride>
  </w:num>
  <w:num w:numId="37">
    <w:abstractNumId w:val="33"/>
  </w:num>
  <w:num w:numId="38">
    <w:abstractNumId w:val="33"/>
    <w:lvlOverride w:ilvl="0">
      <w:startOverride w:val="1"/>
    </w:lvlOverride>
  </w:num>
  <w:num w:numId="39">
    <w:abstractNumId w:val="33"/>
  </w:num>
  <w:num w:numId="40">
    <w:abstractNumId w:val="3"/>
  </w:num>
  <w:num w:numId="41">
    <w:abstractNumId w:val="33"/>
  </w:num>
  <w:num w:numId="42">
    <w:abstractNumId w:val="11"/>
  </w:num>
  <w:num w:numId="43">
    <w:abstractNumId w:val="1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tázky"/>
    <w:qFormat/>
    <w:rsid w:val="00D469B4"/>
  </w:style>
  <w:style w:type="paragraph" w:styleId="Heading1">
    <w:name w:val="heading 1"/>
    <w:basedOn w:val="Normal"/>
    <w:next w:val="Normal"/>
    <w:link w:val="Nadpis1Char"/>
    <w:uiPriority w:val="9"/>
    <w:qFormat/>
    <w:rsid w:val="00D46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46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541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D46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D46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textodstavce">
    <w:name w:val="H_text_odstavce"/>
    <w:basedOn w:val="Normal"/>
    <w:link w:val="HtextodstavceChar"/>
    <w:qFormat/>
    <w:rsid w:val="00D469B4"/>
    <w:pPr>
      <w:spacing w:before="120" w:after="120" w:line="288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Styl1">
    <w:name w:val="Styl1"/>
    <w:rsid w:val="00D469B4"/>
    <w:pPr>
      <w:numPr>
        <w:numId w:val="1"/>
      </w:numPr>
    </w:pPr>
  </w:style>
  <w:style w:type="character" w:customStyle="1" w:styleId="HtextodstavceChar">
    <w:name w:val="H_text_odstavce Char"/>
    <w:basedOn w:val="DefaultParagraphFont"/>
    <w:link w:val="Htextodstavce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OdstavecCOPS1">
    <w:name w:val="Odstavec COPS_1"/>
    <w:basedOn w:val="Normal"/>
    <w:next w:val="Normal"/>
    <w:link w:val="OdstavecCOPS1Char"/>
    <w:rsid w:val="00D469B4"/>
    <w:pPr>
      <w:spacing w:before="80" w:after="16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podarouChar"/>
    <w:semiHidden/>
    <w:rsid w:val="00D4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D469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D469B4"/>
    <w:rPr>
      <w:vertAlign w:val="superscript"/>
    </w:rPr>
  </w:style>
  <w:style w:type="character" w:styleId="Hyperlink">
    <w:name w:val="Hyperlink"/>
    <w:uiPriority w:val="99"/>
    <w:unhideWhenUsed/>
    <w:rsid w:val="00D469B4"/>
    <w:rPr>
      <w:color w:val="0000FF"/>
      <w:u w:val="single"/>
    </w:rPr>
  </w:style>
  <w:style w:type="character" w:customStyle="1" w:styleId="OdstavecCOPS1Char">
    <w:name w:val="Odstavec COPS_1 Char"/>
    <w:basedOn w:val="DefaultParagraphFont"/>
    <w:link w:val="OdstavecCOPS1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469B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69B4"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469B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90FB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adpis1ur">
    <w:name w:val="Nadpis 1ur"/>
    <w:basedOn w:val="ZkladntextRIA"/>
    <w:rsid w:val="00790FB2"/>
    <w:pPr>
      <w:numPr>
        <w:numId w:val="5"/>
      </w:numPr>
      <w:spacing w:before="360" w:after="360"/>
      <w:jc w:val="left"/>
    </w:pPr>
    <w:rPr>
      <w:b/>
      <w:caps/>
      <w:sz w:val="28"/>
    </w:rPr>
  </w:style>
  <w:style w:type="paragraph" w:customStyle="1" w:styleId="Nadpis2ur">
    <w:name w:val="Nadpis 2ur"/>
    <w:basedOn w:val="Normal"/>
    <w:link w:val="Nadpis2urChar"/>
    <w:rsid w:val="00EA29BD"/>
    <w:pPr>
      <w:widowControl w:val="0"/>
      <w:numPr>
        <w:ilvl w:val="1"/>
        <w:numId w:val="5"/>
      </w:numPr>
      <w:spacing w:before="240" w:after="240" w:line="312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RIA">
    <w:name w:val="Základní text RIA"/>
    <w:basedOn w:val="Normal"/>
    <w:link w:val="ZkladntextRIAChar"/>
    <w:rsid w:val="00790FB2"/>
    <w:pPr>
      <w:spacing w:before="120" w:after="12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RIAChar">
    <w:name w:val="Základní text RIA Char"/>
    <w:link w:val="ZkladntextRIA"/>
    <w:rsid w:val="00790F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seznam">
    <w:name w:val="číslování seznam"/>
    <w:rsid w:val="00790FB2"/>
    <w:pPr>
      <w:spacing w:before="60" w:after="6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ur">
    <w:name w:val="Nadpis 3ur"/>
    <w:basedOn w:val="Nadpis2ur"/>
    <w:rsid w:val="00790FB2"/>
    <w:pPr>
      <w:numPr>
        <w:ilvl w:val="2"/>
      </w:numPr>
    </w:pPr>
  </w:style>
  <w:style w:type="paragraph" w:styleId="Header">
    <w:name w:val="header"/>
    <w:basedOn w:val="Normal"/>
    <w:link w:val="Zhlav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C1140"/>
  </w:style>
  <w:style w:type="paragraph" w:styleId="Footer">
    <w:name w:val="footer"/>
    <w:basedOn w:val="Normal"/>
    <w:link w:val="Zpat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C1140"/>
  </w:style>
  <w:style w:type="paragraph" w:styleId="Title">
    <w:name w:val="Title"/>
    <w:basedOn w:val="Normal"/>
    <w:next w:val="Normal"/>
    <w:link w:val="NzevChar"/>
    <w:qFormat/>
    <w:rsid w:val="002012B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DefaultParagraphFont"/>
    <w:link w:val="Title"/>
    <w:rsid w:val="002012B3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Subtitle">
    <w:name w:val="Subtitle"/>
    <w:basedOn w:val="Normal"/>
    <w:next w:val="Normal"/>
    <w:link w:val="PodnadpisChar"/>
    <w:qFormat/>
    <w:rsid w:val="002012B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nadpisChar">
    <w:name w:val="Podnadpis Char"/>
    <w:basedOn w:val="DefaultParagraphFont"/>
    <w:link w:val="Subtitle"/>
    <w:rsid w:val="002012B3"/>
    <w:rPr>
      <w:rFonts w:ascii="Cambria" w:eastAsia="Times New Roman" w:hAnsi="Cambria" w:cs="Times New Roman"/>
      <w:sz w:val="24"/>
      <w:szCs w:val="24"/>
      <w:lang w:eastAsia="cs-CZ"/>
    </w:rPr>
  </w:style>
  <w:style w:type="paragraph" w:styleId="Quote">
    <w:name w:val="Quote"/>
    <w:basedOn w:val="Normal"/>
    <w:next w:val="Normal"/>
    <w:link w:val="CittChar"/>
    <w:uiPriority w:val="29"/>
    <w:qFormat/>
    <w:rsid w:val="00FD2F5D"/>
    <w:rPr>
      <w:i/>
      <w:iCs/>
      <w:color w:val="000000" w:themeColor="text1"/>
    </w:rPr>
  </w:style>
  <w:style w:type="character" w:customStyle="1" w:styleId="CittChar">
    <w:name w:val="Citát Char"/>
    <w:basedOn w:val="DefaultParagraphFont"/>
    <w:link w:val="Quote"/>
    <w:uiPriority w:val="29"/>
    <w:rsid w:val="00FD2F5D"/>
    <w:rPr>
      <w:i/>
      <w:iCs/>
      <w:color w:val="000000" w:themeColor="text1"/>
    </w:rPr>
  </w:style>
  <w:style w:type="paragraph" w:customStyle="1" w:styleId="IDD">
    <w:name w:val="IDD"/>
    <w:basedOn w:val="Htextodstavce"/>
    <w:link w:val="IDDChar"/>
    <w:qFormat/>
    <w:rsid w:val="002133CF"/>
    <w:rPr>
      <w:i/>
      <w:szCs w:val="21"/>
    </w:rPr>
  </w:style>
  <w:style w:type="character" w:customStyle="1" w:styleId="IDDChar">
    <w:name w:val="IDD Char"/>
    <w:basedOn w:val="HtextodstavceChar"/>
    <w:link w:val="IDD"/>
    <w:rsid w:val="002133CF"/>
    <w:rPr>
      <w:rFonts w:ascii="Times New Roman" w:eastAsia="Times New Roman" w:hAnsi="Times New Roman" w:cs="Times New Roman"/>
      <w:bCs/>
      <w:i/>
      <w:sz w:val="24"/>
      <w:szCs w:val="21"/>
      <w:lang w:eastAsia="cs-CZ"/>
    </w:rPr>
  </w:style>
  <w:style w:type="paragraph" w:styleId="ListParagraph">
    <w:name w:val="List Paragraph"/>
    <w:basedOn w:val="Normal"/>
    <w:uiPriority w:val="34"/>
    <w:qFormat/>
    <w:rsid w:val="00DC0C3D"/>
    <w:pPr>
      <w:ind w:left="720"/>
      <w:contextualSpacing/>
    </w:pPr>
  </w:style>
  <w:style w:type="paragraph" w:customStyle="1" w:styleId="okruhy">
    <w:name w:val="okruhy"/>
    <w:basedOn w:val="Nadpis2ur"/>
    <w:link w:val="okruhyChar"/>
    <w:qFormat/>
    <w:rsid w:val="00D05C68"/>
    <w:pPr>
      <w:numPr>
        <w:ilvl w:val="0"/>
        <w:numId w:val="0"/>
      </w:numPr>
      <w:shd w:val="clear" w:color="auto" w:fill="1F497D" w:themeFill="text2"/>
      <w:tabs>
        <w:tab w:val="num" w:pos="709"/>
      </w:tabs>
      <w:spacing w:before="360"/>
      <w:ind w:left="709" w:hanging="652"/>
      <w:jc w:val="center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8660CA"/>
    <w:pPr>
      <w:tabs>
        <w:tab w:val="left" w:pos="440"/>
        <w:tab w:val="right" w:leader="dot" w:pos="9062"/>
      </w:tabs>
      <w:spacing w:after="100"/>
      <w:jc w:val="both"/>
    </w:pPr>
    <w:rPr>
      <w:rFonts w:ascii="Times New Roman" w:hAnsi="Times New Roman"/>
      <w:b/>
    </w:rPr>
  </w:style>
  <w:style w:type="character" w:customStyle="1" w:styleId="Nadpis2urChar">
    <w:name w:val="Nadpis 2ur Char"/>
    <w:basedOn w:val="DefaultParagraphFont"/>
    <w:link w:val="Nadpis2ur"/>
    <w:rsid w:val="00D05C6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okruhyChar">
    <w:name w:val="okruhy Char"/>
    <w:basedOn w:val="Nadpis2urChar"/>
    <w:link w:val="okruhy"/>
    <w:rsid w:val="00D05C68"/>
    <w:rPr>
      <w:rFonts w:ascii="Times New Roman" w:eastAsia="Times New Roman" w:hAnsi="Times New Roman" w:cs="Times New Roman"/>
      <w:b/>
      <w:color w:val="FFFFFF" w:themeColor="background1"/>
      <w:sz w:val="28"/>
      <w:szCs w:val="24"/>
      <w:shd w:val="clear" w:color="auto" w:fill="1F497D" w:themeFill="text2"/>
      <w:lang w:eastAsia="cs-CZ"/>
    </w:rPr>
  </w:style>
  <w:style w:type="paragraph" w:styleId="TOC2">
    <w:name w:val="toc 2"/>
    <w:basedOn w:val="Normal"/>
    <w:next w:val="Normal"/>
    <w:autoRedefine/>
    <w:uiPriority w:val="39"/>
    <w:unhideWhenUsed/>
    <w:rsid w:val="00A64C12"/>
    <w:pPr>
      <w:spacing w:after="100"/>
      <w:ind w:left="220"/>
    </w:pPr>
    <w:rPr>
      <w:rFonts w:ascii="Times New Roman" w:hAnsi="Times New Roman"/>
    </w:rPr>
  </w:style>
  <w:style w:type="paragraph" w:customStyle="1" w:styleId="otazky">
    <w:name w:val="otazky"/>
    <w:basedOn w:val="ZkladntextRIA"/>
    <w:link w:val="otazkyChar"/>
    <w:qFormat/>
    <w:rsid w:val="00E5419E"/>
    <w:pPr>
      <w:numPr>
        <w:numId w:val="7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288" w:lineRule="auto"/>
      <w:outlineLvl w:val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19E"/>
    <w:pPr>
      <w:outlineLvl w:val="9"/>
    </w:pPr>
    <w:rPr>
      <w:lang w:eastAsia="cs-CZ"/>
    </w:rPr>
  </w:style>
  <w:style w:type="character" w:customStyle="1" w:styleId="otazkyChar">
    <w:name w:val="otazky Char"/>
    <w:basedOn w:val="ZkladntextRIAChar"/>
    <w:link w:val="otazky"/>
    <w:rsid w:val="00E5419E"/>
    <w:rPr>
      <w:rFonts w:ascii="Times New Roman" w:eastAsia="Times New Roman" w:hAnsi="Times New Roman" w:cs="Times New Roman"/>
      <w:sz w:val="24"/>
      <w:szCs w:val="24"/>
      <w:shd w:val="clear" w:color="auto" w:fill="D9D9D9" w:themeFill="background1" w:themeFillShade="D9"/>
      <w:lang w:eastAsia="cs-CZ"/>
    </w:rPr>
  </w:style>
  <w:style w:type="paragraph" w:styleId="TOC3">
    <w:name w:val="toc 3"/>
    <w:basedOn w:val="Normal"/>
    <w:next w:val="Normal"/>
    <w:autoRedefine/>
    <w:uiPriority w:val="39"/>
    <w:unhideWhenUsed/>
    <w:rsid w:val="00E5419E"/>
    <w:pPr>
      <w:spacing w:after="100"/>
      <w:ind w:left="440"/>
    </w:pPr>
    <w:rPr>
      <w:rFonts w:eastAsiaTheme="minorEastAsia"/>
      <w:lang w:eastAsia="cs-CZ"/>
    </w:rPr>
  </w:style>
  <w:style w:type="paragraph" w:styleId="TOC4">
    <w:name w:val="toc 4"/>
    <w:basedOn w:val="Normal"/>
    <w:next w:val="Normal"/>
    <w:autoRedefine/>
    <w:uiPriority w:val="39"/>
    <w:unhideWhenUsed/>
    <w:rsid w:val="00E5419E"/>
    <w:pPr>
      <w:spacing w:after="100"/>
      <w:ind w:left="660"/>
    </w:pPr>
    <w:rPr>
      <w:rFonts w:eastAsiaTheme="minorEastAsia"/>
      <w:lang w:eastAsia="cs-CZ"/>
    </w:rPr>
  </w:style>
  <w:style w:type="paragraph" w:styleId="TOC5">
    <w:name w:val="toc 5"/>
    <w:basedOn w:val="Normal"/>
    <w:next w:val="Normal"/>
    <w:autoRedefine/>
    <w:uiPriority w:val="39"/>
    <w:unhideWhenUsed/>
    <w:rsid w:val="00E5419E"/>
    <w:pPr>
      <w:spacing w:after="100"/>
      <w:ind w:left="880"/>
    </w:pPr>
    <w:rPr>
      <w:rFonts w:eastAsiaTheme="minorEastAsia"/>
      <w:lang w:eastAsia="cs-CZ"/>
    </w:rPr>
  </w:style>
  <w:style w:type="paragraph" w:styleId="TOC6">
    <w:name w:val="toc 6"/>
    <w:basedOn w:val="Normal"/>
    <w:next w:val="Normal"/>
    <w:autoRedefine/>
    <w:uiPriority w:val="39"/>
    <w:unhideWhenUsed/>
    <w:rsid w:val="00E5419E"/>
    <w:pPr>
      <w:spacing w:after="100"/>
      <w:ind w:left="1100"/>
    </w:pPr>
    <w:rPr>
      <w:rFonts w:eastAsiaTheme="minorEastAsia"/>
      <w:lang w:eastAsia="cs-CZ"/>
    </w:rPr>
  </w:style>
  <w:style w:type="paragraph" w:styleId="TOC7">
    <w:name w:val="toc 7"/>
    <w:basedOn w:val="Normal"/>
    <w:next w:val="Normal"/>
    <w:autoRedefine/>
    <w:uiPriority w:val="39"/>
    <w:unhideWhenUsed/>
    <w:rsid w:val="00E5419E"/>
    <w:pPr>
      <w:spacing w:after="100"/>
      <w:ind w:left="1320"/>
    </w:pPr>
    <w:rPr>
      <w:rFonts w:eastAsiaTheme="minorEastAsia"/>
      <w:lang w:eastAsia="cs-CZ"/>
    </w:rPr>
  </w:style>
  <w:style w:type="paragraph" w:styleId="TOC8">
    <w:name w:val="toc 8"/>
    <w:basedOn w:val="Normal"/>
    <w:next w:val="Normal"/>
    <w:autoRedefine/>
    <w:uiPriority w:val="39"/>
    <w:unhideWhenUsed/>
    <w:rsid w:val="00E5419E"/>
    <w:pPr>
      <w:spacing w:after="100"/>
      <w:ind w:left="1540"/>
    </w:pPr>
    <w:rPr>
      <w:rFonts w:eastAsiaTheme="minorEastAsia"/>
      <w:lang w:eastAsia="cs-CZ"/>
    </w:rPr>
  </w:style>
  <w:style w:type="paragraph" w:styleId="TOC9">
    <w:name w:val="toc 9"/>
    <w:basedOn w:val="Normal"/>
    <w:next w:val="Normal"/>
    <w:autoRedefine/>
    <w:uiPriority w:val="39"/>
    <w:unhideWhenUsed/>
    <w:rsid w:val="00E5419E"/>
    <w:pPr>
      <w:spacing w:after="100"/>
      <w:ind w:left="1760"/>
    </w:pPr>
    <w:rPr>
      <w:rFonts w:eastAsiaTheme="minorEastAsia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E541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1">
    <w:name w:val="st1"/>
    <w:basedOn w:val="DefaultParagraphFont"/>
    <w:rsid w:val="009A5866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336D1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336D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22F9"/>
    <w:rPr>
      <w:color w:val="808080"/>
    </w:rPr>
  </w:style>
  <w:style w:type="paragraph" w:styleId="Revision">
    <w:name w:val="Revision"/>
    <w:hidden/>
    <w:uiPriority w:val="99"/>
    <w:semiHidden/>
    <w:rsid w:val="001F355B"/>
    <w:pPr>
      <w:spacing w:after="0" w:line="240" w:lineRule="auto"/>
    </w:pPr>
  </w:style>
  <w:style w:type="table" w:styleId="TableGrid">
    <w:name w:val="Table Grid"/>
    <w:basedOn w:val="TableNormal"/>
    <w:uiPriority w:val="39"/>
    <w:rsid w:val="00EE27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F668-E137-4FFE-BA77-1CC4B797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4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2023-11-03T09:13:00Z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