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1AAC" w14:textId="77777777" w:rsidR="0039227A" w:rsidRPr="00202509" w:rsidRDefault="00027466" w:rsidP="00316F9F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6316EA76" w14:textId="77777777" w:rsidR="0039227A" w:rsidRPr="00202509" w:rsidRDefault="00027466" w:rsidP="00316F9F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012D90A1" w14:textId="77777777" w:rsidR="0039227A" w:rsidRPr="00202509" w:rsidRDefault="00027466" w:rsidP="00316F9F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4C122935" w14:textId="77777777" w:rsidR="0039227A" w:rsidRPr="00202509" w:rsidRDefault="00027466" w:rsidP="00316F9F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6FC3C359" w14:textId="77777777" w:rsidR="0039227A" w:rsidRPr="00316F9F" w:rsidRDefault="00027466" w:rsidP="00316F9F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442A249E" w14:textId="77777777" w:rsidR="0039227A" w:rsidRPr="00180F7B" w:rsidRDefault="00027466" w:rsidP="00EB3446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1FCBA1D5" w14:textId="77777777" w:rsidR="0039227A" w:rsidRPr="00EB3446" w:rsidRDefault="00027466" w:rsidP="00EB3446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EB3446">
        <w:rPr>
          <w:rFonts w:ascii="Arial" w:hAnsi="Arial" w:cs="Arial"/>
          <w:b/>
          <w:sz w:val="24"/>
          <w:szCs w:val="24"/>
        </w:rPr>
        <w:t>OBECNÁ ČÁST</w:t>
      </w:r>
    </w:p>
    <w:p w14:paraId="620C3973" w14:textId="77777777" w:rsidR="0039227A" w:rsidRPr="007C0072" w:rsidRDefault="00027466" w:rsidP="007C0072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0A04DF26" w14:textId="77777777" w:rsidR="0039227A" w:rsidRPr="00937E8C" w:rsidRDefault="00027466" w:rsidP="007C0072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7C0072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7C0072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7C0072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77F17DA2" w14:textId="77777777" w:rsidR="0039227A" w:rsidRPr="007C0072" w:rsidRDefault="00027466" w:rsidP="007C0072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066D9EF9" w14:textId="77777777" w:rsidR="0039227A" w:rsidRPr="00937E8C" w:rsidRDefault="000E589F" w:rsidP="007C0072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Bingo</w:t>
      </w:r>
    </w:p>
    <w:p w14:paraId="36787852" w14:textId="77777777" w:rsidR="0039227A" w:rsidRPr="007C0072" w:rsidRDefault="00027466" w:rsidP="007C0072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46ACAEAA" w14:textId="77777777" w:rsidR="0039227A" w:rsidRPr="00937E8C" w:rsidRDefault="00027466" w:rsidP="007C0072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69B59788" w14:textId="77777777" w:rsidR="0039227A" w:rsidRPr="007C0072" w:rsidRDefault="00027466" w:rsidP="00316F9F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76832C32" w14:textId="77777777" w:rsidR="0039227A" w:rsidRPr="004E0F5A" w:rsidRDefault="00027466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21437AAB" w14:textId="77777777" w:rsidR="0039227A" w:rsidRPr="004E0F5A" w:rsidRDefault="00027466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34C5B961" w14:textId="77777777" w:rsidR="0039227A" w:rsidRPr="004E0F5A" w:rsidRDefault="00027466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</w:t>
      </w:r>
      <w:r w:rsidR="000E589F">
        <w:rPr>
          <w:rFonts w:ascii="Arial" w:hAnsi="Arial" w:cs="Arial"/>
          <w:sz w:val="24"/>
          <w:szCs w:val="24"/>
        </w:rPr>
        <w:t>ozsah technických parametrů pro </w:t>
      </w:r>
      <w:r w:rsidRPr="004E0F5A">
        <w:rPr>
          <w:rFonts w:ascii="Arial" w:hAnsi="Arial" w:cs="Arial"/>
          <w:sz w:val="24"/>
          <w:szCs w:val="24"/>
        </w:rPr>
        <w:t>zařízení, jejichž prostřednictvím jsou provozo</w:t>
      </w:r>
      <w:r w:rsidR="000E589F">
        <w:rPr>
          <w:rFonts w:ascii="Arial" w:hAnsi="Arial" w:cs="Arial"/>
          <w:sz w:val="24"/>
          <w:szCs w:val="24"/>
        </w:rPr>
        <w:t>vány hazardní hry, požadavků na </w:t>
      </w:r>
      <w:r w:rsidRPr="004E0F5A">
        <w:rPr>
          <w:rFonts w:ascii="Arial" w:hAnsi="Arial" w:cs="Arial"/>
          <w:sz w:val="24"/>
          <w:szCs w:val="24"/>
        </w:rPr>
        <w:t>ochranu a uchovávání herních a finančních dat a</w:t>
      </w:r>
      <w:r w:rsidR="000E589F">
        <w:rPr>
          <w:rFonts w:ascii="Arial" w:hAnsi="Arial" w:cs="Arial"/>
          <w:sz w:val="24"/>
          <w:szCs w:val="24"/>
        </w:rPr>
        <w:t xml:space="preserve"> jejich technické parametry, ve </w:t>
      </w:r>
      <w:r w:rsidRPr="004E0F5A">
        <w:rPr>
          <w:rFonts w:ascii="Arial" w:hAnsi="Arial" w:cs="Arial"/>
          <w:sz w:val="24"/>
          <w:szCs w:val="24"/>
        </w:rPr>
        <w:t>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20658E1D" w14:textId="77777777" w:rsidR="0039227A" w:rsidRPr="004E0F5A" w:rsidRDefault="00027466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7309BA23" w14:textId="77777777" w:rsidR="0039227A" w:rsidRPr="004E0F5A" w:rsidRDefault="00027466" w:rsidP="00316F9F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5736B51E" w14:textId="77777777" w:rsidR="0039227A" w:rsidRPr="007C0072" w:rsidRDefault="00027466" w:rsidP="007C0072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68CF2905" w14:textId="77777777" w:rsidR="0039227A" w:rsidRPr="00937E8C" w:rsidRDefault="00027466" w:rsidP="007C0072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6E659EF2" w14:textId="77777777" w:rsidR="0039227A" w:rsidRPr="00AE7DF8" w:rsidRDefault="00027466" w:rsidP="007C0072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4B8FACF7" w14:textId="77777777" w:rsidR="0039227A" w:rsidRPr="000F5BF0" w:rsidRDefault="00027466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61EB4DBB" w14:textId="77777777" w:rsidR="0039227A" w:rsidRDefault="00027466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1B11DC26" w14:textId="77777777" w:rsidR="0039227A" w:rsidRDefault="00027466" w:rsidP="00572DF2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 xml:space="preserve">možnost </w:t>
      </w:r>
      <w:r>
        <w:rPr>
          <w:rFonts w:ascii="Arial" w:hAnsi="Arial" w:cs="Arial"/>
          <w:sz w:val="24"/>
          <w:szCs w:val="24"/>
        </w:rPr>
        <w:lastRenderedPageBreak/>
        <w:t>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17374FC9" w14:textId="77777777" w:rsidR="0039227A" w:rsidRDefault="00027466" w:rsidP="00316F9F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 xml:space="preserve">Pokud provozovatel umožňuje nastavení hodnot sebeomezujících opatření společně pro více druhů, uvede následující formulaci a vyplní druhy hazardních her. Pokud nastavuje hodnoty opatření pouze pro </w:t>
      </w:r>
      <w:r w:rsidR="000E589F">
        <w:rPr>
          <w:rFonts w:ascii="Arial" w:hAnsi="Arial" w:cs="Arial"/>
          <w:sz w:val="24"/>
          <w:szCs w:val="24"/>
          <w:highlight w:val="cyan"/>
        </w:rPr>
        <w:t>bingo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následující druhy hazardních her: XXXX.</w:t>
      </w:r>
    </w:p>
    <w:p w14:paraId="567D4097" w14:textId="77777777" w:rsidR="0039227A" w:rsidRDefault="00A44919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Registrace není</w:t>
      </w:r>
      <w:r w:rsidR="00027466" w:rsidRPr="002D3C87">
        <w:rPr>
          <w:rFonts w:ascii="Arial" w:hAnsi="Arial" w:cs="Arial"/>
          <w:sz w:val="24"/>
          <w:szCs w:val="24"/>
        </w:rPr>
        <w:t xml:space="preserve"> dle ZHH podmínkou účasti na </w:t>
      </w:r>
      <w:r>
        <w:rPr>
          <w:rFonts w:ascii="Arial" w:hAnsi="Arial" w:cs="Arial"/>
          <w:sz w:val="24"/>
          <w:szCs w:val="24"/>
        </w:rPr>
        <w:t>bingu</w:t>
      </w:r>
      <w:r w:rsidR="00027466" w:rsidRPr="002D3C87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V případě, kdy provozovatel provádí r</w:t>
      </w:r>
      <w:r w:rsidR="00027466" w:rsidRPr="002D3C87">
        <w:rPr>
          <w:rFonts w:ascii="Arial" w:hAnsi="Arial" w:cs="Arial"/>
          <w:sz w:val="24"/>
          <w:szCs w:val="24"/>
        </w:rPr>
        <w:t>egistrac</w:t>
      </w:r>
      <w:r>
        <w:rPr>
          <w:rFonts w:ascii="Arial" w:hAnsi="Arial" w:cs="Arial"/>
          <w:sz w:val="24"/>
          <w:szCs w:val="24"/>
        </w:rPr>
        <w:t>i,</w:t>
      </w:r>
      <w:r w:rsidR="00027466" w:rsidRPr="002D3C87">
        <w:rPr>
          <w:rFonts w:ascii="Arial" w:hAnsi="Arial" w:cs="Arial"/>
          <w:sz w:val="24"/>
          <w:szCs w:val="24"/>
        </w:rPr>
        <w:t xml:space="preserve"> je</w:t>
      </w:r>
      <w:r>
        <w:rPr>
          <w:rFonts w:ascii="Arial" w:hAnsi="Arial" w:cs="Arial"/>
          <w:sz w:val="24"/>
          <w:szCs w:val="24"/>
        </w:rPr>
        <w:t xml:space="preserve"> registrace</w:t>
      </w:r>
      <w:r w:rsidR="00027466" w:rsidRPr="002D3C87">
        <w:rPr>
          <w:rFonts w:ascii="Arial" w:hAnsi="Arial" w:cs="Arial"/>
          <w:sz w:val="24"/>
          <w:szCs w:val="24"/>
        </w:rPr>
        <w:t xml:space="preserve"> dokončena okamžike</w:t>
      </w:r>
      <w:r>
        <w:rPr>
          <w:rFonts w:ascii="Arial" w:hAnsi="Arial" w:cs="Arial"/>
          <w:sz w:val="24"/>
          <w:szCs w:val="24"/>
        </w:rPr>
        <w:t>m zřízení uživatelského konta a </w:t>
      </w:r>
      <w:r w:rsidR="00027466" w:rsidRPr="002D3C87">
        <w:rPr>
          <w:rFonts w:ascii="Arial" w:hAnsi="Arial" w:cs="Arial"/>
          <w:sz w:val="24"/>
          <w:szCs w:val="24"/>
        </w:rPr>
        <w:t>přidělením přístupových údajů nebo jiného přístupového prostředku k němu.</w:t>
      </w:r>
    </w:p>
    <w:p w14:paraId="1E23CDF4" w14:textId="77777777" w:rsidR="0039227A" w:rsidRPr="00BB6D52" w:rsidRDefault="00027466" w:rsidP="00572DF2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</w:t>
      </w:r>
      <w:r w:rsidR="00A44919">
        <w:rPr>
          <w:rFonts w:ascii="Arial" w:hAnsi="Arial" w:cs="Arial"/>
          <w:sz w:val="24"/>
          <w:szCs w:val="24"/>
          <w:highlight w:val="cyan"/>
        </w:rPr>
        <w:t xml:space="preserve">(pokud ji provádí) 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3D2B6F">
        <w:rPr>
          <w:rFonts w:ascii="Arial" w:hAnsi="Arial" w:cs="Arial"/>
          <w:sz w:val="24"/>
          <w:szCs w:val="24"/>
          <w:highlight w:val="green"/>
        </w:rPr>
        <w:t>V důsledku registrace je účastníku hazardní hry po splnění všech zákonných podmínek zřízeno jedno uživatelské</w:t>
      </w:r>
      <w:r w:rsidR="00A44919">
        <w:rPr>
          <w:rFonts w:ascii="Arial" w:hAnsi="Arial" w:cs="Arial"/>
          <w:sz w:val="24"/>
          <w:szCs w:val="24"/>
          <w:highlight w:val="green"/>
        </w:rPr>
        <w:t xml:space="preserve"> konto k účasti i na </w:t>
      </w:r>
      <w:r w:rsidRPr="003D2B6F">
        <w:rPr>
          <w:rFonts w:ascii="Arial" w:hAnsi="Arial" w:cs="Arial"/>
          <w:sz w:val="24"/>
          <w:szCs w:val="24"/>
          <w:highlight w:val="green"/>
        </w:rPr>
        <w:t>dalších druzích provozovatelem provozovaných hazardních her.</w:t>
      </w:r>
      <w:r>
        <w:rPr>
          <w:rFonts w:ascii="Arial" w:hAnsi="Arial" w:cs="Arial"/>
          <w:sz w:val="24"/>
          <w:szCs w:val="24"/>
          <w:highlight w:val="green"/>
        </w:rPr>
        <w:t xml:space="preserve">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3D2B6F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na </w:t>
      </w:r>
      <w:r w:rsidR="00A44919">
        <w:rPr>
          <w:rFonts w:ascii="Arial" w:hAnsi="Arial" w:cs="Arial"/>
          <w:sz w:val="24"/>
          <w:szCs w:val="24"/>
          <w:highlight w:val="green"/>
        </w:rPr>
        <w:t>bingu</w:t>
      </w:r>
      <w:r w:rsidRPr="003D2B6F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</w:t>
      </w:r>
      <w:r>
        <w:rPr>
          <w:rFonts w:ascii="Arial" w:hAnsi="Arial" w:cs="Arial"/>
          <w:sz w:val="24"/>
          <w:szCs w:val="24"/>
          <w:highlight w:val="green"/>
        </w:rPr>
        <w:t xml:space="preserve"> ke konkrétnímu druhu hazardní</w:t>
      </w:r>
      <w:r w:rsidRPr="003D2B6F">
        <w:rPr>
          <w:rFonts w:ascii="Arial" w:hAnsi="Arial" w:cs="Arial"/>
          <w:sz w:val="24"/>
          <w:szCs w:val="24"/>
          <w:highlight w:val="green"/>
        </w:rPr>
        <w:t xml:space="preserve"> hry.</w:t>
      </w:r>
    </w:p>
    <w:p w14:paraId="5EA0CF19" w14:textId="77777777" w:rsidR="0039227A" w:rsidRDefault="00881A64" w:rsidP="00572DF2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>Provozovatel u</w:t>
      </w:r>
      <w:r w:rsidRPr="00881A64">
        <w:rPr>
          <w:rFonts w:ascii="Arial" w:hAnsi="Arial" w:cs="Arial"/>
          <w:sz w:val="24"/>
          <w:szCs w:val="24"/>
          <w:highlight w:val="cyan"/>
        </w:rPr>
        <w:t>vede, zda v důsledku registrace (pokud ji provádí) může převádět peněžní nebo hrací prostředky evidované na uživatelském kontu mezi dalšími jemu zřízenými uživatelskými konty pro provozování jiných hazardních her provozovatelem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, a to následující formulací: </w:t>
      </w:r>
      <w:r w:rsidR="00027466" w:rsidRPr="00BB6D52">
        <w:rPr>
          <w:rFonts w:ascii="Arial" w:hAnsi="Arial" w:cs="Arial"/>
          <w:sz w:val="24"/>
          <w:szCs w:val="24"/>
        </w:rPr>
        <w:t xml:space="preserve">Účastník hazardní hry </w:t>
      </w:r>
      <w:r w:rsidR="00027466" w:rsidRPr="003D2B6F">
        <w:rPr>
          <w:rFonts w:ascii="Arial" w:hAnsi="Arial" w:cs="Arial"/>
          <w:sz w:val="24"/>
          <w:szCs w:val="24"/>
          <w:highlight w:val="green"/>
        </w:rPr>
        <w:t>může/nemůže</w:t>
      </w:r>
      <w:r w:rsidR="00027466" w:rsidRPr="00BB6D52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5A35DA88" w14:textId="77777777" w:rsidR="0039227A" w:rsidRDefault="00027466" w:rsidP="00572DF2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</w:t>
      </w:r>
      <w:r w:rsidR="00881A64">
        <w:rPr>
          <w:rFonts w:ascii="Arial" w:hAnsi="Arial" w:cs="Arial"/>
          <w:sz w:val="24"/>
          <w:szCs w:val="24"/>
          <w:highlight w:val="cyan"/>
        </w:rPr>
        <w:t>yslu § 17e odst. 7 ZHH anebo na </w:t>
      </w:r>
      <w:r w:rsidRPr="00130E5B">
        <w:rPr>
          <w:rFonts w:ascii="Arial" w:hAnsi="Arial" w:cs="Arial"/>
          <w:sz w:val="24"/>
          <w:szCs w:val="24"/>
          <w:highlight w:val="cyan"/>
        </w:rPr>
        <w:t>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3D2B6F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</w:t>
      </w:r>
      <w:r w:rsidR="00881A64">
        <w:rPr>
          <w:rFonts w:ascii="Arial" w:hAnsi="Arial" w:cs="Arial"/>
          <w:sz w:val="24"/>
          <w:szCs w:val="24"/>
          <w:highlight w:val="green"/>
        </w:rPr>
        <w:t>bingu</w:t>
      </w:r>
      <w:r w:rsidRPr="003D2B6F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</w:t>
      </w:r>
      <w:r w:rsidRPr="003D2B6F">
        <w:rPr>
          <w:rFonts w:ascii="Arial" w:hAnsi="Arial" w:cs="Arial"/>
          <w:sz w:val="24"/>
          <w:szCs w:val="24"/>
          <w:highlight w:val="cyan"/>
        </w:rPr>
        <w:t xml:space="preserve"> </w:t>
      </w:r>
      <w:r>
        <w:rPr>
          <w:rFonts w:ascii="Arial" w:hAnsi="Arial" w:cs="Arial"/>
          <w:sz w:val="24"/>
          <w:szCs w:val="24"/>
          <w:highlight w:val="cyan"/>
        </w:rPr>
        <w:t xml:space="preserve">(var. 2) </w:t>
      </w:r>
      <w:r w:rsidRPr="00F11E9E">
        <w:rPr>
          <w:rFonts w:ascii="Arial" w:hAnsi="Arial" w:cs="Arial"/>
          <w:sz w:val="24"/>
          <w:szCs w:val="24"/>
          <w:highlight w:val="green"/>
        </w:rPr>
        <w:t xml:space="preserve">Uživatelské konto eviduje oddělené podúčty pro </w:t>
      </w:r>
      <w:r w:rsidR="00881A64">
        <w:rPr>
          <w:rFonts w:ascii="Arial" w:hAnsi="Arial" w:cs="Arial"/>
          <w:sz w:val="24"/>
          <w:szCs w:val="24"/>
          <w:highlight w:val="green"/>
        </w:rPr>
        <w:t>bingo</w:t>
      </w:r>
      <w:r w:rsidRPr="00F11E9E">
        <w:rPr>
          <w:rFonts w:ascii="Arial" w:hAnsi="Arial" w:cs="Arial"/>
          <w:sz w:val="24"/>
          <w:szCs w:val="24"/>
          <w:highlight w:val="green"/>
        </w:rPr>
        <w:t xml:space="preserve"> a</w:t>
      </w:r>
      <w:r w:rsidR="00881A64">
        <w:rPr>
          <w:rFonts w:ascii="Arial" w:hAnsi="Arial" w:cs="Arial"/>
          <w:sz w:val="24"/>
          <w:szCs w:val="24"/>
          <w:highlight w:val="green"/>
        </w:rPr>
        <w:t> </w:t>
      </w:r>
      <w:r w:rsidRPr="00F11E9E">
        <w:rPr>
          <w:rFonts w:ascii="Arial" w:hAnsi="Arial" w:cs="Arial"/>
          <w:sz w:val="24"/>
          <w:szCs w:val="24"/>
          <w:highlight w:val="green"/>
        </w:rPr>
        <w:t>ostatní druhy hazardních her provozovaných provozovatelem.</w:t>
      </w:r>
    </w:p>
    <w:p w14:paraId="4682F1B1" w14:textId="2ACEF38F" w:rsidR="0014637C" w:rsidRPr="00BB6D52" w:rsidRDefault="0014637C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5F0D7530" w14:textId="77777777" w:rsidR="0039227A" w:rsidRPr="000F5BF0" w:rsidRDefault="00027466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22558DDA" w14:textId="77777777" w:rsidR="0039227A" w:rsidRDefault="00027466" w:rsidP="00435CB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Způsob zjištění okolnosti, jež určuje výhru, je upraven ve zvláštní části herního plánu ve vztahu ke každé</w:t>
      </w:r>
      <w:r w:rsidR="00881A64">
        <w:rPr>
          <w:rFonts w:ascii="Arial" w:hAnsi="Arial" w:cs="Arial"/>
          <w:sz w:val="24"/>
          <w:szCs w:val="24"/>
        </w:rPr>
        <w:t>mu</w:t>
      </w:r>
      <w:r>
        <w:rPr>
          <w:rFonts w:ascii="Arial" w:hAnsi="Arial" w:cs="Arial"/>
          <w:sz w:val="24"/>
          <w:szCs w:val="24"/>
        </w:rPr>
        <w:t xml:space="preserve"> jednotlivé</w:t>
      </w:r>
      <w:r w:rsidR="00881A64">
        <w:rPr>
          <w:rFonts w:ascii="Arial" w:hAnsi="Arial" w:cs="Arial"/>
          <w:sz w:val="24"/>
          <w:szCs w:val="24"/>
        </w:rPr>
        <w:t>mu bingu</w:t>
      </w:r>
      <w:r>
        <w:rPr>
          <w:rFonts w:ascii="Arial" w:hAnsi="Arial" w:cs="Arial"/>
          <w:sz w:val="24"/>
          <w:szCs w:val="24"/>
        </w:rPr>
        <w:t xml:space="preserve">. </w:t>
      </w:r>
      <w:r w:rsidR="00881A64" w:rsidRPr="00121595">
        <w:rPr>
          <w:rFonts w:ascii="Arial" w:hAnsi="Arial" w:cs="Arial"/>
          <w:sz w:val="24"/>
          <w:szCs w:val="24"/>
        </w:rPr>
        <w:t>Výhra je podmíněna dosažením předem stanoveného vzorce na sázkovém tiketu na zákl</w:t>
      </w:r>
      <w:r w:rsidR="00881A64">
        <w:rPr>
          <w:rFonts w:ascii="Arial" w:hAnsi="Arial" w:cs="Arial"/>
          <w:sz w:val="24"/>
          <w:szCs w:val="24"/>
        </w:rPr>
        <w:t>adě postupného losování čísel a </w:t>
      </w:r>
      <w:r w:rsidR="00881A64" w:rsidRPr="00121595">
        <w:rPr>
          <w:rFonts w:ascii="Arial" w:hAnsi="Arial" w:cs="Arial"/>
          <w:sz w:val="24"/>
          <w:szCs w:val="24"/>
        </w:rPr>
        <w:t>oznámením této skutečnosti provozovateli jím stanoveným způsobem. Způsob oznámení je upraven ve zvláštní části herního plánu</w:t>
      </w:r>
      <w:r>
        <w:rPr>
          <w:rFonts w:ascii="Arial" w:hAnsi="Arial" w:cs="Arial"/>
          <w:sz w:val="24"/>
          <w:szCs w:val="24"/>
        </w:rPr>
        <w:t>.</w:t>
      </w:r>
    </w:p>
    <w:p w14:paraId="472FAEC0" w14:textId="77777777" w:rsidR="0039227A" w:rsidRPr="000F5BF0" w:rsidRDefault="00027466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0B4FCB54" w14:textId="77777777" w:rsidR="0039227A" w:rsidRPr="00F60D55" w:rsidRDefault="00027466" w:rsidP="0035014F">
      <w:pPr>
        <w:jc w:val="both"/>
        <w:rPr>
          <w:rStyle w:val="Odkazintenzivn"/>
        </w:rPr>
      </w:pPr>
      <w:r>
        <w:rPr>
          <w:rFonts w:ascii="Arial" w:hAnsi="Arial" w:cs="Arial"/>
          <w:sz w:val="24"/>
          <w:szCs w:val="24"/>
        </w:rPr>
        <w:lastRenderedPageBreak/>
        <w:t xml:space="preserve">Výše výhry je upravena </w:t>
      </w:r>
      <w:r w:rsidRPr="009B3D55">
        <w:rPr>
          <w:rFonts w:ascii="Arial" w:hAnsi="Arial" w:cs="Arial"/>
          <w:sz w:val="24"/>
          <w:szCs w:val="24"/>
        </w:rPr>
        <w:t>ve zvláštní části herního plánu ve vztahu ke každé</w:t>
      </w:r>
      <w:r w:rsidR="00881A64">
        <w:rPr>
          <w:rFonts w:ascii="Arial" w:hAnsi="Arial" w:cs="Arial"/>
          <w:sz w:val="24"/>
          <w:szCs w:val="24"/>
        </w:rPr>
        <w:t>mu</w:t>
      </w:r>
      <w:r w:rsidRPr="009B3D55">
        <w:rPr>
          <w:rFonts w:ascii="Arial" w:hAnsi="Arial" w:cs="Arial"/>
          <w:sz w:val="24"/>
          <w:szCs w:val="24"/>
        </w:rPr>
        <w:t xml:space="preserve"> jednotlivé</w:t>
      </w:r>
      <w:r w:rsidR="00881A64">
        <w:rPr>
          <w:rFonts w:ascii="Arial" w:hAnsi="Arial" w:cs="Arial"/>
          <w:sz w:val="24"/>
          <w:szCs w:val="24"/>
        </w:rPr>
        <w:t>mu bingu</w:t>
      </w:r>
      <w:r w:rsidRPr="009B3D55">
        <w:rPr>
          <w:rFonts w:ascii="Arial" w:hAnsi="Arial" w:cs="Arial"/>
          <w:sz w:val="24"/>
          <w:szCs w:val="24"/>
        </w:rPr>
        <w:t>.</w:t>
      </w:r>
    </w:p>
    <w:p w14:paraId="0F380540" w14:textId="77777777" w:rsidR="0039227A" w:rsidRPr="007B23B1" w:rsidRDefault="00027466" w:rsidP="007B23B1">
      <w:pPr>
        <w:pStyle w:val="Odstavecseseznamem"/>
        <w:keepNext/>
        <w:numPr>
          <w:ilvl w:val="0"/>
          <w:numId w:val="1"/>
        </w:numPr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732E1069" w14:textId="77777777" w:rsidR="0039227A" w:rsidRPr="000F5BF0" w:rsidRDefault="00027466" w:rsidP="00480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vyplatí výhru bez zbytečného odkladu, nejpozději do 30 dnů ode dne jejího vyhodnocení.</w:t>
      </w:r>
      <w:r w:rsidRPr="000F5BF0">
        <w:rPr>
          <w:rFonts w:ascii="Arial" w:hAnsi="Arial" w:cs="Arial"/>
          <w:sz w:val="24"/>
          <w:szCs w:val="24"/>
        </w:rPr>
        <w:t xml:space="preserve">  </w:t>
      </w:r>
    </w:p>
    <w:p w14:paraId="493873C5" w14:textId="77777777" w:rsidR="0039227A" w:rsidRDefault="00027466" w:rsidP="007B23B1">
      <w:pPr>
        <w:jc w:val="both"/>
        <w:rPr>
          <w:rFonts w:ascii="Arial" w:hAnsi="Arial" w:cs="Arial"/>
          <w:sz w:val="24"/>
          <w:szCs w:val="24"/>
        </w:rPr>
      </w:pPr>
      <w:r w:rsidRPr="00A5481E">
        <w:rPr>
          <w:rFonts w:ascii="Arial" w:hAnsi="Arial" w:cs="Arial"/>
          <w:sz w:val="24"/>
          <w:szCs w:val="24"/>
        </w:rPr>
        <w:t>Výplata peněžních prostředků z uživatelského kon</w:t>
      </w:r>
      <w:r w:rsidR="00881A64">
        <w:rPr>
          <w:rFonts w:ascii="Arial" w:hAnsi="Arial" w:cs="Arial"/>
          <w:sz w:val="24"/>
          <w:szCs w:val="24"/>
        </w:rPr>
        <w:t>ta bude provedena bezúplatně na </w:t>
      </w:r>
      <w:r w:rsidRPr="00A5481E">
        <w:rPr>
          <w:rFonts w:ascii="Arial" w:hAnsi="Arial" w:cs="Arial"/>
          <w:sz w:val="24"/>
          <w:szCs w:val="24"/>
        </w:rPr>
        <w:t xml:space="preserve">základě žádosti účastníka hazardní hry, a to na všech místech, kde jsou přijímány vklady peněžních </w:t>
      </w:r>
      <w:r>
        <w:rPr>
          <w:rFonts w:ascii="Arial" w:hAnsi="Arial" w:cs="Arial"/>
          <w:sz w:val="24"/>
          <w:szCs w:val="24"/>
        </w:rPr>
        <w:t xml:space="preserve">prostředků na uživatelské konto. </w:t>
      </w:r>
      <w:r w:rsidRPr="00A5481E">
        <w:rPr>
          <w:rFonts w:ascii="Arial" w:hAnsi="Arial" w:cs="Arial"/>
          <w:sz w:val="24"/>
          <w:szCs w:val="24"/>
        </w:rPr>
        <w:t xml:space="preserve">Výplata bude provedena bezodkladně, z omluvitelného důvodu nejpozději do 60 dnů ode dne, kdy žádost provozovatel obdržel. </w:t>
      </w:r>
    </w:p>
    <w:p w14:paraId="15BE2E80" w14:textId="77777777" w:rsidR="0039227A" w:rsidRPr="0014637C" w:rsidRDefault="00027466" w:rsidP="00B064A5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14637C">
        <w:rPr>
          <w:rFonts w:ascii="Arial" w:hAnsi="Arial" w:cs="Arial"/>
          <w:b/>
          <w:sz w:val="24"/>
          <w:szCs w:val="24"/>
        </w:rPr>
        <w:t>Další informace</w:t>
      </w:r>
    </w:p>
    <w:p w14:paraId="06343414" w14:textId="53117B61" w:rsidR="0039227A" w:rsidRPr="0039227A" w:rsidRDefault="0039227A" w:rsidP="00EB3446">
      <w:pPr>
        <w:jc w:val="both"/>
        <w:rPr>
          <w:rFonts w:ascii="Arial" w:hAnsi="Arial" w:cs="Arial"/>
          <w:sz w:val="24"/>
          <w:szCs w:val="24"/>
        </w:rPr>
      </w:pPr>
      <w:r w:rsidRPr="0039227A">
        <w:rPr>
          <w:rFonts w:ascii="Arial" w:hAnsi="Arial" w:cs="Arial"/>
          <w:sz w:val="24"/>
          <w:szCs w:val="24"/>
        </w:rPr>
        <w:t xml:space="preserve">Herní měnou je </w:t>
      </w:r>
      <w:r w:rsidRPr="0039227A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22523B">
        <w:rPr>
          <w:rFonts w:ascii="Arial" w:hAnsi="Arial" w:cs="Arial"/>
          <w:sz w:val="24"/>
          <w:szCs w:val="24"/>
          <w:highlight w:val="cyan"/>
        </w:rPr>
        <w:t>bingo</w:t>
      </w:r>
      <w:r w:rsidRPr="0039227A">
        <w:rPr>
          <w:rFonts w:ascii="Arial" w:hAnsi="Arial" w:cs="Arial"/>
          <w:sz w:val="24"/>
          <w:szCs w:val="24"/>
          <w:highlight w:val="cyan"/>
        </w:rPr>
        <w:t>.</w:t>
      </w:r>
    </w:p>
    <w:p w14:paraId="364F63D9" w14:textId="497770EE" w:rsidR="0039227A" w:rsidRPr="00B064A5" w:rsidRDefault="00027466" w:rsidP="00EB3446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V této části může žadatel uvést další obecné informace, které se dotýkají daného druhu hazardní hry a jejího provozování, a které je nutné uvádět v herním plánu. Neuvádí se informace či pravidla, </w:t>
      </w:r>
      <w:r>
        <w:rPr>
          <w:rFonts w:ascii="Arial" w:hAnsi="Arial" w:cs="Arial"/>
          <w:sz w:val="24"/>
          <w:szCs w:val="24"/>
          <w:highlight w:val="cyan"/>
        </w:rPr>
        <w:t>která vyplývají přímo ze zákon</w:t>
      </w:r>
      <w:r w:rsidR="00EB3446">
        <w:rPr>
          <w:rFonts w:ascii="Arial" w:hAnsi="Arial" w:cs="Arial"/>
          <w:sz w:val="24"/>
          <w:szCs w:val="24"/>
          <w:highlight w:val="cyan"/>
        </w:rPr>
        <w:t>a.</w:t>
      </w:r>
    </w:p>
    <w:sectPr w:rsidR="0039227A" w:rsidRPr="00B064A5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8D69F" w14:textId="77777777" w:rsidR="00027466" w:rsidRDefault="00027466">
      <w:pPr>
        <w:spacing w:after="0" w:line="240" w:lineRule="auto"/>
      </w:pPr>
      <w:r>
        <w:separator/>
      </w:r>
    </w:p>
  </w:endnote>
  <w:endnote w:type="continuationSeparator" w:id="0">
    <w:p w14:paraId="3A7222E1" w14:textId="77777777" w:rsidR="00027466" w:rsidRDefault="00027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0625" w14:textId="77777777" w:rsidR="0039227A" w:rsidRDefault="0039227A">
    <w:pPr>
      <w:pStyle w:val="Zpat"/>
      <w:jc w:val="center"/>
    </w:pPr>
  </w:p>
  <w:p w14:paraId="754F7708" w14:textId="77777777" w:rsidR="0039227A" w:rsidRDefault="0039227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36F92" w14:textId="77777777" w:rsidR="00027466" w:rsidRDefault="00027466">
      <w:pPr>
        <w:spacing w:after="0" w:line="240" w:lineRule="auto"/>
      </w:pPr>
      <w:r>
        <w:separator/>
      </w:r>
    </w:p>
  </w:footnote>
  <w:footnote w:type="continuationSeparator" w:id="0">
    <w:p w14:paraId="236047CB" w14:textId="77777777" w:rsidR="00027466" w:rsidRDefault="00027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0B"/>
    <w:multiLevelType w:val="multilevel"/>
    <w:tmpl w:val="73924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105A7F"/>
    <w:multiLevelType w:val="hybridMultilevel"/>
    <w:tmpl w:val="0FBE2C52"/>
    <w:lvl w:ilvl="0" w:tplc="CF5CB8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A7C2F2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FFE48E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30C1F4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C486C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4F64A0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7060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C2323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FACB75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114E3C"/>
    <w:multiLevelType w:val="hybridMultilevel"/>
    <w:tmpl w:val="25940D34"/>
    <w:lvl w:ilvl="0" w:tplc="83F01A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765DF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502BDE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336AE0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7ED3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682EF0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50DA0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61C3FC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D0146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60EA9"/>
    <w:multiLevelType w:val="hybridMultilevel"/>
    <w:tmpl w:val="09D212B8"/>
    <w:lvl w:ilvl="0" w:tplc="5EC04C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F878B0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28AC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9AA4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BE92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E6C1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EEB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1A7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4849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4213"/>
    <w:multiLevelType w:val="hybridMultilevel"/>
    <w:tmpl w:val="E0247FB2"/>
    <w:lvl w:ilvl="0" w:tplc="F3E68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8024B8" w:tentative="1">
      <w:start w:val="1"/>
      <w:numFmt w:val="lowerLetter"/>
      <w:lvlText w:val="%2."/>
      <w:lvlJc w:val="left"/>
      <w:pPr>
        <w:ind w:left="1080" w:hanging="360"/>
      </w:pPr>
    </w:lvl>
    <w:lvl w:ilvl="2" w:tplc="FBFE0C2A" w:tentative="1">
      <w:start w:val="1"/>
      <w:numFmt w:val="lowerRoman"/>
      <w:lvlText w:val="%3."/>
      <w:lvlJc w:val="right"/>
      <w:pPr>
        <w:ind w:left="1800" w:hanging="180"/>
      </w:pPr>
    </w:lvl>
    <w:lvl w:ilvl="3" w:tplc="1FBE435C" w:tentative="1">
      <w:start w:val="1"/>
      <w:numFmt w:val="decimal"/>
      <w:lvlText w:val="%4."/>
      <w:lvlJc w:val="left"/>
      <w:pPr>
        <w:ind w:left="2520" w:hanging="360"/>
      </w:pPr>
    </w:lvl>
    <w:lvl w:ilvl="4" w:tplc="7D20B526" w:tentative="1">
      <w:start w:val="1"/>
      <w:numFmt w:val="lowerLetter"/>
      <w:lvlText w:val="%5."/>
      <w:lvlJc w:val="left"/>
      <w:pPr>
        <w:ind w:left="3240" w:hanging="360"/>
      </w:pPr>
    </w:lvl>
    <w:lvl w:ilvl="5" w:tplc="F92004CA" w:tentative="1">
      <w:start w:val="1"/>
      <w:numFmt w:val="lowerRoman"/>
      <w:lvlText w:val="%6."/>
      <w:lvlJc w:val="right"/>
      <w:pPr>
        <w:ind w:left="3960" w:hanging="180"/>
      </w:pPr>
    </w:lvl>
    <w:lvl w:ilvl="6" w:tplc="344E25D6" w:tentative="1">
      <w:start w:val="1"/>
      <w:numFmt w:val="decimal"/>
      <w:lvlText w:val="%7."/>
      <w:lvlJc w:val="left"/>
      <w:pPr>
        <w:ind w:left="4680" w:hanging="360"/>
      </w:pPr>
    </w:lvl>
    <w:lvl w:ilvl="7" w:tplc="F37432DC" w:tentative="1">
      <w:start w:val="1"/>
      <w:numFmt w:val="lowerLetter"/>
      <w:lvlText w:val="%8."/>
      <w:lvlJc w:val="left"/>
      <w:pPr>
        <w:ind w:left="5400" w:hanging="360"/>
      </w:pPr>
    </w:lvl>
    <w:lvl w:ilvl="8" w:tplc="B34E4BF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86E88"/>
    <w:multiLevelType w:val="hybridMultilevel"/>
    <w:tmpl w:val="3648F6FA"/>
    <w:lvl w:ilvl="0" w:tplc="3A426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3A9A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9E48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F0B3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3AE4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7846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700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BC8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96A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30D71"/>
    <w:multiLevelType w:val="hybridMultilevel"/>
    <w:tmpl w:val="B93EFEF8"/>
    <w:lvl w:ilvl="0" w:tplc="B2588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743A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6260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48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D099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E27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CD1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0E0E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8CD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76C20"/>
    <w:multiLevelType w:val="hybridMultilevel"/>
    <w:tmpl w:val="6290BC9E"/>
    <w:lvl w:ilvl="0" w:tplc="E7D6C31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A023EF6" w:tentative="1">
      <w:start w:val="1"/>
      <w:numFmt w:val="lowerLetter"/>
      <w:lvlText w:val="%2."/>
      <w:lvlJc w:val="left"/>
      <w:pPr>
        <w:ind w:left="1080" w:hanging="360"/>
      </w:pPr>
    </w:lvl>
    <w:lvl w:ilvl="2" w:tplc="D4F65FFA" w:tentative="1">
      <w:start w:val="1"/>
      <w:numFmt w:val="lowerRoman"/>
      <w:lvlText w:val="%3."/>
      <w:lvlJc w:val="right"/>
      <w:pPr>
        <w:ind w:left="1800" w:hanging="180"/>
      </w:pPr>
    </w:lvl>
    <w:lvl w:ilvl="3" w:tplc="6B8EB780" w:tentative="1">
      <w:start w:val="1"/>
      <w:numFmt w:val="decimal"/>
      <w:lvlText w:val="%4."/>
      <w:lvlJc w:val="left"/>
      <w:pPr>
        <w:ind w:left="2520" w:hanging="360"/>
      </w:pPr>
    </w:lvl>
    <w:lvl w:ilvl="4" w:tplc="2FFAE338" w:tentative="1">
      <w:start w:val="1"/>
      <w:numFmt w:val="lowerLetter"/>
      <w:lvlText w:val="%5."/>
      <w:lvlJc w:val="left"/>
      <w:pPr>
        <w:ind w:left="3240" w:hanging="360"/>
      </w:pPr>
    </w:lvl>
    <w:lvl w:ilvl="5" w:tplc="86BC7452" w:tentative="1">
      <w:start w:val="1"/>
      <w:numFmt w:val="lowerRoman"/>
      <w:lvlText w:val="%6."/>
      <w:lvlJc w:val="right"/>
      <w:pPr>
        <w:ind w:left="3960" w:hanging="180"/>
      </w:pPr>
    </w:lvl>
    <w:lvl w:ilvl="6" w:tplc="CA105FA6" w:tentative="1">
      <w:start w:val="1"/>
      <w:numFmt w:val="decimal"/>
      <w:lvlText w:val="%7."/>
      <w:lvlJc w:val="left"/>
      <w:pPr>
        <w:ind w:left="4680" w:hanging="360"/>
      </w:pPr>
    </w:lvl>
    <w:lvl w:ilvl="7" w:tplc="D8C6DF32" w:tentative="1">
      <w:start w:val="1"/>
      <w:numFmt w:val="lowerLetter"/>
      <w:lvlText w:val="%8."/>
      <w:lvlJc w:val="left"/>
      <w:pPr>
        <w:ind w:left="5400" w:hanging="360"/>
      </w:pPr>
    </w:lvl>
    <w:lvl w:ilvl="8" w:tplc="260E6C42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7759047">
    <w:abstractNumId w:val="4"/>
  </w:num>
  <w:num w:numId="2" w16cid:durableId="1923563310">
    <w:abstractNumId w:val="0"/>
  </w:num>
  <w:num w:numId="3" w16cid:durableId="1252810902">
    <w:abstractNumId w:val="6"/>
  </w:num>
  <w:num w:numId="4" w16cid:durableId="54742403">
    <w:abstractNumId w:val="3"/>
  </w:num>
  <w:num w:numId="5" w16cid:durableId="974412451">
    <w:abstractNumId w:val="7"/>
  </w:num>
  <w:num w:numId="6" w16cid:durableId="944271577">
    <w:abstractNumId w:val="5"/>
  </w:num>
  <w:num w:numId="7" w16cid:durableId="1927498634">
    <w:abstractNumId w:val="1"/>
  </w:num>
  <w:num w:numId="8" w16cid:durableId="1433741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99"/>
    <w:rsid w:val="00027466"/>
    <w:rsid w:val="000E589F"/>
    <w:rsid w:val="0014637C"/>
    <w:rsid w:val="00196ECF"/>
    <w:rsid w:val="0022523B"/>
    <w:rsid w:val="0039227A"/>
    <w:rsid w:val="00447444"/>
    <w:rsid w:val="00624121"/>
    <w:rsid w:val="00881A64"/>
    <w:rsid w:val="00A44919"/>
    <w:rsid w:val="00B3189D"/>
    <w:rsid w:val="00D66999"/>
    <w:rsid w:val="00E2058E"/>
    <w:rsid w:val="00E36256"/>
    <w:rsid w:val="00EB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C442"/>
  <w15:docId w15:val="{BAFB0935-6C51-4F60-9D4B-955B81D71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7E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237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37E8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E24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24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24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24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24D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intenzivn">
    <w:name w:val="Intense Reference"/>
    <w:basedOn w:val="Standardnpsmoodstavce"/>
    <w:uiPriority w:val="32"/>
    <w:qFormat/>
    <w:rsid w:val="00F60D55"/>
    <w:rPr>
      <w:b/>
      <w:bCs/>
      <w:smallCaps/>
      <w:color w:val="5B9BD5" w:themeColor="accent1"/>
      <w:spacing w:val="5"/>
    </w:rPr>
  </w:style>
  <w:style w:type="paragraph" w:styleId="Zhlav">
    <w:name w:val="header"/>
    <w:basedOn w:val="Normln"/>
    <w:link w:val="ZhlavChar"/>
    <w:uiPriority w:val="99"/>
    <w:unhideWhenUsed/>
    <w:rsid w:val="0031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6F9F"/>
  </w:style>
  <w:style w:type="paragraph" w:styleId="Zpat">
    <w:name w:val="footer"/>
    <w:basedOn w:val="Normln"/>
    <w:link w:val="ZpatChar"/>
    <w:uiPriority w:val="99"/>
    <w:unhideWhenUsed/>
    <w:rsid w:val="0031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6F9F"/>
  </w:style>
  <w:style w:type="paragraph" w:styleId="Revize">
    <w:name w:val="Revision"/>
    <w:hidden/>
    <w:uiPriority w:val="99"/>
    <w:semiHidden/>
    <w:rsid w:val="00E362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8A0BB-9D78-482F-8A6E-776E07D52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859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Půlpánová Blanka</dc:creator>
  <cp:lastModifiedBy>Mašková Barbora</cp:lastModifiedBy>
  <cp:revision>8</cp:revision>
  <dcterms:created xsi:type="dcterms:W3CDTF">2025-10-09T06:19:00Z</dcterms:created>
  <dcterms:modified xsi:type="dcterms:W3CDTF">2025-12-17T11:24:00Z</dcterms:modified>
</cp:coreProperties>
</file>