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DE090" w14:textId="77777777" w:rsidR="00944FC3" w:rsidRPr="00202509" w:rsidRDefault="000634FF" w:rsidP="00B11F54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>Vysvětlivky ke vzoru (odmažte)</w:t>
      </w:r>
    </w:p>
    <w:p w14:paraId="115CE3CF" w14:textId="77777777" w:rsidR="00944FC3" w:rsidRPr="00202509" w:rsidRDefault="000634FF" w:rsidP="00B11F54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 xml:space="preserve">Modře </w:t>
      </w:r>
      <w:r w:rsidRPr="00202509">
        <w:rPr>
          <w:i/>
        </w:rPr>
        <w:t xml:space="preserve">– vždy vymažte, vysvětlení a pokyny pro </w:t>
      </w:r>
      <w:r>
        <w:rPr>
          <w:i/>
        </w:rPr>
        <w:t>žadatele</w:t>
      </w:r>
    </w:p>
    <w:p w14:paraId="339C3A77" w14:textId="77777777" w:rsidR="00944FC3" w:rsidRPr="00202509" w:rsidRDefault="000634FF" w:rsidP="00B11F54">
      <w:pPr>
        <w:spacing w:after="0"/>
        <w:jc w:val="both"/>
        <w:rPr>
          <w:i/>
        </w:rPr>
      </w:pPr>
      <w:r w:rsidRPr="00202509">
        <w:rPr>
          <w:i/>
          <w:highlight w:val="yellow"/>
        </w:rPr>
        <w:t xml:space="preserve">Žlutě </w:t>
      </w:r>
      <w:r w:rsidRPr="00202509">
        <w:rPr>
          <w:i/>
        </w:rPr>
        <w:t xml:space="preserve">– </w:t>
      </w:r>
      <w:r>
        <w:rPr>
          <w:i/>
        </w:rPr>
        <w:t>žadatel doplní konkrétní informace</w:t>
      </w:r>
    </w:p>
    <w:p w14:paraId="0B7BBEE6" w14:textId="77777777" w:rsidR="00944FC3" w:rsidRPr="00202509" w:rsidRDefault="000634FF" w:rsidP="00B11F54">
      <w:pPr>
        <w:spacing w:after="0"/>
        <w:jc w:val="both"/>
        <w:rPr>
          <w:i/>
        </w:rPr>
      </w:pPr>
      <w:r w:rsidRPr="00202509">
        <w:rPr>
          <w:i/>
          <w:highlight w:val="green"/>
        </w:rPr>
        <w:t>Zeleně</w:t>
      </w:r>
      <w:r w:rsidRPr="00202509">
        <w:rPr>
          <w:i/>
        </w:rPr>
        <w:t xml:space="preserve"> – variantní výběr, vyberte jednu </w:t>
      </w:r>
      <w:r>
        <w:rPr>
          <w:i/>
        </w:rPr>
        <w:t>nebo více</w:t>
      </w:r>
      <w:r w:rsidRPr="00202509">
        <w:rPr>
          <w:i/>
        </w:rPr>
        <w:t> variant, zbylé vymažte</w:t>
      </w:r>
    </w:p>
    <w:p w14:paraId="255744F7" w14:textId="77777777" w:rsidR="00944FC3" w:rsidRPr="00B11F54" w:rsidRDefault="000634FF" w:rsidP="00B11F54">
      <w:pPr>
        <w:spacing w:after="240"/>
        <w:jc w:val="both"/>
        <w:rPr>
          <w:i/>
        </w:rPr>
      </w:pPr>
      <w:r w:rsidRPr="00202509">
        <w:rPr>
          <w:i/>
        </w:rPr>
        <w:t xml:space="preserve">Celému </w:t>
      </w:r>
      <w:r>
        <w:rPr>
          <w:i/>
        </w:rPr>
        <w:t>hernímu plánu</w:t>
      </w:r>
      <w:r w:rsidRPr="00202509">
        <w:rPr>
          <w:i/>
        </w:rPr>
        <w:t xml:space="preserve"> je však nutné věnovat pozornost, aby text odpovídal </w:t>
      </w:r>
      <w:r>
        <w:rPr>
          <w:i/>
        </w:rPr>
        <w:t>reálnému stavu, v jakém bude žadatel provozovat</w:t>
      </w:r>
    </w:p>
    <w:p w14:paraId="1FFD6F2E" w14:textId="77777777" w:rsidR="00944FC3" w:rsidRPr="00180F7B" w:rsidRDefault="000634FF" w:rsidP="00944FC3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HERNÍ PLÁN</w:t>
      </w:r>
    </w:p>
    <w:p w14:paraId="589EFB12" w14:textId="77777777" w:rsidR="00944FC3" w:rsidRPr="00944FC3" w:rsidRDefault="000634FF" w:rsidP="00944FC3">
      <w:pPr>
        <w:jc w:val="center"/>
        <w:rPr>
          <w:rFonts w:ascii="Arial" w:hAnsi="Arial" w:cs="Arial"/>
          <w:b/>
          <w:sz w:val="24"/>
          <w:szCs w:val="24"/>
        </w:rPr>
      </w:pPr>
      <w:r w:rsidRPr="00944FC3">
        <w:rPr>
          <w:rFonts w:ascii="Arial" w:hAnsi="Arial" w:cs="Arial"/>
          <w:b/>
          <w:sz w:val="24"/>
          <w:szCs w:val="24"/>
        </w:rPr>
        <w:t>OBECNÁ ČÁST</w:t>
      </w:r>
    </w:p>
    <w:p w14:paraId="6612C6B1" w14:textId="77777777" w:rsidR="00944FC3" w:rsidRPr="00B11F54" w:rsidRDefault="000634FF" w:rsidP="00B11F54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Provozovatel</w:t>
      </w:r>
      <w:r w:rsidRPr="00B11F54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</w:p>
    <w:p w14:paraId="795D5661" w14:textId="77777777" w:rsidR="00944FC3" w:rsidRPr="00B11F54" w:rsidRDefault="000634FF" w:rsidP="00B11F54">
      <w:pPr>
        <w:spacing w:after="12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B11F54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název obchodní společnosti,</w:t>
      </w:r>
      <w:r w:rsidRPr="00B11F54">
        <w:rPr>
          <w:rFonts w:ascii="Arial" w:eastAsia="Times New Roman" w:hAnsi="Arial" w:cs="Arial"/>
          <w:b/>
          <w:bCs/>
          <w:color w:val="000000"/>
          <w:sz w:val="24"/>
          <w:szCs w:val="24"/>
          <w:highlight w:val="yellow"/>
          <w:lang w:eastAsia="cs-CZ"/>
        </w:rPr>
        <w:t xml:space="preserve"> </w:t>
      </w:r>
      <w:r w:rsidRPr="00B11F54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IČO, nebo jiný obdobný údaj u zahraničních provozovatelů, adresa sídla</w:t>
      </w:r>
    </w:p>
    <w:p w14:paraId="0CC7BE87" w14:textId="77777777" w:rsidR="00944FC3" w:rsidRPr="00DB4E56" w:rsidRDefault="000634FF" w:rsidP="00DB4E56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Druh hazardní hry</w:t>
      </w:r>
    </w:p>
    <w:p w14:paraId="65E4FB1C" w14:textId="77777777" w:rsidR="00944FC3" w:rsidRPr="00937E8C" w:rsidRDefault="006F1CA6" w:rsidP="00DB4E56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Bingo </w:t>
      </w:r>
    </w:p>
    <w:p w14:paraId="1C82589C" w14:textId="77777777" w:rsidR="00944FC3" w:rsidRPr="00DB4E56" w:rsidRDefault="000634FF" w:rsidP="00DB4E56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Způsob provozování</w:t>
      </w:r>
    </w:p>
    <w:p w14:paraId="220B3DC2" w14:textId="6BFF7527" w:rsidR="00DB1E37" w:rsidRDefault="00DB1E37" w:rsidP="00DB4E56">
      <w:pPr>
        <w:spacing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DB1E37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Land-based</w:t>
      </w:r>
    </w:p>
    <w:p w14:paraId="4F8E20AD" w14:textId="1C8E8183" w:rsidR="00944FC3" w:rsidRDefault="000634FF" w:rsidP="00DB4E56">
      <w:pPr>
        <w:spacing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Internet </w:t>
      </w:r>
      <w:r w:rsidRPr="00B11F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prostřednictvím aplikace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B11F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a internetových stránek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543CE3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abc.cz</w:t>
      </w:r>
    </w:p>
    <w:p w14:paraId="010B7AC1" w14:textId="77777777" w:rsidR="00944FC3" w:rsidRPr="00DB4E56" w:rsidRDefault="000634FF" w:rsidP="004E0F5A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Zákonné předpisy</w:t>
      </w:r>
    </w:p>
    <w:p w14:paraId="3070FFE7" w14:textId="77777777" w:rsidR="00944FC3" w:rsidRPr="004E0F5A" w:rsidRDefault="000634FF" w:rsidP="004E0F5A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186/2016 Sb., o hazardních hrách, ve znění pozdějších předpisů (dále jen „ZHH“)</w:t>
      </w:r>
      <w:r>
        <w:rPr>
          <w:rFonts w:ascii="Arial" w:hAnsi="Arial" w:cs="Arial"/>
          <w:sz w:val="24"/>
          <w:szCs w:val="24"/>
        </w:rPr>
        <w:t>;</w:t>
      </w:r>
    </w:p>
    <w:p w14:paraId="7A1606D3" w14:textId="77777777" w:rsidR="00944FC3" w:rsidRPr="004E0F5A" w:rsidRDefault="000634FF" w:rsidP="004E0F5A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466/2023 Sb., o podmínkách provozování hazardních her</w:t>
      </w:r>
      <w:r>
        <w:rPr>
          <w:rFonts w:ascii="Arial" w:hAnsi="Arial" w:cs="Arial"/>
          <w:sz w:val="24"/>
          <w:szCs w:val="24"/>
        </w:rPr>
        <w:t>;</w:t>
      </w:r>
    </w:p>
    <w:p w14:paraId="3A10C40D" w14:textId="77777777" w:rsidR="00944FC3" w:rsidRPr="004E0F5A" w:rsidRDefault="000634FF" w:rsidP="004E0F5A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208/2017 Sb., kterou se stanoví r</w:t>
      </w:r>
      <w:r w:rsidR="006F1CA6">
        <w:rPr>
          <w:rFonts w:ascii="Arial" w:hAnsi="Arial" w:cs="Arial"/>
          <w:sz w:val="24"/>
          <w:szCs w:val="24"/>
        </w:rPr>
        <w:t>ozsah technických parametrů pro </w:t>
      </w:r>
      <w:r w:rsidRPr="004E0F5A">
        <w:rPr>
          <w:rFonts w:ascii="Arial" w:hAnsi="Arial" w:cs="Arial"/>
          <w:sz w:val="24"/>
          <w:szCs w:val="24"/>
        </w:rPr>
        <w:t>zařízení, jejichž prostřednictvím jsou provozovány hazardní hry, požadavků na</w:t>
      </w:r>
      <w:r w:rsidR="006F1CA6">
        <w:rPr>
          <w:rFonts w:ascii="Arial" w:hAnsi="Arial" w:cs="Arial"/>
          <w:sz w:val="24"/>
          <w:szCs w:val="24"/>
        </w:rPr>
        <w:t> </w:t>
      </w:r>
      <w:r w:rsidRPr="004E0F5A">
        <w:rPr>
          <w:rFonts w:ascii="Arial" w:hAnsi="Arial" w:cs="Arial"/>
          <w:sz w:val="24"/>
          <w:szCs w:val="24"/>
        </w:rPr>
        <w:t>ochranu a uchovávání herních a finančních dat a jejich technic</w:t>
      </w:r>
      <w:r w:rsidR="006F1CA6">
        <w:rPr>
          <w:rFonts w:ascii="Arial" w:hAnsi="Arial" w:cs="Arial"/>
          <w:sz w:val="24"/>
          <w:szCs w:val="24"/>
        </w:rPr>
        <w:t>ké parametry, ve </w:t>
      </w:r>
      <w:r w:rsidRPr="004E0F5A">
        <w:rPr>
          <w:rFonts w:ascii="Arial" w:hAnsi="Arial" w:cs="Arial"/>
          <w:sz w:val="24"/>
          <w:szCs w:val="24"/>
        </w:rPr>
        <w:t>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303DFE77" w14:textId="77777777" w:rsidR="00944FC3" w:rsidRPr="004E0F5A" w:rsidRDefault="000634FF" w:rsidP="004E0F5A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253/2008 Sb., o některých opatřeních proti legalizaci výnosů z trestně činnosti a financování terorismu,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5557E99B" w14:textId="77777777" w:rsidR="00944FC3" w:rsidRPr="004E0F5A" w:rsidRDefault="000634FF" w:rsidP="004E0F5A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4E0F5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další související právní předpisy.</w:t>
      </w:r>
    </w:p>
    <w:p w14:paraId="28A9B900" w14:textId="77777777" w:rsidR="00944FC3" w:rsidRPr="00DB4E56" w:rsidRDefault="000634FF" w:rsidP="00DB4E56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Prohlášení</w:t>
      </w:r>
    </w:p>
    <w:p w14:paraId="122AF8BD" w14:textId="77777777" w:rsidR="00944FC3" w:rsidRPr="00937E8C" w:rsidRDefault="000634FF" w:rsidP="00DB4E56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Herní plán je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přílohou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základního povolení vydávaného dle ZHH a jeho znění bylo schváleno Ministerstvem financí ČR.</w:t>
      </w:r>
    </w:p>
    <w:p w14:paraId="159525EE" w14:textId="77777777" w:rsidR="00944FC3" w:rsidRPr="00AE7DF8" w:rsidRDefault="000634FF" w:rsidP="00DB4E56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právních předpisů mají přednost před ustanovením herního plánu.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tohoto herního plánu mají přednost před obchodními podmínkami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provozovatele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jinými obdobnými dokumenty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(např. smlouv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uzavřená mezi sázejícím a provozovatelem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).</w:t>
      </w:r>
    </w:p>
    <w:p w14:paraId="15DCE8F1" w14:textId="77777777" w:rsidR="00944FC3" w:rsidRPr="000F5BF0" w:rsidRDefault="000634FF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Obecná p</w:t>
      </w:r>
      <w:r w:rsidRPr="000F5BF0">
        <w:rPr>
          <w:rFonts w:ascii="Arial" w:hAnsi="Arial" w:cs="Arial"/>
          <w:b/>
          <w:sz w:val="24"/>
          <w:szCs w:val="24"/>
        </w:rPr>
        <w:t xml:space="preserve">ravidla </w:t>
      </w:r>
      <w:r>
        <w:rPr>
          <w:rFonts w:ascii="Arial" w:hAnsi="Arial" w:cs="Arial"/>
          <w:b/>
          <w:sz w:val="24"/>
          <w:szCs w:val="24"/>
        </w:rPr>
        <w:t>účasti na hazardní hře</w:t>
      </w:r>
    </w:p>
    <w:p w14:paraId="56E111FB" w14:textId="77777777" w:rsidR="00944FC3" w:rsidRDefault="000634FF" w:rsidP="00572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Obecná pravidla provozování hazardních her jsou upravena v ZHH. ZHH upravuje zejména pravidla registrace, pravidla zřízení a zrušení uživatelského konta, informační povinnost provozovatele, základní pravidla pro vyplácení výhry sázejícímu a další.</w:t>
      </w:r>
    </w:p>
    <w:p w14:paraId="137BBF60" w14:textId="77777777" w:rsidR="00944FC3" w:rsidRDefault="000634FF" w:rsidP="00572DF2">
      <w:pPr>
        <w:jc w:val="both"/>
        <w:rPr>
          <w:rFonts w:ascii="Arial" w:hAnsi="Arial" w:cs="Arial"/>
          <w:sz w:val="24"/>
          <w:szCs w:val="24"/>
        </w:rPr>
      </w:pPr>
      <w:r w:rsidRPr="00AC1D7D">
        <w:rPr>
          <w:rFonts w:ascii="Arial" w:hAnsi="Arial" w:cs="Arial"/>
          <w:sz w:val="24"/>
          <w:szCs w:val="24"/>
        </w:rPr>
        <w:lastRenderedPageBreak/>
        <w:t xml:space="preserve">Pro účely omezení míry rizikového hraní provozovatel účastníkům </w:t>
      </w:r>
      <w:r>
        <w:rPr>
          <w:rFonts w:ascii="Arial" w:hAnsi="Arial" w:cs="Arial"/>
          <w:sz w:val="24"/>
          <w:szCs w:val="24"/>
        </w:rPr>
        <w:t xml:space="preserve">hazardní hry </w:t>
      </w:r>
      <w:r w:rsidRPr="00AC1D7D">
        <w:rPr>
          <w:rFonts w:ascii="Arial" w:hAnsi="Arial" w:cs="Arial"/>
          <w:sz w:val="24"/>
          <w:szCs w:val="24"/>
        </w:rPr>
        <w:t xml:space="preserve">poskytuje nástroje pro zodpovědné hraní, jejichž popis je upraven v </w:t>
      </w:r>
      <w:r>
        <w:rPr>
          <w:rFonts w:ascii="Arial" w:hAnsi="Arial" w:cs="Arial"/>
          <w:sz w:val="24"/>
          <w:szCs w:val="24"/>
        </w:rPr>
        <w:t>ZHH</w:t>
      </w:r>
      <w:r w:rsidRPr="00AC1D7D">
        <w:rPr>
          <w:rFonts w:ascii="Arial" w:hAnsi="Arial" w:cs="Arial"/>
          <w:sz w:val="24"/>
          <w:szCs w:val="24"/>
        </w:rPr>
        <w:t xml:space="preserve"> – jedná se zejména o Rejstřík fyzických osob vyloučených z účasti na hazardních hrách, </w:t>
      </w:r>
      <w:r>
        <w:rPr>
          <w:rFonts w:ascii="Arial" w:hAnsi="Arial" w:cs="Arial"/>
          <w:sz w:val="24"/>
          <w:szCs w:val="24"/>
        </w:rPr>
        <w:t>možnost nastavení s</w:t>
      </w:r>
      <w:r w:rsidRPr="00AC1D7D">
        <w:rPr>
          <w:rFonts w:ascii="Arial" w:hAnsi="Arial" w:cs="Arial"/>
          <w:sz w:val="24"/>
          <w:szCs w:val="24"/>
        </w:rPr>
        <w:t>ebeomezující</w:t>
      </w:r>
      <w:r>
        <w:rPr>
          <w:rFonts w:ascii="Arial" w:hAnsi="Arial" w:cs="Arial"/>
          <w:sz w:val="24"/>
          <w:szCs w:val="24"/>
        </w:rPr>
        <w:t>ch</w:t>
      </w:r>
      <w:r w:rsidRPr="00AC1D7D">
        <w:rPr>
          <w:rFonts w:ascii="Arial" w:hAnsi="Arial" w:cs="Arial"/>
          <w:sz w:val="24"/>
          <w:szCs w:val="24"/>
        </w:rPr>
        <w:t xml:space="preserve"> opatření a </w:t>
      </w:r>
      <w:r>
        <w:rPr>
          <w:rFonts w:ascii="Arial" w:hAnsi="Arial" w:cs="Arial"/>
          <w:sz w:val="24"/>
          <w:szCs w:val="24"/>
        </w:rPr>
        <w:t>možnost využití prostředku</w:t>
      </w:r>
      <w:r w:rsidRPr="00AC1D7D">
        <w:rPr>
          <w:rFonts w:ascii="Arial" w:hAnsi="Arial" w:cs="Arial"/>
          <w:sz w:val="24"/>
          <w:szCs w:val="24"/>
        </w:rPr>
        <w:t xml:space="preserve"> pro zamezení účasti na hazardní hře</w:t>
      </w:r>
      <w:r>
        <w:rPr>
          <w:rFonts w:ascii="Arial" w:hAnsi="Arial" w:cs="Arial"/>
          <w:sz w:val="24"/>
          <w:szCs w:val="24"/>
        </w:rPr>
        <w:t>.</w:t>
      </w:r>
    </w:p>
    <w:p w14:paraId="0D697CA7" w14:textId="77777777" w:rsidR="00944FC3" w:rsidRPr="00980794" w:rsidRDefault="000634FF" w:rsidP="00572DF2">
      <w:pPr>
        <w:jc w:val="both"/>
        <w:rPr>
          <w:rFonts w:ascii="Arial" w:hAnsi="Arial" w:cs="Arial"/>
          <w:sz w:val="24"/>
          <w:szCs w:val="24"/>
          <w:highlight w:val="yellow"/>
        </w:rPr>
      </w:pPr>
      <w:r w:rsidRPr="00980794">
        <w:rPr>
          <w:rFonts w:ascii="Arial" w:hAnsi="Arial" w:cs="Arial"/>
          <w:i/>
          <w:sz w:val="24"/>
          <w:szCs w:val="24"/>
          <w:highlight w:val="cyan"/>
        </w:rPr>
        <w:t>(var. 1)</w:t>
      </w:r>
      <w:r w:rsidRPr="00980794">
        <w:rPr>
          <w:rFonts w:ascii="Arial" w:hAnsi="Arial" w:cs="Arial"/>
          <w:sz w:val="24"/>
          <w:szCs w:val="24"/>
        </w:rPr>
        <w:t xml:space="preserve"> </w:t>
      </w:r>
      <w:r w:rsidRPr="00980794">
        <w:rPr>
          <w:rFonts w:ascii="Arial" w:hAnsi="Arial" w:cs="Arial"/>
          <w:sz w:val="24"/>
          <w:szCs w:val="24"/>
          <w:highlight w:val="green"/>
        </w:rPr>
        <w:t xml:space="preserve">Provozovatel umožňuje nastavení hodnot sebeomezujících opatření společně pro následující druhy hazardních her: </w:t>
      </w:r>
      <w:r>
        <w:rPr>
          <w:rFonts w:ascii="Arial" w:hAnsi="Arial" w:cs="Arial"/>
          <w:sz w:val="24"/>
          <w:szCs w:val="24"/>
          <w:highlight w:val="yellow"/>
        </w:rPr>
        <w:t xml:space="preserve">XXXX. </w:t>
      </w:r>
      <w:r w:rsidRPr="00980794">
        <w:rPr>
          <w:rFonts w:ascii="Arial" w:hAnsi="Arial" w:cs="Arial"/>
          <w:i/>
          <w:sz w:val="24"/>
          <w:szCs w:val="24"/>
          <w:highlight w:val="cyan"/>
        </w:rPr>
        <w:t xml:space="preserve">(var. 2) </w:t>
      </w:r>
      <w:r w:rsidRPr="00980794">
        <w:rPr>
          <w:rFonts w:ascii="Arial" w:hAnsi="Arial" w:cs="Arial"/>
          <w:sz w:val="24"/>
          <w:szCs w:val="24"/>
          <w:highlight w:val="green"/>
        </w:rPr>
        <w:t xml:space="preserve">Provozovatel umožňuje nastavení hodnot sebeomezujících opatření společně pouze na land-based </w:t>
      </w:r>
      <w:r w:rsidR="006F1CA6">
        <w:rPr>
          <w:rFonts w:ascii="Arial" w:hAnsi="Arial" w:cs="Arial"/>
          <w:sz w:val="24"/>
          <w:szCs w:val="24"/>
          <w:highlight w:val="green"/>
        </w:rPr>
        <w:t>bingo</w:t>
      </w:r>
      <w:r w:rsidRPr="00980794">
        <w:rPr>
          <w:rFonts w:ascii="Arial" w:hAnsi="Arial" w:cs="Arial"/>
          <w:sz w:val="24"/>
          <w:szCs w:val="24"/>
          <w:highlight w:val="green"/>
        </w:rPr>
        <w:t xml:space="preserve"> a internetov</w:t>
      </w:r>
      <w:r w:rsidR="006F1CA6">
        <w:rPr>
          <w:rFonts w:ascii="Arial" w:hAnsi="Arial" w:cs="Arial"/>
          <w:sz w:val="24"/>
          <w:szCs w:val="24"/>
          <w:highlight w:val="green"/>
        </w:rPr>
        <w:t>é bingo</w:t>
      </w:r>
      <w:r w:rsidRPr="00980794">
        <w:rPr>
          <w:rFonts w:ascii="Arial" w:hAnsi="Arial" w:cs="Arial"/>
          <w:sz w:val="24"/>
          <w:szCs w:val="24"/>
          <w:highlight w:val="green"/>
        </w:rPr>
        <w:t>.</w:t>
      </w:r>
    </w:p>
    <w:p w14:paraId="7C7C79B9" w14:textId="77777777" w:rsidR="00944FC3" w:rsidRDefault="000634FF" w:rsidP="00572DF2">
      <w:pPr>
        <w:jc w:val="both"/>
        <w:rPr>
          <w:rFonts w:ascii="Arial" w:hAnsi="Arial" w:cs="Arial"/>
          <w:sz w:val="24"/>
          <w:szCs w:val="24"/>
        </w:rPr>
      </w:pPr>
      <w:r w:rsidRPr="002D3C87">
        <w:rPr>
          <w:rFonts w:ascii="Arial" w:hAnsi="Arial" w:cs="Arial"/>
          <w:sz w:val="24"/>
          <w:szCs w:val="24"/>
        </w:rPr>
        <w:t xml:space="preserve">Registrace je dle ZHH podmínkou účasti na </w:t>
      </w:r>
      <w:r w:rsidR="006F1CA6">
        <w:rPr>
          <w:rFonts w:ascii="Arial" w:hAnsi="Arial" w:cs="Arial"/>
          <w:sz w:val="24"/>
          <w:szCs w:val="24"/>
        </w:rPr>
        <w:t>bingu</w:t>
      </w:r>
      <w:r w:rsidRPr="002D3C87">
        <w:rPr>
          <w:rFonts w:ascii="Arial" w:hAnsi="Arial" w:cs="Arial"/>
          <w:sz w:val="24"/>
          <w:szCs w:val="24"/>
        </w:rPr>
        <w:t xml:space="preserve"> provozované</w:t>
      </w:r>
      <w:r w:rsidR="006F1CA6">
        <w:rPr>
          <w:rFonts w:ascii="Arial" w:hAnsi="Arial" w:cs="Arial"/>
          <w:sz w:val="24"/>
          <w:szCs w:val="24"/>
        </w:rPr>
        <w:t>m</w:t>
      </w:r>
      <w:r w:rsidRPr="002D3C87">
        <w:rPr>
          <w:rFonts w:ascii="Arial" w:hAnsi="Arial" w:cs="Arial"/>
          <w:sz w:val="24"/>
          <w:szCs w:val="24"/>
        </w:rPr>
        <w:t xml:space="preserve"> prostřednictvím internetu. Registrace je dokončena okamžikem zřízení uživatelského konta</w:t>
      </w:r>
      <w:r w:rsidR="006F1CA6">
        <w:rPr>
          <w:rFonts w:ascii="Arial" w:hAnsi="Arial" w:cs="Arial"/>
          <w:sz w:val="24"/>
          <w:szCs w:val="24"/>
        </w:rPr>
        <w:t xml:space="preserve"> a </w:t>
      </w:r>
      <w:r w:rsidRPr="002D3C87">
        <w:rPr>
          <w:rFonts w:ascii="Arial" w:hAnsi="Arial" w:cs="Arial"/>
          <w:sz w:val="24"/>
          <w:szCs w:val="24"/>
        </w:rPr>
        <w:t>přidělením přístupových údajů nebo jiného přístupového prostředku k němu.</w:t>
      </w:r>
    </w:p>
    <w:p w14:paraId="4E56B347" w14:textId="77777777" w:rsidR="00944FC3" w:rsidRPr="00D316E0" w:rsidRDefault="000634FF" w:rsidP="00572DF2">
      <w:pPr>
        <w:jc w:val="both"/>
        <w:rPr>
          <w:rFonts w:ascii="Arial" w:hAnsi="Arial" w:cs="Arial"/>
          <w:sz w:val="24"/>
          <w:szCs w:val="24"/>
        </w:rPr>
      </w:pPr>
      <w:r w:rsidRPr="00980794">
        <w:rPr>
          <w:rFonts w:ascii="Arial" w:hAnsi="Arial" w:cs="Arial"/>
          <w:sz w:val="24"/>
          <w:szCs w:val="24"/>
          <w:highlight w:val="cyan"/>
        </w:rPr>
        <w:t xml:space="preserve">Provozovatel uvede, zda v důsledku registrace sázejícímu vzniká uživatelské konto i k provozování jiných druhů provozovatelem provozovaných hazardních her, anebo se jedná o uživatelské konto jen pro konkrétní druh hazardní hry, a to následující formulací: (var. 1) </w:t>
      </w:r>
      <w:r w:rsidRPr="00980794">
        <w:rPr>
          <w:rFonts w:ascii="Arial" w:hAnsi="Arial" w:cs="Arial"/>
          <w:sz w:val="24"/>
          <w:szCs w:val="24"/>
          <w:highlight w:val="green"/>
        </w:rPr>
        <w:t xml:space="preserve">V důsledku registrace je účastníku hazardní hry po splnění všech zákonných podmínek zřízeno jedno uživatelské konto k účasti i na dalších druzích provozovatelem 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130E5B">
        <w:rPr>
          <w:rFonts w:ascii="Arial" w:hAnsi="Arial" w:cs="Arial"/>
          <w:sz w:val="24"/>
          <w:szCs w:val="24"/>
          <w:highlight w:val="green"/>
        </w:rPr>
        <w:t xml:space="preserve">Uživatelské konto je zřízeno pouze k účasti na </w:t>
      </w:r>
      <w:r w:rsidR="006F1CA6">
        <w:rPr>
          <w:rFonts w:ascii="Arial" w:hAnsi="Arial" w:cs="Arial"/>
          <w:sz w:val="24"/>
          <w:szCs w:val="24"/>
          <w:highlight w:val="green"/>
        </w:rPr>
        <w:t>bingu</w:t>
      </w:r>
      <w:r w:rsidRPr="00130E5B">
        <w:rPr>
          <w:rFonts w:ascii="Arial" w:hAnsi="Arial" w:cs="Arial"/>
          <w:sz w:val="24"/>
          <w:szCs w:val="24"/>
          <w:highlight w:val="green"/>
        </w:rPr>
        <w:t xml:space="preserve"> a internetové</w:t>
      </w:r>
      <w:r w:rsidR="006F1CA6">
        <w:rPr>
          <w:rFonts w:ascii="Arial" w:hAnsi="Arial" w:cs="Arial"/>
          <w:sz w:val="24"/>
          <w:szCs w:val="24"/>
          <w:highlight w:val="green"/>
        </w:rPr>
        <w:t>m bingu</w:t>
      </w:r>
      <w:r w:rsidRPr="00130E5B">
        <w:rPr>
          <w:rFonts w:ascii="Arial" w:hAnsi="Arial" w:cs="Arial"/>
          <w:sz w:val="24"/>
          <w:szCs w:val="24"/>
          <w:highlight w:val="green"/>
        </w:rPr>
        <w:t>. Pro účast na jiných druzích hazardních her je nezbytné projít procesem registrace</w:t>
      </w:r>
      <w:r>
        <w:rPr>
          <w:rFonts w:ascii="Arial" w:hAnsi="Arial" w:cs="Arial"/>
          <w:sz w:val="24"/>
          <w:szCs w:val="24"/>
          <w:highlight w:val="green"/>
        </w:rPr>
        <w:t xml:space="preserve"> ke konkrétnímu druhu hazardní</w:t>
      </w:r>
      <w:r w:rsidRPr="00130E5B">
        <w:rPr>
          <w:rFonts w:ascii="Arial" w:hAnsi="Arial" w:cs="Arial"/>
          <w:sz w:val="24"/>
          <w:szCs w:val="24"/>
          <w:highlight w:val="green"/>
        </w:rPr>
        <w:t xml:space="preserve"> hry.</w:t>
      </w:r>
    </w:p>
    <w:p w14:paraId="6F289B68" w14:textId="77777777" w:rsidR="00944FC3" w:rsidRPr="00D316E0" w:rsidRDefault="000634FF" w:rsidP="00572DF2">
      <w:pPr>
        <w:jc w:val="both"/>
        <w:rPr>
          <w:rFonts w:ascii="Arial" w:hAnsi="Arial" w:cs="Arial"/>
          <w:sz w:val="24"/>
          <w:szCs w:val="24"/>
        </w:rPr>
      </w:pPr>
      <w:r w:rsidRPr="00D316E0">
        <w:rPr>
          <w:rFonts w:ascii="Arial" w:hAnsi="Arial" w:cs="Arial"/>
          <w:sz w:val="24"/>
          <w:szCs w:val="24"/>
        </w:rPr>
        <w:t xml:space="preserve">Účastník hazardní hry </w:t>
      </w:r>
      <w:r w:rsidRPr="00130E5B">
        <w:rPr>
          <w:rFonts w:ascii="Arial" w:hAnsi="Arial" w:cs="Arial"/>
          <w:sz w:val="24"/>
          <w:szCs w:val="24"/>
          <w:highlight w:val="green"/>
        </w:rPr>
        <w:t>může/nemůže</w:t>
      </w:r>
      <w:r w:rsidRPr="00D316E0">
        <w:rPr>
          <w:rFonts w:ascii="Arial" w:hAnsi="Arial" w:cs="Arial"/>
          <w:sz w:val="24"/>
          <w:szCs w:val="24"/>
        </w:rPr>
        <w:t xml:space="preserve"> převádět peněžní nebo hrací prostředky evidované na uživatelském kontu mezi dalšími jemu zřízenými uživatelskými</w:t>
      </w:r>
      <w:r w:rsidR="006F1CA6">
        <w:rPr>
          <w:rFonts w:ascii="Arial" w:hAnsi="Arial" w:cs="Arial"/>
          <w:sz w:val="24"/>
          <w:szCs w:val="24"/>
        </w:rPr>
        <w:t xml:space="preserve"> konty pro </w:t>
      </w:r>
      <w:r w:rsidRPr="00D316E0">
        <w:rPr>
          <w:rFonts w:ascii="Arial" w:hAnsi="Arial" w:cs="Arial"/>
          <w:sz w:val="24"/>
          <w:szCs w:val="24"/>
        </w:rPr>
        <w:t xml:space="preserve">provozování jiných </w:t>
      </w:r>
      <w:r>
        <w:rPr>
          <w:rFonts w:ascii="Arial" w:hAnsi="Arial" w:cs="Arial"/>
          <w:sz w:val="24"/>
          <w:szCs w:val="24"/>
        </w:rPr>
        <w:t xml:space="preserve">druhů </w:t>
      </w:r>
      <w:r w:rsidRPr="00D316E0">
        <w:rPr>
          <w:rFonts w:ascii="Arial" w:hAnsi="Arial" w:cs="Arial"/>
          <w:sz w:val="24"/>
          <w:szCs w:val="24"/>
        </w:rPr>
        <w:t>hazardních her provozovatelem.</w:t>
      </w:r>
    </w:p>
    <w:p w14:paraId="03DEE536" w14:textId="77777777" w:rsidR="00944FC3" w:rsidRDefault="000634FF" w:rsidP="00572DF2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Provozovatel uvede, zda jsou peněžní prostředky </w:t>
      </w:r>
      <w:r w:rsidR="006F1CA6">
        <w:rPr>
          <w:rFonts w:ascii="Arial" w:hAnsi="Arial" w:cs="Arial"/>
          <w:sz w:val="24"/>
          <w:szCs w:val="24"/>
          <w:highlight w:val="cyan"/>
        </w:rPr>
        <w:t>a hrací prostředky evidovány na </w:t>
      </w:r>
      <w:r w:rsidRPr="00130E5B">
        <w:rPr>
          <w:rFonts w:ascii="Arial" w:hAnsi="Arial" w:cs="Arial"/>
          <w:sz w:val="24"/>
          <w:szCs w:val="24"/>
          <w:highlight w:val="cyan"/>
        </w:rPr>
        <w:t>podúčtech odděleně ve smyslu § 17e odst. 7 ZHH anebo na jednom společném účtu na uživatelském kontě, a to např. následovně:</w:t>
      </w:r>
      <w:r>
        <w:rPr>
          <w:rFonts w:ascii="Arial" w:hAnsi="Arial" w:cs="Arial"/>
          <w:sz w:val="24"/>
          <w:szCs w:val="24"/>
          <w:highlight w:val="cyan"/>
        </w:rPr>
        <w:t xml:space="preserve"> (var. 1) </w:t>
      </w:r>
      <w:r w:rsidRPr="00130E5B">
        <w:rPr>
          <w:rFonts w:ascii="Arial" w:hAnsi="Arial" w:cs="Arial"/>
          <w:sz w:val="24"/>
          <w:szCs w:val="24"/>
          <w:highlight w:val="green"/>
        </w:rPr>
        <w:t xml:space="preserve">Uživatelské konto eviduje společný účet pro peněžní a hrací prostředky sázejícího určené k účasti na </w:t>
      </w:r>
      <w:r w:rsidR="006F1CA6">
        <w:rPr>
          <w:rFonts w:ascii="Arial" w:hAnsi="Arial" w:cs="Arial"/>
          <w:sz w:val="24"/>
          <w:szCs w:val="24"/>
          <w:highlight w:val="green"/>
        </w:rPr>
        <w:t>bingu</w:t>
      </w:r>
      <w:r w:rsidRPr="00130E5B">
        <w:rPr>
          <w:rFonts w:ascii="Arial" w:hAnsi="Arial" w:cs="Arial"/>
          <w:sz w:val="24"/>
          <w:szCs w:val="24"/>
          <w:highlight w:val="green"/>
        </w:rPr>
        <w:t xml:space="preserve"> a</w:t>
      </w:r>
      <w:r w:rsidR="006F1CA6">
        <w:rPr>
          <w:rFonts w:ascii="Arial" w:hAnsi="Arial" w:cs="Arial"/>
          <w:sz w:val="24"/>
          <w:szCs w:val="24"/>
          <w:highlight w:val="green"/>
        </w:rPr>
        <w:t> </w:t>
      </w:r>
      <w:r w:rsidRPr="00130E5B">
        <w:rPr>
          <w:rFonts w:ascii="Arial" w:hAnsi="Arial" w:cs="Arial"/>
          <w:sz w:val="24"/>
          <w:szCs w:val="24"/>
          <w:highlight w:val="green"/>
        </w:rPr>
        <w:t>internetové</w:t>
      </w:r>
      <w:r w:rsidR="006F1CA6">
        <w:rPr>
          <w:rFonts w:ascii="Arial" w:hAnsi="Arial" w:cs="Arial"/>
          <w:sz w:val="24"/>
          <w:szCs w:val="24"/>
          <w:highlight w:val="green"/>
        </w:rPr>
        <w:t>m bingu</w:t>
      </w:r>
      <w:r w:rsidRPr="00130E5B">
        <w:rPr>
          <w:rFonts w:ascii="Arial" w:hAnsi="Arial" w:cs="Arial"/>
          <w:sz w:val="24"/>
          <w:szCs w:val="24"/>
          <w:highlight w:val="green"/>
        </w:rPr>
        <w:t xml:space="preserve">, případně na ostatních druzích provozovatelem 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130E5B">
        <w:rPr>
          <w:rFonts w:ascii="Arial" w:hAnsi="Arial" w:cs="Arial"/>
          <w:sz w:val="24"/>
          <w:szCs w:val="24"/>
          <w:highlight w:val="green"/>
        </w:rPr>
        <w:t xml:space="preserve">Uživatelské konto eviduje oddělené podúčty pro </w:t>
      </w:r>
      <w:r w:rsidR="006F1CA6">
        <w:rPr>
          <w:rFonts w:ascii="Arial" w:hAnsi="Arial" w:cs="Arial"/>
          <w:sz w:val="24"/>
          <w:szCs w:val="24"/>
          <w:highlight w:val="green"/>
        </w:rPr>
        <w:t>bingo</w:t>
      </w:r>
      <w:r w:rsidRPr="00130E5B">
        <w:rPr>
          <w:rFonts w:ascii="Arial" w:hAnsi="Arial" w:cs="Arial"/>
          <w:sz w:val="24"/>
          <w:szCs w:val="24"/>
          <w:highlight w:val="green"/>
        </w:rPr>
        <w:t xml:space="preserve"> a</w:t>
      </w:r>
      <w:r w:rsidR="006F1CA6">
        <w:rPr>
          <w:rFonts w:ascii="Arial" w:hAnsi="Arial" w:cs="Arial"/>
          <w:sz w:val="24"/>
          <w:szCs w:val="24"/>
          <w:highlight w:val="green"/>
        </w:rPr>
        <w:t> </w:t>
      </w:r>
      <w:r w:rsidRPr="00130E5B">
        <w:rPr>
          <w:rFonts w:ascii="Arial" w:hAnsi="Arial" w:cs="Arial"/>
          <w:sz w:val="24"/>
          <w:szCs w:val="24"/>
          <w:highlight w:val="green"/>
        </w:rPr>
        <w:t>internetov</w:t>
      </w:r>
      <w:r w:rsidR="006F1CA6">
        <w:rPr>
          <w:rFonts w:ascii="Arial" w:hAnsi="Arial" w:cs="Arial"/>
          <w:sz w:val="24"/>
          <w:szCs w:val="24"/>
          <w:highlight w:val="green"/>
        </w:rPr>
        <w:t>é bingo</w:t>
      </w:r>
      <w:r w:rsidRPr="00130E5B">
        <w:rPr>
          <w:rFonts w:ascii="Arial" w:hAnsi="Arial" w:cs="Arial"/>
          <w:sz w:val="24"/>
          <w:szCs w:val="24"/>
          <w:highlight w:val="green"/>
        </w:rPr>
        <w:t>.</w:t>
      </w:r>
    </w:p>
    <w:p w14:paraId="541D7D3A" w14:textId="37FA82CD" w:rsidR="00DB1E37" w:rsidRPr="00D316E0" w:rsidRDefault="00DB1E37" w:rsidP="00572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Konkrétní pravidla jednotlivých hazardních her jsou uvedena ve zvláštní části tohoto herního plánu.</w:t>
      </w:r>
    </w:p>
    <w:p w14:paraId="190C08FC" w14:textId="77777777" w:rsidR="00944FC3" w:rsidRPr="000F5BF0" w:rsidRDefault="000634FF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Způsob provedení slosování/zjištění okolnosti, jež určuje výhru</w:t>
      </w:r>
    </w:p>
    <w:p w14:paraId="7DC16025" w14:textId="77777777" w:rsidR="00944FC3" w:rsidRDefault="000634FF" w:rsidP="00435CB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Způsob zjištění okolnosti, jež určuje výhru, je upraven ve zvláštní části herního plánu ve vztahu ke každé</w:t>
      </w:r>
      <w:r w:rsidR="006F1CA6">
        <w:rPr>
          <w:rFonts w:ascii="Arial" w:hAnsi="Arial" w:cs="Arial"/>
          <w:sz w:val="24"/>
          <w:szCs w:val="24"/>
        </w:rPr>
        <w:t>mu</w:t>
      </w:r>
      <w:r>
        <w:rPr>
          <w:rFonts w:ascii="Arial" w:hAnsi="Arial" w:cs="Arial"/>
          <w:sz w:val="24"/>
          <w:szCs w:val="24"/>
        </w:rPr>
        <w:t xml:space="preserve"> jednotlivé</w:t>
      </w:r>
      <w:r w:rsidR="006F1CA6">
        <w:rPr>
          <w:rFonts w:ascii="Arial" w:hAnsi="Arial" w:cs="Arial"/>
          <w:sz w:val="24"/>
          <w:szCs w:val="24"/>
        </w:rPr>
        <w:t>mu bingu</w:t>
      </w:r>
      <w:r>
        <w:rPr>
          <w:rFonts w:ascii="Arial" w:hAnsi="Arial" w:cs="Arial"/>
          <w:sz w:val="24"/>
          <w:szCs w:val="24"/>
        </w:rPr>
        <w:t xml:space="preserve">. </w:t>
      </w:r>
      <w:r w:rsidR="006F1CA6" w:rsidRPr="00121595">
        <w:rPr>
          <w:rFonts w:ascii="Arial" w:hAnsi="Arial" w:cs="Arial"/>
          <w:sz w:val="24"/>
          <w:szCs w:val="24"/>
        </w:rPr>
        <w:t>Výhra je podmíněna dosažením předem stanoveného vzorce na sázkovém tiketu na zákl</w:t>
      </w:r>
      <w:r w:rsidR="006F1CA6">
        <w:rPr>
          <w:rFonts w:ascii="Arial" w:hAnsi="Arial" w:cs="Arial"/>
          <w:sz w:val="24"/>
          <w:szCs w:val="24"/>
        </w:rPr>
        <w:t>adě postupného losování čísel a </w:t>
      </w:r>
      <w:r w:rsidR="006F1CA6" w:rsidRPr="00121595">
        <w:rPr>
          <w:rFonts w:ascii="Arial" w:hAnsi="Arial" w:cs="Arial"/>
          <w:sz w:val="24"/>
          <w:szCs w:val="24"/>
        </w:rPr>
        <w:t>oznámením této skutečnosti provozovateli jím stanoveným způsobem. Způsob oznámení je upraven ve zvláštní části herního plánu</w:t>
      </w:r>
      <w:r>
        <w:rPr>
          <w:rFonts w:ascii="Arial" w:hAnsi="Arial" w:cs="Arial"/>
          <w:sz w:val="24"/>
          <w:szCs w:val="24"/>
        </w:rPr>
        <w:t>.</w:t>
      </w:r>
    </w:p>
    <w:p w14:paraId="7E9258E8" w14:textId="77777777" w:rsidR="00944FC3" w:rsidRPr="000F5BF0" w:rsidRDefault="000634FF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Výše výhry nebo způsob jejího určení</w:t>
      </w:r>
    </w:p>
    <w:p w14:paraId="4F69CB05" w14:textId="77777777" w:rsidR="00944FC3" w:rsidRPr="00F60D55" w:rsidRDefault="000634FF" w:rsidP="0035014F">
      <w:pPr>
        <w:jc w:val="both"/>
        <w:rPr>
          <w:rStyle w:val="Odkazintenzivn"/>
        </w:rPr>
      </w:pPr>
      <w:r>
        <w:rPr>
          <w:rFonts w:ascii="Arial" w:hAnsi="Arial" w:cs="Arial"/>
          <w:sz w:val="24"/>
          <w:szCs w:val="24"/>
        </w:rPr>
        <w:t xml:space="preserve">Výše výhry a způsob jejího určení je upravena </w:t>
      </w:r>
      <w:r w:rsidRPr="009B3D55">
        <w:rPr>
          <w:rFonts w:ascii="Arial" w:hAnsi="Arial" w:cs="Arial"/>
          <w:sz w:val="24"/>
          <w:szCs w:val="24"/>
        </w:rPr>
        <w:t>ve zvláštní části herního plánu ve vztahu ke každé</w:t>
      </w:r>
      <w:r w:rsidR="006F1CA6">
        <w:rPr>
          <w:rFonts w:ascii="Arial" w:hAnsi="Arial" w:cs="Arial"/>
          <w:sz w:val="24"/>
          <w:szCs w:val="24"/>
        </w:rPr>
        <w:t>mu</w:t>
      </w:r>
      <w:r w:rsidRPr="009B3D55">
        <w:rPr>
          <w:rFonts w:ascii="Arial" w:hAnsi="Arial" w:cs="Arial"/>
          <w:sz w:val="24"/>
          <w:szCs w:val="24"/>
        </w:rPr>
        <w:t xml:space="preserve"> jednotlivé</w:t>
      </w:r>
      <w:r w:rsidR="006F1CA6">
        <w:rPr>
          <w:rFonts w:ascii="Arial" w:hAnsi="Arial" w:cs="Arial"/>
          <w:sz w:val="24"/>
          <w:szCs w:val="24"/>
        </w:rPr>
        <w:t>mu</w:t>
      </w:r>
      <w:r w:rsidRPr="009B3D55">
        <w:rPr>
          <w:rFonts w:ascii="Arial" w:hAnsi="Arial" w:cs="Arial"/>
          <w:sz w:val="24"/>
          <w:szCs w:val="24"/>
        </w:rPr>
        <w:t xml:space="preserve"> </w:t>
      </w:r>
      <w:r w:rsidR="006F1CA6">
        <w:rPr>
          <w:rFonts w:ascii="Arial" w:hAnsi="Arial" w:cs="Arial"/>
          <w:sz w:val="24"/>
          <w:szCs w:val="24"/>
        </w:rPr>
        <w:t>bingu</w:t>
      </w:r>
      <w:r w:rsidRPr="009B3D5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89E59B5" w14:textId="77777777" w:rsidR="00944FC3" w:rsidRPr="007B23B1" w:rsidRDefault="000634FF" w:rsidP="007B23B1">
      <w:pPr>
        <w:pStyle w:val="Odstavecseseznamem"/>
        <w:keepNext/>
        <w:numPr>
          <w:ilvl w:val="0"/>
          <w:numId w:val="1"/>
        </w:numPr>
        <w:ind w:left="357" w:hanging="35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lastRenderedPageBreak/>
        <w:t>Způsob a lhůty pro výplatu výhry</w:t>
      </w:r>
    </w:p>
    <w:p w14:paraId="5DE434E4" w14:textId="77777777" w:rsidR="00944FC3" w:rsidRPr="000F5BF0" w:rsidRDefault="000634FF" w:rsidP="0048031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Provozovatel vyplatí výhru bez zbytečného odkladu, nejpozději do 30 dnů ode dne jejího vyhodnocení.</w:t>
      </w:r>
      <w:r w:rsidRPr="000F5BF0">
        <w:rPr>
          <w:rFonts w:ascii="Arial" w:hAnsi="Arial" w:cs="Arial"/>
          <w:sz w:val="24"/>
          <w:szCs w:val="24"/>
        </w:rPr>
        <w:t xml:space="preserve">  </w:t>
      </w:r>
    </w:p>
    <w:p w14:paraId="16CDFB41" w14:textId="77777777" w:rsidR="00944FC3" w:rsidRDefault="000634FF" w:rsidP="007B23B1">
      <w:pPr>
        <w:jc w:val="both"/>
        <w:rPr>
          <w:rFonts w:ascii="Arial" w:hAnsi="Arial" w:cs="Arial"/>
          <w:sz w:val="24"/>
          <w:szCs w:val="24"/>
        </w:rPr>
      </w:pPr>
      <w:r w:rsidRPr="00A5481E">
        <w:rPr>
          <w:rFonts w:ascii="Arial" w:hAnsi="Arial" w:cs="Arial"/>
          <w:sz w:val="24"/>
          <w:szCs w:val="24"/>
        </w:rPr>
        <w:t>Výplata peněžních prostředků z uživatelského kon</w:t>
      </w:r>
      <w:r w:rsidR="004C3DAE">
        <w:rPr>
          <w:rFonts w:ascii="Arial" w:hAnsi="Arial" w:cs="Arial"/>
          <w:sz w:val="24"/>
          <w:szCs w:val="24"/>
        </w:rPr>
        <w:t>ta bude provedena bezúplatně na </w:t>
      </w:r>
      <w:r w:rsidRPr="00A5481E">
        <w:rPr>
          <w:rFonts w:ascii="Arial" w:hAnsi="Arial" w:cs="Arial"/>
          <w:sz w:val="24"/>
          <w:szCs w:val="24"/>
        </w:rPr>
        <w:t xml:space="preserve">základě žádosti účastníka hazardní hry, a to na všech místech, kde jsou přijímány vklady peněžních </w:t>
      </w:r>
      <w:r>
        <w:rPr>
          <w:rFonts w:ascii="Arial" w:hAnsi="Arial" w:cs="Arial"/>
          <w:sz w:val="24"/>
          <w:szCs w:val="24"/>
        </w:rPr>
        <w:t xml:space="preserve">prostředků na uživatelské konto. </w:t>
      </w:r>
      <w:r w:rsidRPr="00A5481E">
        <w:rPr>
          <w:rFonts w:ascii="Arial" w:hAnsi="Arial" w:cs="Arial"/>
          <w:sz w:val="24"/>
          <w:szCs w:val="24"/>
        </w:rPr>
        <w:t>Výplata bude provedena bezodkladně, z omluvitelného důvodu nejpozději do 60 dnů ode dne, kdy žádost provozovatel obdržel.</w:t>
      </w:r>
    </w:p>
    <w:p w14:paraId="772C99B8" w14:textId="77777777" w:rsidR="00944FC3" w:rsidRPr="00DB1E37" w:rsidRDefault="000634FF" w:rsidP="00130E5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DB1E37">
        <w:rPr>
          <w:rFonts w:ascii="Arial" w:hAnsi="Arial" w:cs="Arial"/>
          <w:b/>
          <w:sz w:val="24"/>
          <w:szCs w:val="24"/>
        </w:rPr>
        <w:t>Další informace</w:t>
      </w:r>
    </w:p>
    <w:p w14:paraId="0C7E3ACB" w14:textId="3CCA020D" w:rsidR="00C63D99" w:rsidRPr="00C63D99" w:rsidRDefault="00C63D99" w:rsidP="00944FC3">
      <w:pPr>
        <w:jc w:val="both"/>
        <w:rPr>
          <w:rFonts w:ascii="Arial" w:hAnsi="Arial" w:cs="Arial"/>
          <w:sz w:val="24"/>
          <w:szCs w:val="24"/>
        </w:rPr>
      </w:pPr>
      <w:r w:rsidRPr="00C63D99">
        <w:rPr>
          <w:rFonts w:ascii="Arial" w:hAnsi="Arial" w:cs="Arial"/>
          <w:sz w:val="24"/>
          <w:szCs w:val="24"/>
        </w:rPr>
        <w:t xml:space="preserve">Herní měnou je </w:t>
      </w:r>
      <w:r w:rsidRPr="00C63D99">
        <w:rPr>
          <w:rFonts w:ascii="Arial" w:hAnsi="Arial" w:cs="Arial"/>
          <w:sz w:val="24"/>
          <w:szCs w:val="24"/>
          <w:highlight w:val="cyan"/>
        </w:rPr>
        <w:t xml:space="preserve">provozovatel uvede veškeré herní měny, ve kterých bude provozovat </w:t>
      </w:r>
      <w:r w:rsidR="00F30B3B">
        <w:rPr>
          <w:rFonts w:ascii="Arial" w:hAnsi="Arial" w:cs="Arial"/>
          <w:sz w:val="24"/>
          <w:szCs w:val="24"/>
          <w:highlight w:val="cyan"/>
        </w:rPr>
        <w:t>bingo</w:t>
      </w:r>
      <w:r w:rsidRPr="00C63D99">
        <w:rPr>
          <w:rFonts w:ascii="Arial" w:hAnsi="Arial" w:cs="Arial"/>
          <w:sz w:val="24"/>
          <w:szCs w:val="24"/>
          <w:highlight w:val="cyan"/>
        </w:rPr>
        <w:t>.</w:t>
      </w:r>
    </w:p>
    <w:p w14:paraId="14058FC2" w14:textId="2336E865" w:rsidR="00944FC3" w:rsidRPr="00944FC3" w:rsidRDefault="000634FF" w:rsidP="00944FC3">
      <w:pPr>
        <w:jc w:val="both"/>
        <w:rPr>
          <w:rFonts w:ascii="Arial" w:hAnsi="Arial" w:cs="Arial"/>
          <w:b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>V této části může žadatel uvést další obecné informace, které se dotýkají daného druhu hazardní hry a jejího provozování, a které je nutné uvádět v herním plánu. Neuvádí se informace či pravidla, která vyplývají přímo ze zákona</w:t>
      </w:r>
      <w:r w:rsidR="00944FC3">
        <w:rPr>
          <w:rFonts w:ascii="Arial" w:hAnsi="Arial" w:cs="Arial"/>
          <w:sz w:val="24"/>
          <w:szCs w:val="24"/>
          <w:highlight w:val="cyan"/>
        </w:rPr>
        <w:t>.</w:t>
      </w:r>
    </w:p>
    <w:sectPr w:rsidR="00944FC3" w:rsidRPr="00944FC3" w:rsidSect="00A604FC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B0A59" w14:textId="77777777" w:rsidR="000634FF" w:rsidRDefault="000634FF">
      <w:pPr>
        <w:spacing w:after="0" w:line="240" w:lineRule="auto"/>
      </w:pPr>
      <w:r>
        <w:separator/>
      </w:r>
    </w:p>
  </w:endnote>
  <w:endnote w:type="continuationSeparator" w:id="0">
    <w:p w14:paraId="64D61112" w14:textId="77777777" w:rsidR="000634FF" w:rsidRDefault="00063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EBAD7" w14:textId="77777777" w:rsidR="00944FC3" w:rsidRDefault="00944FC3">
    <w:pPr>
      <w:pStyle w:val="Zpat"/>
      <w:jc w:val="center"/>
    </w:pPr>
  </w:p>
  <w:p w14:paraId="2262C690" w14:textId="77777777" w:rsidR="00944FC3" w:rsidRDefault="00944FC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0E01C" w14:textId="77777777" w:rsidR="000634FF" w:rsidRDefault="000634FF">
      <w:pPr>
        <w:spacing w:after="0" w:line="240" w:lineRule="auto"/>
      </w:pPr>
      <w:r>
        <w:separator/>
      </w:r>
    </w:p>
  </w:footnote>
  <w:footnote w:type="continuationSeparator" w:id="0">
    <w:p w14:paraId="6245988E" w14:textId="77777777" w:rsidR="000634FF" w:rsidRDefault="000634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280B"/>
    <w:multiLevelType w:val="multilevel"/>
    <w:tmpl w:val="73924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105A7F"/>
    <w:multiLevelType w:val="hybridMultilevel"/>
    <w:tmpl w:val="0FBE2C52"/>
    <w:lvl w:ilvl="0" w:tplc="9BE2C0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1C290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76E5A5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C06D35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A9C10D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9DA189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650168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9D6DF2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CD0A3D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114E3C"/>
    <w:multiLevelType w:val="hybridMultilevel"/>
    <w:tmpl w:val="25940D34"/>
    <w:lvl w:ilvl="0" w:tplc="943EB24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D8E4F0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B5A1EE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2C6A05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9F631B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100AA6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1E24F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02E09F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CCC11B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D60EA9"/>
    <w:multiLevelType w:val="hybridMultilevel"/>
    <w:tmpl w:val="09D212B8"/>
    <w:lvl w:ilvl="0" w:tplc="1982D7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</w:rPr>
    </w:lvl>
    <w:lvl w:ilvl="1" w:tplc="CD7CC1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B6F2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EE54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E6A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D85C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D08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D053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0E1D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F4213"/>
    <w:multiLevelType w:val="hybridMultilevel"/>
    <w:tmpl w:val="E0247FB2"/>
    <w:lvl w:ilvl="0" w:tplc="582CFB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7A05D72" w:tentative="1">
      <w:start w:val="1"/>
      <w:numFmt w:val="lowerLetter"/>
      <w:lvlText w:val="%2."/>
      <w:lvlJc w:val="left"/>
      <w:pPr>
        <w:ind w:left="1080" w:hanging="360"/>
      </w:pPr>
    </w:lvl>
    <w:lvl w:ilvl="2" w:tplc="35DA47C0" w:tentative="1">
      <w:start w:val="1"/>
      <w:numFmt w:val="lowerRoman"/>
      <w:lvlText w:val="%3."/>
      <w:lvlJc w:val="right"/>
      <w:pPr>
        <w:ind w:left="1800" w:hanging="180"/>
      </w:pPr>
    </w:lvl>
    <w:lvl w:ilvl="3" w:tplc="F2D42E26" w:tentative="1">
      <w:start w:val="1"/>
      <w:numFmt w:val="decimal"/>
      <w:lvlText w:val="%4."/>
      <w:lvlJc w:val="left"/>
      <w:pPr>
        <w:ind w:left="2520" w:hanging="360"/>
      </w:pPr>
    </w:lvl>
    <w:lvl w:ilvl="4" w:tplc="D4EE4612" w:tentative="1">
      <w:start w:val="1"/>
      <w:numFmt w:val="lowerLetter"/>
      <w:lvlText w:val="%5."/>
      <w:lvlJc w:val="left"/>
      <w:pPr>
        <w:ind w:left="3240" w:hanging="360"/>
      </w:pPr>
    </w:lvl>
    <w:lvl w:ilvl="5" w:tplc="B554D746" w:tentative="1">
      <w:start w:val="1"/>
      <w:numFmt w:val="lowerRoman"/>
      <w:lvlText w:val="%6."/>
      <w:lvlJc w:val="right"/>
      <w:pPr>
        <w:ind w:left="3960" w:hanging="180"/>
      </w:pPr>
    </w:lvl>
    <w:lvl w:ilvl="6" w:tplc="4C8CF0F4" w:tentative="1">
      <w:start w:val="1"/>
      <w:numFmt w:val="decimal"/>
      <w:lvlText w:val="%7."/>
      <w:lvlJc w:val="left"/>
      <w:pPr>
        <w:ind w:left="4680" w:hanging="360"/>
      </w:pPr>
    </w:lvl>
    <w:lvl w:ilvl="7" w:tplc="43604E38" w:tentative="1">
      <w:start w:val="1"/>
      <w:numFmt w:val="lowerLetter"/>
      <w:lvlText w:val="%8."/>
      <w:lvlJc w:val="left"/>
      <w:pPr>
        <w:ind w:left="5400" w:hanging="360"/>
      </w:pPr>
    </w:lvl>
    <w:lvl w:ilvl="8" w:tplc="302457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386E88"/>
    <w:multiLevelType w:val="hybridMultilevel"/>
    <w:tmpl w:val="3648F6FA"/>
    <w:lvl w:ilvl="0" w:tplc="09B603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98AB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980D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C2D5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8C99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D636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3C97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6E42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D6E2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15A45"/>
    <w:multiLevelType w:val="hybridMultilevel"/>
    <w:tmpl w:val="A6AA4550"/>
    <w:lvl w:ilvl="0" w:tplc="027CB2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9AC4D500" w:tentative="1">
      <w:start w:val="1"/>
      <w:numFmt w:val="lowerLetter"/>
      <w:lvlText w:val="%2."/>
      <w:lvlJc w:val="left"/>
      <w:pPr>
        <w:ind w:left="1440" w:hanging="360"/>
      </w:pPr>
    </w:lvl>
    <w:lvl w:ilvl="2" w:tplc="EDCE7BB8" w:tentative="1">
      <w:start w:val="1"/>
      <w:numFmt w:val="lowerRoman"/>
      <w:lvlText w:val="%3."/>
      <w:lvlJc w:val="right"/>
      <w:pPr>
        <w:ind w:left="2160" w:hanging="180"/>
      </w:pPr>
    </w:lvl>
    <w:lvl w:ilvl="3" w:tplc="D924E682" w:tentative="1">
      <w:start w:val="1"/>
      <w:numFmt w:val="decimal"/>
      <w:lvlText w:val="%4."/>
      <w:lvlJc w:val="left"/>
      <w:pPr>
        <w:ind w:left="2880" w:hanging="360"/>
      </w:pPr>
    </w:lvl>
    <w:lvl w:ilvl="4" w:tplc="CCBA888C" w:tentative="1">
      <w:start w:val="1"/>
      <w:numFmt w:val="lowerLetter"/>
      <w:lvlText w:val="%5."/>
      <w:lvlJc w:val="left"/>
      <w:pPr>
        <w:ind w:left="3600" w:hanging="360"/>
      </w:pPr>
    </w:lvl>
    <w:lvl w:ilvl="5" w:tplc="020830EA" w:tentative="1">
      <w:start w:val="1"/>
      <w:numFmt w:val="lowerRoman"/>
      <w:lvlText w:val="%6."/>
      <w:lvlJc w:val="right"/>
      <w:pPr>
        <w:ind w:left="4320" w:hanging="180"/>
      </w:pPr>
    </w:lvl>
    <w:lvl w:ilvl="6" w:tplc="04E63BD6" w:tentative="1">
      <w:start w:val="1"/>
      <w:numFmt w:val="decimal"/>
      <w:lvlText w:val="%7."/>
      <w:lvlJc w:val="left"/>
      <w:pPr>
        <w:ind w:left="5040" w:hanging="360"/>
      </w:pPr>
    </w:lvl>
    <w:lvl w:ilvl="7" w:tplc="ED30EB5C" w:tentative="1">
      <w:start w:val="1"/>
      <w:numFmt w:val="lowerLetter"/>
      <w:lvlText w:val="%8."/>
      <w:lvlJc w:val="left"/>
      <w:pPr>
        <w:ind w:left="5760" w:hanging="360"/>
      </w:pPr>
    </w:lvl>
    <w:lvl w:ilvl="8" w:tplc="CED096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30D71"/>
    <w:multiLevelType w:val="hybridMultilevel"/>
    <w:tmpl w:val="B93EFEF8"/>
    <w:lvl w:ilvl="0" w:tplc="D40A0E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1690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AD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D4F5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FC7E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88D7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2CA1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9E08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E22A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655339"/>
    <w:multiLevelType w:val="hybridMultilevel"/>
    <w:tmpl w:val="04B633EE"/>
    <w:lvl w:ilvl="0" w:tplc="9582FF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5F25E5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7FC674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1E88BB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D12BE9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1427B6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572494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6867BB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95854E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248201">
    <w:abstractNumId w:val="4"/>
  </w:num>
  <w:num w:numId="2" w16cid:durableId="1527788469">
    <w:abstractNumId w:val="0"/>
  </w:num>
  <w:num w:numId="3" w16cid:durableId="840512461">
    <w:abstractNumId w:val="7"/>
  </w:num>
  <w:num w:numId="4" w16cid:durableId="647126713">
    <w:abstractNumId w:val="3"/>
  </w:num>
  <w:num w:numId="5" w16cid:durableId="645201990">
    <w:abstractNumId w:val="6"/>
  </w:num>
  <w:num w:numId="6" w16cid:durableId="319161999">
    <w:abstractNumId w:val="5"/>
  </w:num>
  <w:num w:numId="7" w16cid:durableId="2031904916">
    <w:abstractNumId w:val="8"/>
  </w:num>
  <w:num w:numId="8" w16cid:durableId="1241864769">
    <w:abstractNumId w:val="1"/>
  </w:num>
  <w:num w:numId="9" w16cid:durableId="10636779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5A9"/>
    <w:rsid w:val="000634FF"/>
    <w:rsid w:val="002505A9"/>
    <w:rsid w:val="004C3DAE"/>
    <w:rsid w:val="00582ED1"/>
    <w:rsid w:val="006E0A52"/>
    <w:rsid w:val="006F1CA6"/>
    <w:rsid w:val="00807B3D"/>
    <w:rsid w:val="008355C4"/>
    <w:rsid w:val="00944FC3"/>
    <w:rsid w:val="00B3189D"/>
    <w:rsid w:val="00B75243"/>
    <w:rsid w:val="00C63D99"/>
    <w:rsid w:val="00DB1E37"/>
    <w:rsid w:val="00F3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381F3"/>
  <w15:docId w15:val="{C934D25D-652A-4031-8483-A382ADC88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37E8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2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237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937E8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E24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E24D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E24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E24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E24D5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06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intenzivn">
    <w:name w:val="Intense Reference"/>
    <w:basedOn w:val="Standardnpsmoodstavce"/>
    <w:uiPriority w:val="32"/>
    <w:qFormat/>
    <w:rsid w:val="00F60D55"/>
    <w:rPr>
      <w:b/>
      <w:bCs/>
      <w:smallCaps/>
      <w:color w:val="5B9BD5" w:themeColor="accent1"/>
      <w:spacing w:val="5"/>
    </w:rPr>
  </w:style>
  <w:style w:type="paragraph" w:styleId="Zhlav">
    <w:name w:val="header"/>
    <w:basedOn w:val="Normln"/>
    <w:link w:val="ZhlavChar"/>
    <w:uiPriority w:val="99"/>
    <w:unhideWhenUsed/>
    <w:rsid w:val="00130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30E5B"/>
  </w:style>
  <w:style w:type="paragraph" w:styleId="Zpat">
    <w:name w:val="footer"/>
    <w:basedOn w:val="Normln"/>
    <w:link w:val="ZpatChar"/>
    <w:uiPriority w:val="99"/>
    <w:unhideWhenUsed/>
    <w:rsid w:val="00130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30E5B"/>
  </w:style>
  <w:style w:type="paragraph" w:styleId="Revize">
    <w:name w:val="Revision"/>
    <w:hidden/>
    <w:uiPriority w:val="99"/>
    <w:semiHidden/>
    <w:rsid w:val="008355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7267B-C42C-4580-933F-43B729C6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804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Půlpánová Blanka</dc:creator>
  <cp:lastModifiedBy>Mašková Barbora</cp:lastModifiedBy>
  <cp:revision>8</cp:revision>
  <dcterms:created xsi:type="dcterms:W3CDTF">2025-10-09T06:38:00Z</dcterms:created>
  <dcterms:modified xsi:type="dcterms:W3CDTF">2025-12-17T11:24:00Z</dcterms:modified>
</cp:coreProperties>
</file>