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A210EB">
      <w:pPr>
        <w:jc w:val="left"/>
      </w:pPr>
      <w:r w:rsidRPr="004E3136">
        <w:rPr>
          <w:rFonts w:ascii="Segoe UI" w:hAnsi="Segoe UI" w:cs="Segoe UI"/>
          <w:noProof/>
          <w:sz w:val="96"/>
          <w:lang w:eastAsia="cs-CZ"/>
        </w:rPr>
        <mc:AlternateContent>
          <mc:Choice Requires="wps">
            <w:drawing>
              <wp:anchor distT="0" distB="0" distL="114300" distR="114300" simplePos="0" relativeHeight="251666432" behindDoc="1" locked="0" layoutInCell="1" allowOverlap="1">
                <wp:simplePos x="0" y="0"/>
                <wp:positionH relativeFrom="column">
                  <wp:posOffset>-198120</wp:posOffset>
                </wp:positionH>
                <wp:positionV relativeFrom="paragraph">
                  <wp:posOffset>-180340</wp:posOffset>
                </wp:positionV>
                <wp:extent cx="3506400" cy="1403985"/>
                <wp:effectExtent l="0" t="0" r="0" b="0"/>
                <wp:wrapNone/>
                <wp:docPr id="307" name="Textové pol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06400" cy="1403985"/>
                        </a:xfrm>
                        <a:prstGeom prst="rect">
                          <a:avLst/>
                        </a:prstGeom>
                        <a:noFill/>
                        <a:ln w="9525">
                          <a:noFill/>
                          <a:miter lim="800000"/>
                          <a:headEnd/>
                          <a:tailEnd/>
                        </a:ln>
                      </wps:spPr>
                      <wps:txbx>
                        <w:txbxContent>
                          <w:p w:rsidR="006B5368" w:rsidRPr="0021673F" w:rsidP="006B5368">
                            <w:pPr>
                              <w:spacing w:before="0"/>
                              <w:rPr>
                                <w:rFonts w:ascii="Segoe UI Light" w:hAnsi="Segoe UI Light" w:cs="Segoe UI Light"/>
                                <w:color w:val="A7A7A7"/>
                                <w:sz w:val="36"/>
                                <w:szCs w:val="36"/>
                                <w:lang w:eastAsia="cs-CZ"/>
                              </w:rPr>
                            </w:pPr>
                            <w:r>
                              <w:rPr>
                                <w:rFonts w:ascii="Segoe UI Light" w:hAnsi="Segoe UI Light" w:cs="Segoe UI Light"/>
                                <w:color w:val="A7A7A7"/>
                                <w:sz w:val="36"/>
                                <w:szCs w:val="36"/>
                                <w:lang w:eastAsia="cs-CZ"/>
                              </w:rPr>
                              <w:t xml:space="preserve">Metodický pokyn CHJ č. </w:t>
                            </w:r>
                            <w:r>
                              <w:rPr>
                                <w:rFonts w:ascii="Segoe UI Light" w:hAnsi="Segoe UI Light" w:cs="Segoe UI Light"/>
                                <w:color w:val="A7A7A7"/>
                                <w:sz w:val="36"/>
                                <w:szCs w:val="36"/>
                                <w:lang w:eastAsia="cs-CZ"/>
                              </w:rPr>
                              <w:t>21</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height:110.55pt;margin-left:-15.6pt;margin-top:-14.2pt;mso-height-percent:200;mso-height-relative:margin;mso-width-percent:0;mso-width-relative:margin;mso-wrap-distance-bottom:0;mso-wrap-distance-left:9pt;mso-wrap-distance-right:9pt;mso-wrap-distance-top:0;mso-wrap-style:square;position:absolute;v-text-anchor:top;visibility:visible;width:276.1pt;z-index:-251649024" filled="f" stroked="f">
                <v:textbox style="mso-fit-shape-to-text:t">
                  <w:txbxContent>
                    <w:p w:rsidR="006B5368" w:rsidRPr="0021673F" w:rsidP="006B5368">
                      <w:pPr>
                        <w:spacing w:before="0"/>
                        <w:rPr>
                          <w:rFonts w:ascii="Segoe UI Light" w:hAnsi="Segoe UI Light" w:cs="Segoe UI Light"/>
                          <w:color w:val="A7A7A7"/>
                          <w:sz w:val="36"/>
                          <w:szCs w:val="36"/>
                          <w:lang w:eastAsia="cs-CZ"/>
                        </w:rPr>
                      </w:pPr>
                      <w:r>
                        <w:rPr>
                          <w:rFonts w:ascii="Segoe UI Light" w:hAnsi="Segoe UI Light" w:cs="Segoe UI Light"/>
                          <w:color w:val="A7A7A7"/>
                          <w:sz w:val="36"/>
                          <w:szCs w:val="36"/>
                          <w:lang w:eastAsia="cs-CZ"/>
                        </w:rPr>
                        <w:t xml:space="preserve">Metodický pokyn CHJ č. </w:t>
                      </w:r>
                      <w:r>
                        <w:rPr>
                          <w:rFonts w:ascii="Segoe UI Light" w:hAnsi="Segoe UI Light" w:cs="Segoe UI Light"/>
                          <w:color w:val="A7A7A7"/>
                          <w:sz w:val="36"/>
                          <w:szCs w:val="36"/>
                          <w:lang w:eastAsia="cs-CZ"/>
                        </w:rPr>
                        <w:t>21</w:t>
                      </w:r>
                    </w:p>
                  </w:txbxContent>
                </v:textbox>
              </v:shape>
            </w:pict>
          </mc:Fallback>
        </mc:AlternateContent>
      </w:r>
      <w:r w:rsidRPr="0077160A" w:rsidR="004C58B6">
        <w:rPr>
          <w:noProof/>
          <w:lang w:eastAsia="cs-CZ"/>
        </w:rPr>
        <w:drawing>
          <wp:anchor distT="0" distB="0" distL="114300" distR="114300" simplePos="0" relativeHeight="251663360" behindDoc="0" locked="0" layoutInCell="1" allowOverlap="1">
            <wp:simplePos x="0" y="0"/>
            <wp:positionH relativeFrom="column">
              <wp:posOffset>4860925</wp:posOffset>
            </wp:positionH>
            <wp:positionV relativeFrom="paragraph">
              <wp:posOffset>0</wp:posOffset>
            </wp:positionV>
            <wp:extent cx="648000" cy="741600"/>
            <wp:effectExtent l="0" t="0" r="0" b="1905"/>
            <wp:wrapNone/>
            <wp:docPr id="1026" name="Picture 2" descr="C:\Users\15137\Pictures\cs_f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15137\Pictures\cs_fr2.gif"/>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48000" cy="741600"/>
                    </a:xfrm>
                    <a:prstGeom prst="rect">
                      <a:avLst/>
                    </a:prstGeom>
                    <a:ln>
                      <a:noFill/>
                    </a:ln>
                    <a:extLst>
                      <a:ext xmlns:a="http://schemas.openxmlformats.org/drawingml/2006/main"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rsidR="00830E3C" w:rsidRPr="00940BDF">
      <w:pPr>
        <w:jc w:val="left"/>
      </w:pPr>
      <w:r>
        <w:rPr>
          <w:noProof/>
          <w:lang w:eastAsia="cs-CZ"/>
        </w:rPr>
        <w:drawing>
          <wp:anchor distT="0" distB="0" distL="114300" distR="114300" simplePos="0" relativeHeight="251660288" behindDoc="1" locked="0" layoutInCell="1" allowOverlap="1">
            <wp:simplePos x="0" y="0"/>
            <wp:positionH relativeFrom="column">
              <wp:posOffset>540385</wp:posOffset>
            </wp:positionH>
            <wp:positionV relativeFrom="paragraph">
              <wp:posOffset>203068</wp:posOffset>
            </wp:positionV>
            <wp:extent cx="5202000" cy="5202000"/>
            <wp:effectExtent l="0" t="0" r="0" b="0"/>
            <wp:wrapNone/>
            <wp:docPr id="100" name="Obrázek 100" descr="C:\Users\15137\Downloads\t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5137\Downloads\tool.pn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202000" cy="520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7814">
        <w:rPr>
          <w:rFonts w:ascii="Segoe UI" w:hAnsi="Segoe UI" w:cs="Segoe UI"/>
          <w:noProof/>
          <w:sz w:val="96"/>
          <w:lang w:eastAsia="cs-CZ"/>
        </w:rPr>
        <mc:AlternateContent>
          <mc:Choice Requires="wps">
            <w:drawing>
              <wp:anchor distT="0" distB="0" distL="114300" distR="114300" simplePos="0" relativeHeight="251664384" behindDoc="0" locked="0" layoutInCell="1" allowOverlap="1">
                <wp:simplePos x="0" y="0"/>
                <wp:positionH relativeFrom="column">
                  <wp:posOffset>5318287</wp:posOffset>
                </wp:positionH>
                <wp:positionV relativeFrom="paragraph">
                  <wp:posOffset>-577850</wp:posOffset>
                </wp:positionV>
                <wp:extent cx="776015" cy="428417"/>
                <wp:effectExtent l="0" t="0" r="0" b="0"/>
                <wp:wrapNone/>
                <wp:docPr id="8" name="Textové pole 8"/>
                <wp:cNvGraphicFramePr/>
                <a:graphic xmlns:a="http://schemas.openxmlformats.org/drawingml/2006/main">
                  <a:graphicData uri="http://schemas.microsoft.com/office/word/2010/wordprocessingShape">
                    <wps:wsp xmlns:wps="http://schemas.microsoft.com/office/word/2010/wordprocessingShape">
                      <wps:cNvSpPr txBox="1"/>
                      <wps:spPr>
                        <a:xfrm>
                          <a:off x="0" y="0"/>
                          <a:ext cx="776015" cy="42841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D358D" w:rsidRPr="008F5F86" w:rsidP="00D17814">
                            <w:pPr>
                              <w:spacing w:before="0"/>
                              <w:jc w:val="right"/>
                              <w:rPr>
                                <w:rFonts w:ascii="Arial" w:hAnsi="Arial" w:cs="Arial"/>
                                <w:b/>
                                <w:sz w:val="32"/>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ové pole 8" o:spid="_x0000_s1027" type="#_x0000_t202" style="height:33.75pt;margin-left:418.75pt;margin-top:-45.5pt;mso-height-percent:0;mso-height-relative:margin;mso-width-percent:0;mso-width-relative:margin;mso-wrap-distance-bottom:0;mso-wrap-distance-left:9pt;mso-wrap-distance-right:9pt;mso-wrap-distance-top:0;mso-wrap-style:square;position:absolute;v-text-anchor:top;visibility:visible;width:61.1pt;z-index:251665408" filled="f" stroked="f" strokeweight="0.5pt">
                <v:textbox>
                  <w:txbxContent>
                    <w:p w:rsidR="005D358D" w:rsidRPr="008F5F86" w:rsidP="00D17814">
                      <w:pPr>
                        <w:spacing w:before="0"/>
                        <w:jc w:val="right"/>
                        <w:rPr>
                          <w:rFonts w:ascii="Arial" w:hAnsi="Arial" w:cs="Arial"/>
                          <w:b/>
                          <w:sz w:val="32"/>
                        </w:rPr>
                      </w:pPr>
                    </w:p>
                  </w:txbxContent>
                </v:textbox>
              </v:shape>
            </w:pict>
          </mc:Fallback>
        </mc:AlternateContent>
      </w:r>
    </w:p>
    <w:p w:rsidR="00830E3C" w:rsidRPr="00940BDF">
      <w:pPr>
        <w:jc w:val="left"/>
      </w:pPr>
      <w:r>
        <w:rPr>
          <w:rFonts w:ascii="Segoe UI" w:hAnsi="Segoe UI" w:cs="Segoe UI"/>
          <w:noProof/>
          <w:sz w:val="96"/>
          <w:lang w:eastAsia="cs-CZ"/>
        </w:rPr>
        <mc:AlternateContent>
          <mc:Choice Requires="wps">
            <w:drawing>
              <wp:anchor distT="0" distB="0" distL="114300" distR="114300" simplePos="0" relativeHeight="251661312" behindDoc="0" locked="0" layoutInCell="1" allowOverlap="1">
                <wp:simplePos x="0" y="0"/>
                <wp:positionH relativeFrom="column">
                  <wp:posOffset>3967480</wp:posOffset>
                </wp:positionH>
                <wp:positionV relativeFrom="paragraph">
                  <wp:posOffset>180340</wp:posOffset>
                </wp:positionV>
                <wp:extent cx="2448000" cy="658800"/>
                <wp:effectExtent l="0" t="0" r="0" b="0"/>
                <wp:wrapNone/>
                <wp:docPr id="106" name="Textové pole 1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8000" cy="65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D358D" w:rsidRPr="008F40FB" w:rsidP="008F40FB">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Centrální harmonizační jednotka</w:t>
                            </w:r>
                          </w:p>
                          <w:p w:rsidR="005D358D" w:rsidRPr="008F40FB" w:rsidP="000E3E93">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Ministerstvo</w:t>
                            </w:r>
                            <w:r>
                              <w:rPr>
                                <w:rFonts w:ascii="Segoe UI Light" w:hAnsi="Segoe UI Light" w:cs="Segoe UI"/>
                                <w:color w:val="A6A6A6" w:themeColor="background1" w:themeShade="A6"/>
                                <w:sz w:val="24"/>
                                <w:szCs w:val="24"/>
                              </w:rPr>
                              <w:t xml:space="preserve"> </w:t>
                            </w:r>
                            <w:r w:rsidRPr="008F40FB">
                              <w:rPr>
                                <w:rFonts w:ascii="Segoe UI Light" w:hAnsi="Segoe UI Light" w:cs="Segoe UI"/>
                                <w:color w:val="A6A6A6" w:themeColor="background1" w:themeShade="A6"/>
                                <w:sz w:val="24"/>
                                <w:szCs w:val="24"/>
                              </w:rPr>
                              <w:t>financí ČR</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ové pole 106" o:spid="_x0000_s1028" type="#_x0000_t202" style="height:51.85pt;margin-left:312.4pt;margin-top:14.2pt;mso-height-percent:0;mso-height-relative:margin;mso-width-percent:0;mso-width-relative:margin;mso-wrap-distance-bottom:0;mso-wrap-distance-left:9pt;mso-wrap-distance-right:9pt;mso-wrap-distance-top:0;mso-wrap-style:square;position:absolute;v-text-anchor:top;visibility:visible;width:192.75pt;z-index:251662336" filled="f" stroked="f" strokeweight="0.5pt">
                <v:textbox>
                  <w:txbxContent>
                    <w:p w:rsidR="005D358D" w:rsidRPr="008F40FB" w:rsidP="008F40FB">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Centrální harmonizační jednotka</w:t>
                      </w:r>
                    </w:p>
                    <w:p w:rsidR="005D358D" w:rsidRPr="008F40FB" w:rsidP="000E3E93">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Ministerstvo</w:t>
                      </w:r>
                      <w:r>
                        <w:rPr>
                          <w:rFonts w:ascii="Segoe UI Light" w:hAnsi="Segoe UI Light" w:cs="Segoe UI"/>
                          <w:color w:val="A6A6A6" w:themeColor="background1" w:themeShade="A6"/>
                          <w:sz w:val="24"/>
                          <w:szCs w:val="24"/>
                        </w:rPr>
                        <w:t xml:space="preserve"> </w:t>
                      </w:r>
                      <w:r w:rsidRPr="008F40FB">
                        <w:rPr>
                          <w:rFonts w:ascii="Segoe UI Light" w:hAnsi="Segoe UI Light" w:cs="Segoe UI"/>
                          <w:color w:val="A6A6A6" w:themeColor="background1" w:themeShade="A6"/>
                          <w:sz w:val="24"/>
                          <w:szCs w:val="24"/>
                        </w:rPr>
                        <w:t>financí ČR</w:t>
                      </w:r>
                    </w:p>
                  </w:txbxContent>
                </v:textbox>
              </v:shape>
            </w:pict>
          </mc:Fallback>
        </mc:AlternateContent>
      </w:r>
    </w:p>
    <w:p w:rsidR="00766664" w:rsidRPr="00834318" w:rsidP="00CC4B9A">
      <w:pPr>
        <w:pStyle w:val="Title"/>
        <w:spacing w:before="5400"/>
        <w:ind w:right="1276"/>
        <w:rPr>
          <w:rFonts w:ascii="Segoe UI" w:hAnsi="Segoe UI" w:cs="Segoe UI"/>
          <w:sz w:val="96"/>
        </w:rPr>
      </w:pPr>
      <w:bookmarkStart w:id="0" w:name="_Toc218518303"/>
      <w:bookmarkStart w:id="1" w:name="_Toc218683785"/>
      <w:bookmarkStart w:id="2" w:name="_Toc219119220"/>
      <w:bookmarkStart w:id="3" w:name="_Toc219366940"/>
      <w:bookmarkStart w:id="4" w:name="_Toc219381827"/>
      <w:r w:rsidRPr="004D0356">
        <w:rPr>
          <w:rFonts w:ascii="Segoe UI" w:hAnsi="Segoe UI" w:cs="Segoe UI"/>
          <w:noProof/>
          <w:sz w:val="96"/>
          <w:lang w:eastAsia="cs-CZ"/>
        </w:rPr>
        <mc:AlternateContent>
          <mc:Choice Requires="wps">
            <w:drawing>
              <wp:anchor distT="0" distB="0" distL="114300" distR="114300" simplePos="0" relativeHeight="251658240" behindDoc="1" locked="0" layoutInCell="1" allowOverlap="1">
                <wp:simplePos x="0" y="0"/>
                <wp:positionH relativeFrom="column">
                  <wp:align>center</wp:align>
                </wp:positionH>
                <wp:positionV relativeFrom="page">
                  <wp:align>center</wp:align>
                </wp:positionV>
                <wp:extent cx="9633600" cy="6555600"/>
                <wp:effectExtent l="0" t="3810" r="1905" b="1905"/>
                <wp:wrapNone/>
                <wp:docPr id="2" name="Vývojový diagram: ruční vstup 98"/>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9633600" cy="6555600"/>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3966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3966 h 10000"/>
                            <a:gd name="connsiteX0" fmla="*/ 0 w 10000"/>
                            <a:gd name="connsiteY0" fmla="*/ 4809 h 10843"/>
                            <a:gd name="connsiteX1" fmla="*/ 10000 w 10000"/>
                            <a:gd name="connsiteY1" fmla="*/ 0 h 10843"/>
                            <a:gd name="connsiteX2" fmla="*/ 10000 w 10000"/>
                            <a:gd name="connsiteY2" fmla="*/ 10843 h 10843"/>
                            <a:gd name="connsiteX3" fmla="*/ 0 w 10000"/>
                            <a:gd name="connsiteY3" fmla="*/ 10843 h 10843"/>
                            <a:gd name="connsiteX4" fmla="*/ 0 w 10000"/>
                            <a:gd name="connsiteY4" fmla="*/ 4809 h 10843"/>
                          </a:gdLst>
                          <a:rect l="l" t="t" r="r" b="b"/>
                          <a:pathLst>
                            <a:path fill="norm" h="10843" w="10000" stroke="1">
                              <a:moveTo>
                                <a:pt x="0" y="4809"/>
                              </a:moveTo>
                              <a:lnTo>
                                <a:pt x="10000" y="0"/>
                              </a:lnTo>
                              <a:lnTo>
                                <a:pt x="10000" y="10843"/>
                              </a:lnTo>
                              <a:lnTo>
                                <a:pt x="0" y="10843"/>
                              </a:lnTo>
                              <a:lnTo>
                                <a:pt x="0" y="4809"/>
                              </a:lnTo>
                              <a:close/>
                            </a:path>
                          </a:pathLst>
                        </a:cu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Vývojový diagram: ruční vstup 98" o:spid="_x0000_s1029" style="height:516.2pt;margin-left:0;margin-top:0;mso-height-percent:0;mso-height-relative:margin;mso-position-horizontal:center;mso-position-vertical:center;mso-position-vertical-relative:page;mso-width-percent:0;mso-width-relative:margin;mso-wrap-distance-bottom:0;mso-wrap-distance-left:9pt;mso-wrap-distance-right:9pt;mso-wrap-distance-top:0;mso-wrap-style:square;position:absolute;rotation:90;v-text-anchor:middle;visibility:visible;width:758.55pt;z-index:-251657216" coordsize="10000,10843" path="m,4809l10000,l10000,10843l,10843,,4809xe" fillcolor="#f2f2f2" stroked="f" strokeweight="2pt">
                <v:path arrowok="t" o:connecttype="custom" o:connectlocs="0,2907487;9633600,0;9633600,6555600;0,6555600;0,2907487" o:connectangles="0,0,0,0,0"/>
              </v:shape>
            </w:pict>
          </mc:Fallback>
        </mc:AlternateContent>
      </w:r>
      <w:r>
        <w:rPr>
          <w:rFonts w:ascii="Segoe UI" w:hAnsi="Segoe UI" w:cs="Segoe UI"/>
          <w:sz w:val="72"/>
          <w:szCs w:val="22"/>
        </w:rPr>
        <w:t xml:space="preserve">Vzorová </w:t>
      </w:r>
      <w:r w:rsidR="00D338BB">
        <w:rPr>
          <w:rFonts w:ascii="Segoe UI" w:hAnsi="Segoe UI" w:cs="Segoe UI"/>
          <w:sz w:val="72"/>
          <w:szCs w:val="22"/>
        </w:rPr>
        <w:t>s</w:t>
      </w:r>
      <w:r w:rsidRPr="002F30D8" w:rsidR="00BC67D1">
        <w:rPr>
          <w:rFonts w:ascii="Segoe UI" w:hAnsi="Segoe UI" w:cs="Segoe UI"/>
          <w:sz w:val="72"/>
          <w:szCs w:val="22"/>
        </w:rPr>
        <w:t>měrnice o</w:t>
      </w:r>
      <w:r w:rsidR="00CC4B9A">
        <w:rPr>
          <w:rFonts w:ascii="Segoe UI" w:hAnsi="Segoe UI" w:cs="Segoe UI"/>
          <w:sz w:val="72"/>
          <w:szCs w:val="22"/>
        </w:rPr>
        <w:t> </w:t>
      </w:r>
      <w:r w:rsidRPr="002F30D8" w:rsidR="00BC67D1">
        <w:rPr>
          <w:rFonts w:ascii="Segoe UI" w:hAnsi="Segoe UI" w:cs="Segoe UI"/>
          <w:sz w:val="72"/>
          <w:szCs w:val="22"/>
        </w:rPr>
        <w:t>řízení a</w:t>
      </w:r>
      <w:r w:rsidR="00BC67D1">
        <w:rPr>
          <w:rFonts w:ascii="Segoe UI" w:hAnsi="Segoe UI" w:cs="Segoe UI"/>
          <w:sz w:val="72"/>
          <w:szCs w:val="22"/>
        </w:rPr>
        <w:t> </w:t>
      </w:r>
      <w:r w:rsidRPr="002F30D8" w:rsidR="00BC67D1">
        <w:rPr>
          <w:rFonts w:ascii="Segoe UI" w:hAnsi="Segoe UI" w:cs="Segoe UI"/>
          <w:sz w:val="72"/>
          <w:szCs w:val="22"/>
        </w:rPr>
        <w:t>kontrole veřejných financí</w:t>
      </w:r>
      <w:bookmarkEnd w:id="0"/>
      <w:bookmarkEnd w:id="1"/>
      <w:bookmarkEnd w:id="2"/>
      <w:bookmarkEnd w:id="3"/>
      <w:bookmarkEnd w:id="4"/>
    </w:p>
    <w:p w:rsidR="004352AC" w:rsidRPr="004352AC" w:rsidP="004D0356">
      <w:pPr>
        <w:pStyle w:val="Subtitle"/>
      </w:pPr>
      <w:r>
        <w:t xml:space="preserve">pro </w:t>
      </w:r>
      <w:r w:rsidR="000057AC">
        <w:t>orgány veřejné správy</w:t>
      </w:r>
    </w:p>
    <w:p w:rsidR="00E90016" w:rsidP="004352AC"/>
    <w:p w:rsidR="006D1D2D" w:rsidP="004352AC"/>
    <w:p w:rsidR="00CC4B9A" w:rsidP="004352AC"/>
    <w:p w:rsidR="00CC4B9A" w:rsidP="004352AC"/>
    <w:p w:rsidR="005B434B" w:rsidP="004352AC"/>
    <w:p w:rsidR="004352AC" w:rsidP="004352AC">
      <w:r>
        <w:t xml:space="preserve">Verze </w:t>
      </w:r>
      <w:r w:rsidR="009261F9">
        <w:t>2</w:t>
      </w:r>
      <w:r>
        <w:t>.0</w:t>
      </w:r>
    </w:p>
    <w:p w:rsidR="009261F9" w:rsidP="004D0356">
      <w:r>
        <w:t>Vydáno dne</w:t>
      </w:r>
      <w:r w:rsidR="001E03BB">
        <w:t xml:space="preserve"> </w:t>
      </w:r>
      <w:r w:rsidR="00BC67D1">
        <w:t>3</w:t>
      </w:r>
      <w:r w:rsidR="007E67AB">
        <w:t xml:space="preserve">. </w:t>
      </w:r>
      <w:r w:rsidR="00BC67D1">
        <w:t>9</w:t>
      </w:r>
      <w:r w:rsidRPr="00E90016" w:rsidR="00C82D72">
        <w:t xml:space="preserve">. </w:t>
      </w:r>
      <w:r w:rsidR="00BC67D1">
        <w:t>202</w:t>
      </w:r>
      <w:r w:rsidR="00A81F4D">
        <w:t>1</w:t>
      </w:r>
    </w:p>
    <w:p w:rsidR="004D0356" w:rsidP="004D0356">
      <w:r>
        <w:t xml:space="preserve">Aktualizováno dne </w:t>
      </w:r>
      <w:r w:rsidR="00A81F4D">
        <w:t>15</w:t>
      </w:r>
      <w:r>
        <w:t xml:space="preserve">. </w:t>
      </w:r>
      <w:r w:rsidR="006D1D2D">
        <w:t>1</w:t>
      </w:r>
      <w:r>
        <w:t>. 202</w:t>
      </w:r>
      <w:r w:rsidR="00BC67D1">
        <w:t>6</w:t>
      </w:r>
      <w:r>
        <w:br w:type="page"/>
      </w:r>
    </w:p>
    <w:p w:rsidR="0025375C" w:rsidRPr="004C58B6" w:rsidP="00701E39">
      <w:pPr>
        <w:pStyle w:val="Nadpisproobsah"/>
        <w:rPr>
          <w:rFonts w:ascii="Segoe UI" w:hAnsi="Segoe UI" w:cs="Segoe UI"/>
        </w:rPr>
      </w:pPr>
      <w:bookmarkStart w:id="5" w:name="_Toc431829406"/>
      <w:bookmarkStart w:id="6" w:name="_Toc62124875"/>
      <w:bookmarkStart w:id="7" w:name="_Toc209175168"/>
      <w:bookmarkStart w:id="8" w:name="_Toc216880532"/>
      <w:bookmarkStart w:id="9" w:name="_Toc217403777"/>
      <w:bookmarkStart w:id="10" w:name="_Toc218518304"/>
      <w:bookmarkStart w:id="11" w:name="_Toc218683786"/>
      <w:bookmarkStart w:id="12" w:name="_Toc219119221"/>
      <w:bookmarkStart w:id="13" w:name="_Toc219366941"/>
      <w:bookmarkStart w:id="14" w:name="_Toc219381828"/>
      <w:r w:rsidRPr="004C58B6">
        <w:rPr>
          <w:rFonts w:ascii="Segoe UI" w:hAnsi="Segoe UI" w:cs="Segoe UI"/>
        </w:rPr>
        <w:t>Obsah</w:t>
      </w:r>
      <w:bookmarkEnd w:id="5"/>
      <w:bookmarkEnd w:id="6"/>
      <w:bookmarkEnd w:id="7"/>
      <w:bookmarkEnd w:id="8"/>
      <w:bookmarkEnd w:id="9"/>
      <w:bookmarkEnd w:id="10"/>
      <w:bookmarkEnd w:id="11"/>
      <w:bookmarkEnd w:id="12"/>
      <w:bookmarkEnd w:id="13"/>
      <w:bookmarkEnd w:id="14"/>
    </w:p>
    <w:sdt>
      <w:sdtPr>
        <w:id w:val="1936402168"/>
        <w:docPartObj>
          <w:docPartGallery w:val="Table of Contents"/>
          <w:docPartUnique/>
        </w:docPartObj>
      </w:sdtPr>
      <w:sdtEndPr>
        <w:rPr>
          <w:b/>
          <w:bCs/>
          <w:noProof/>
        </w:rPr>
      </w:sdtEndPr>
      <w:sdtContent>
        <w:p w:rsidR="00422D72">
          <w:pPr>
            <w:pStyle w:val="TOC1"/>
            <w:rPr>
              <w:rFonts w:asciiTheme="minorHAnsi" w:eastAsiaTheme="minorEastAsia" w:hAnsiTheme="minorHAnsi" w:cstheme="minorBidi"/>
              <w:noProof/>
              <w:kern w:val="2"/>
              <w:sz w:val="24"/>
              <w:szCs w:val="24"/>
              <w:lang w:eastAsia="cs-CZ"/>
              <w14:ligatures w14:val="standardContextual"/>
            </w:rPr>
          </w:pPr>
          <w:r w:rsidRPr="008F4BA6">
            <w:rPr>
              <w:rFonts w:asciiTheme="minorHAnsi" w:hAnsiTheme="minorHAnsi" w:cstheme="minorHAnsi"/>
            </w:rPr>
            <w:fldChar w:fldCharType="begin"/>
          </w:r>
          <w:r w:rsidRPr="008F4BA6">
            <w:rPr>
              <w:rFonts w:asciiTheme="minorHAnsi" w:hAnsiTheme="minorHAnsi" w:cstheme="minorHAnsi"/>
            </w:rPr>
            <w:instrText xml:space="preserve"> TOC \o "1-3" \h \z \u </w:instrText>
          </w:r>
          <w:r w:rsidRPr="008F4BA6">
            <w:rPr>
              <w:rFonts w:asciiTheme="minorHAnsi" w:hAnsiTheme="minorHAnsi" w:cstheme="minorHAnsi"/>
            </w:rPr>
            <w:fldChar w:fldCharType="separate"/>
          </w:r>
          <w:r>
            <w:fldChar w:fldCharType="begin"/>
          </w:r>
          <w:r>
            <w:instrText xml:space="preserve"> HYPERLINK \l "_Toc219381829" </w:instrText>
          </w:r>
          <w:r>
            <w:fldChar w:fldCharType="separate"/>
          </w:r>
          <w:r w:rsidRPr="00845C77">
            <w:rPr>
              <w:rStyle w:val="Hyperlink"/>
              <w:noProof/>
            </w:rPr>
            <w:t>1</w:t>
          </w:r>
          <w:r>
            <w:rPr>
              <w:rFonts w:asciiTheme="minorHAnsi" w:eastAsiaTheme="minorEastAsia" w:hAnsiTheme="minorHAnsi" w:cstheme="minorBidi"/>
              <w:noProof/>
              <w:kern w:val="2"/>
              <w:sz w:val="24"/>
              <w:szCs w:val="24"/>
              <w:lang w:eastAsia="cs-CZ"/>
              <w14:ligatures w14:val="standardContextual"/>
            </w:rPr>
            <w:tab/>
          </w:r>
          <w:r w:rsidRPr="00845C77">
            <w:rPr>
              <w:rStyle w:val="Hyperlink"/>
              <w:noProof/>
            </w:rPr>
            <w:t>Úvod</w:t>
          </w:r>
          <w:r>
            <w:rPr>
              <w:noProof/>
              <w:webHidden/>
            </w:rPr>
            <w:tab/>
          </w:r>
          <w:r>
            <w:rPr>
              <w:noProof/>
              <w:webHidden/>
            </w:rPr>
            <w:fldChar w:fldCharType="begin"/>
          </w:r>
          <w:r>
            <w:rPr>
              <w:noProof/>
              <w:webHidden/>
            </w:rPr>
            <w:instrText xml:space="preserve"> PAGEREF _Toc219381829 \h </w:instrText>
          </w:r>
          <w:r>
            <w:rPr>
              <w:noProof/>
              <w:webHidden/>
            </w:rPr>
            <w:fldChar w:fldCharType="separate"/>
          </w:r>
          <w:r w:rsidR="006B5368">
            <w:rPr>
              <w:noProof/>
              <w:webHidden/>
            </w:rPr>
            <w:t>1</w:t>
          </w:r>
          <w:r>
            <w:rPr>
              <w:noProof/>
              <w:webHidden/>
            </w:rPr>
            <w:fldChar w:fldCharType="end"/>
          </w:r>
          <w:r>
            <w:fldChar w:fldCharType="end"/>
          </w:r>
        </w:p>
        <w:p w:rsidR="00422D72">
          <w:pPr>
            <w:pStyle w:val="TOC1"/>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HYPERLINK \l "_Toc219381830" </w:instrText>
          </w:r>
          <w:r>
            <w:fldChar w:fldCharType="separate"/>
          </w:r>
          <w:r w:rsidRPr="00845C77">
            <w:rPr>
              <w:rStyle w:val="Hyperlink"/>
              <w:noProof/>
            </w:rPr>
            <w:t>2</w:t>
          </w:r>
          <w:r>
            <w:rPr>
              <w:rFonts w:asciiTheme="minorHAnsi" w:eastAsiaTheme="minorEastAsia" w:hAnsiTheme="minorHAnsi" w:cstheme="minorBidi"/>
              <w:noProof/>
              <w:kern w:val="2"/>
              <w:sz w:val="24"/>
              <w:szCs w:val="24"/>
              <w:lang w:eastAsia="cs-CZ"/>
              <w14:ligatures w14:val="standardContextual"/>
            </w:rPr>
            <w:tab/>
          </w:r>
          <w:r w:rsidRPr="00845C77">
            <w:rPr>
              <w:rStyle w:val="Hyperlink"/>
              <w:noProof/>
            </w:rPr>
            <w:t>Co vyplývá ze zákona o řízení a kontrole veřejných financí?</w:t>
          </w:r>
          <w:r>
            <w:rPr>
              <w:noProof/>
              <w:webHidden/>
            </w:rPr>
            <w:tab/>
          </w:r>
          <w:r>
            <w:rPr>
              <w:noProof/>
              <w:webHidden/>
            </w:rPr>
            <w:fldChar w:fldCharType="begin"/>
          </w:r>
          <w:r>
            <w:rPr>
              <w:noProof/>
              <w:webHidden/>
            </w:rPr>
            <w:instrText xml:space="preserve"> PAGEREF _Toc219381830 \h </w:instrText>
          </w:r>
          <w:r>
            <w:rPr>
              <w:noProof/>
              <w:webHidden/>
            </w:rPr>
            <w:fldChar w:fldCharType="separate"/>
          </w:r>
          <w:r w:rsidR="006B5368">
            <w:rPr>
              <w:noProof/>
              <w:webHidden/>
            </w:rPr>
            <w:t>2</w:t>
          </w:r>
          <w:r>
            <w:rPr>
              <w:noProof/>
              <w:webHidden/>
            </w:rPr>
            <w:fldChar w:fldCharType="end"/>
          </w:r>
          <w:r>
            <w:fldChar w:fldCharType="end"/>
          </w:r>
        </w:p>
        <w:p w:rsidR="00422D72">
          <w:pPr>
            <w:pStyle w:val="TOC1"/>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HYPERLINK \l "_Toc219381831" </w:instrText>
          </w:r>
          <w:r>
            <w:fldChar w:fldCharType="separate"/>
          </w:r>
          <w:r w:rsidRPr="00845C77">
            <w:rPr>
              <w:rStyle w:val="Hyperlink"/>
              <w:noProof/>
            </w:rPr>
            <w:t>3</w:t>
          </w:r>
          <w:r>
            <w:rPr>
              <w:rFonts w:asciiTheme="minorHAnsi" w:eastAsiaTheme="minorEastAsia" w:hAnsiTheme="minorHAnsi" w:cstheme="minorBidi"/>
              <w:noProof/>
              <w:kern w:val="2"/>
              <w:sz w:val="24"/>
              <w:szCs w:val="24"/>
              <w:lang w:eastAsia="cs-CZ"/>
              <w14:ligatures w14:val="standardContextual"/>
            </w:rPr>
            <w:tab/>
          </w:r>
          <w:r w:rsidRPr="00845C77">
            <w:rPr>
              <w:rStyle w:val="Hyperlink"/>
              <w:noProof/>
            </w:rPr>
            <w:t>Jak v praxi aplikovat zákon o řízení a kontrole veřejných financí</w:t>
          </w:r>
          <w:r>
            <w:rPr>
              <w:noProof/>
              <w:webHidden/>
            </w:rPr>
            <w:tab/>
          </w:r>
          <w:r>
            <w:rPr>
              <w:noProof/>
              <w:webHidden/>
            </w:rPr>
            <w:fldChar w:fldCharType="begin"/>
          </w:r>
          <w:r>
            <w:rPr>
              <w:noProof/>
              <w:webHidden/>
            </w:rPr>
            <w:instrText xml:space="preserve"> PAGEREF _Toc219381831 \h </w:instrText>
          </w:r>
          <w:r>
            <w:rPr>
              <w:noProof/>
              <w:webHidden/>
            </w:rPr>
            <w:fldChar w:fldCharType="separate"/>
          </w:r>
          <w:r w:rsidR="006B5368">
            <w:rPr>
              <w:noProof/>
              <w:webHidden/>
            </w:rPr>
            <w:t>3</w:t>
          </w:r>
          <w:r>
            <w:rPr>
              <w:noProof/>
              <w:webHidden/>
            </w:rPr>
            <w:fldChar w:fldCharType="end"/>
          </w:r>
          <w:r>
            <w:fldChar w:fldCharType="end"/>
          </w:r>
        </w:p>
        <w:p w:rsidR="00422D72">
          <w:pPr>
            <w:pStyle w:val="TOC2"/>
            <w:tabs>
              <w:tab w:val="left" w:pos="720"/>
              <w:tab w:val="right" w:leader="dot" w:pos="9062"/>
            </w:tabs>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HYPERLINK \l "_Toc219381832" </w:instrText>
          </w:r>
          <w:r>
            <w:fldChar w:fldCharType="separate"/>
          </w:r>
          <w:r w:rsidRPr="00845C77">
            <w:rPr>
              <w:rStyle w:val="Hyperlink"/>
              <w:noProof/>
            </w:rPr>
            <w:t>3.1</w:t>
          </w:r>
          <w:r>
            <w:rPr>
              <w:rFonts w:asciiTheme="minorHAnsi" w:eastAsiaTheme="minorEastAsia" w:hAnsiTheme="minorHAnsi" w:cstheme="minorBidi"/>
              <w:noProof/>
              <w:kern w:val="2"/>
              <w:sz w:val="24"/>
              <w:szCs w:val="24"/>
              <w:lang w:eastAsia="cs-CZ"/>
              <w14:ligatures w14:val="standardContextual"/>
            </w:rPr>
            <w:tab/>
          </w:r>
          <w:r w:rsidRPr="00845C77">
            <w:rPr>
              <w:rStyle w:val="Hyperlink"/>
              <w:noProof/>
            </w:rPr>
            <w:t>Nové povinnosti podle zákona o řízení a kontrole veřejných financí</w:t>
          </w:r>
          <w:r>
            <w:rPr>
              <w:noProof/>
              <w:webHidden/>
            </w:rPr>
            <w:tab/>
          </w:r>
          <w:r>
            <w:rPr>
              <w:noProof/>
              <w:webHidden/>
            </w:rPr>
            <w:fldChar w:fldCharType="begin"/>
          </w:r>
          <w:r>
            <w:rPr>
              <w:noProof/>
              <w:webHidden/>
            </w:rPr>
            <w:instrText xml:space="preserve"> PAGEREF _Toc219381832 \h </w:instrText>
          </w:r>
          <w:r>
            <w:rPr>
              <w:noProof/>
              <w:webHidden/>
            </w:rPr>
            <w:fldChar w:fldCharType="separate"/>
          </w:r>
          <w:r w:rsidR="006B5368">
            <w:rPr>
              <w:noProof/>
              <w:webHidden/>
            </w:rPr>
            <w:t>3</w:t>
          </w:r>
          <w:r>
            <w:rPr>
              <w:noProof/>
              <w:webHidden/>
            </w:rPr>
            <w:fldChar w:fldCharType="end"/>
          </w:r>
          <w:r>
            <w:fldChar w:fldCharType="end"/>
          </w:r>
        </w:p>
        <w:p w:rsidR="00422D72">
          <w:pPr>
            <w:pStyle w:val="TOC2"/>
            <w:tabs>
              <w:tab w:val="left" w:pos="720"/>
              <w:tab w:val="right" w:leader="dot" w:pos="9062"/>
            </w:tabs>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HYPERLINK \l "_Toc219381833" </w:instrText>
          </w:r>
          <w:r>
            <w:fldChar w:fldCharType="separate"/>
          </w:r>
          <w:r w:rsidRPr="00845C77">
            <w:rPr>
              <w:rStyle w:val="Hyperlink"/>
              <w:noProof/>
            </w:rPr>
            <w:t>3.2</w:t>
          </w:r>
          <w:r>
            <w:rPr>
              <w:rFonts w:asciiTheme="minorHAnsi" w:eastAsiaTheme="minorEastAsia" w:hAnsiTheme="minorHAnsi" w:cstheme="minorBidi"/>
              <w:noProof/>
              <w:kern w:val="2"/>
              <w:sz w:val="24"/>
              <w:szCs w:val="24"/>
              <w:lang w:eastAsia="cs-CZ"/>
              <w14:ligatures w14:val="standardContextual"/>
            </w:rPr>
            <w:tab/>
          </w:r>
          <w:r w:rsidRPr="00845C77">
            <w:rPr>
              <w:rStyle w:val="Hyperlink"/>
              <w:noProof/>
            </w:rPr>
            <w:t>Doporučení pro zavádění zákona do praxe</w:t>
          </w:r>
          <w:r>
            <w:rPr>
              <w:noProof/>
              <w:webHidden/>
            </w:rPr>
            <w:tab/>
          </w:r>
          <w:r>
            <w:rPr>
              <w:noProof/>
              <w:webHidden/>
            </w:rPr>
            <w:fldChar w:fldCharType="begin"/>
          </w:r>
          <w:r>
            <w:rPr>
              <w:noProof/>
              <w:webHidden/>
            </w:rPr>
            <w:instrText xml:space="preserve"> PAGEREF _Toc219381833 \h </w:instrText>
          </w:r>
          <w:r>
            <w:rPr>
              <w:noProof/>
              <w:webHidden/>
            </w:rPr>
            <w:fldChar w:fldCharType="separate"/>
          </w:r>
          <w:r w:rsidR="006B5368">
            <w:rPr>
              <w:noProof/>
              <w:webHidden/>
            </w:rPr>
            <w:t>4</w:t>
          </w:r>
          <w:r>
            <w:rPr>
              <w:noProof/>
              <w:webHidden/>
            </w:rPr>
            <w:fldChar w:fldCharType="end"/>
          </w:r>
          <w:r>
            <w:fldChar w:fldCharType="end"/>
          </w:r>
        </w:p>
        <w:p w:rsidR="00422D72">
          <w:pPr>
            <w:pStyle w:val="TOC2"/>
            <w:tabs>
              <w:tab w:val="left" w:pos="720"/>
              <w:tab w:val="right" w:leader="dot" w:pos="9062"/>
            </w:tabs>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HYPERLINK \l "_Toc219381834" </w:instrText>
          </w:r>
          <w:r>
            <w:fldChar w:fldCharType="separate"/>
          </w:r>
          <w:r w:rsidRPr="00845C77">
            <w:rPr>
              <w:rStyle w:val="Hyperlink"/>
              <w:noProof/>
            </w:rPr>
            <w:t>3.3</w:t>
          </w:r>
          <w:r>
            <w:rPr>
              <w:rFonts w:asciiTheme="minorHAnsi" w:eastAsiaTheme="minorEastAsia" w:hAnsiTheme="minorHAnsi" w:cstheme="minorBidi"/>
              <w:noProof/>
              <w:kern w:val="2"/>
              <w:sz w:val="24"/>
              <w:szCs w:val="24"/>
              <w:lang w:eastAsia="cs-CZ"/>
              <w14:ligatures w14:val="standardContextual"/>
            </w:rPr>
            <w:tab/>
          </w:r>
          <w:r w:rsidRPr="00845C77">
            <w:rPr>
              <w:rStyle w:val="Hyperlink"/>
              <w:noProof/>
            </w:rPr>
            <w:t>Možnosti zjednodušení systému řízení a kontroly</w:t>
          </w:r>
          <w:r>
            <w:rPr>
              <w:noProof/>
              <w:webHidden/>
            </w:rPr>
            <w:tab/>
          </w:r>
          <w:r>
            <w:rPr>
              <w:noProof/>
              <w:webHidden/>
            </w:rPr>
            <w:fldChar w:fldCharType="begin"/>
          </w:r>
          <w:r>
            <w:rPr>
              <w:noProof/>
              <w:webHidden/>
            </w:rPr>
            <w:instrText xml:space="preserve"> PAGEREF _Toc219381834 \h </w:instrText>
          </w:r>
          <w:r>
            <w:rPr>
              <w:noProof/>
              <w:webHidden/>
            </w:rPr>
            <w:fldChar w:fldCharType="separate"/>
          </w:r>
          <w:r w:rsidR="006B5368">
            <w:rPr>
              <w:noProof/>
              <w:webHidden/>
            </w:rPr>
            <w:t>4</w:t>
          </w:r>
          <w:r>
            <w:rPr>
              <w:noProof/>
              <w:webHidden/>
            </w:rPr>
            <w:fldChar w:fldCharType="end"/>
          </w:r>
          <w:r>
            <w:fldChar w:fldCharType="end"/>
          </w:r>
        </w:p>
        <w:p w:rsidR="00422D72">
          <w:pPr>
            <w:pStyle w:val="TOC1"/>
            <w:rPr>
              <w:noProof/>
            </w:rPr>
          </w:pPr>
          <w:r>
            <w:fldChar w:fldCharType="begin"/>
          </w:r>
          <w:r>
            <w:instrText xml:space="preserve"> HYPERLINK \l "_Toc219381835" </w:instrText>
          </w:r>
          <w:r>
            <w:fldChar w:fldCharType="separate"/>
          </w:r>
          <w:r w:rsidRPr="00845C77">
            <w:rPr>
              <w:rStyle w:val="Hyperlink"/>
              <w:noProof/>
            </w:rPr>
            <w:t>4</w:t>
          </w:r>
          <w:r>
            <w:rPr>
              <w:rFonts w:asciiTheme="minorHAnsi" w:eastAsiaTheme="minorEastAsia" w:hAnsiTheme="minorHAnsi" w:cstheme="minorBidi"/>
              <w:noProof/>
              <w:kern w:val="2"/>
              <w:sz w:val="24"/>
              <w:szCs w:val="24"/>
              <w:lang w:eastAsia="cs-CZ"/>
              <w14:ligatures w14:val="standardContextual"/>
            </w:rPr>
            <w:tab/>
          </w:r>
          <w:r w:rsidRPr="00845C77">
            <w:rPr>
              <w:rStyle w:val="Hyperlink"/>
              <w:noProof/>
            </w:rPr>
            <w:t>Komentář k vybraným ustanovením zákona</w:t>
          </w:r>
          <w:r>
            <w:rPr>
              <w:noProof/>
              <w:webHidden/>
            </w:rPr>
            <w:tab/>
          </w:r>
          <w:r>
            <w:rPr>
              <w:noProof/>
              <w:webHidden/>
            </w:rPr>
            <w:fldChar w:fldCharType="begin"/>
          </w:r>
          <w:r>
            <w:rPr>
              <w:noProof/>
              <w:webHidden/>
            </w:rPr>
            <w:instrText xml:space="preserve"> PAGEREF _Toc219381835 \h </w:instrText>
          </w:r>
          <w:r>
            <w:rPr>
              <w:noProof/>
              <w:webHidden/>
            </w:rPr>
            <w:fldChar w:fldCharType="separate"/>
          </w:r>
          <w:r w:rsidR="006B5368">
            <w:rPr>
              <w:noProof/>
              <w:webHidden/>
            </w:rPr>
            <w:t>5</w:t>
          </w:r>
          <w:r>
            <w:rPr>
              <w:noProof/>
              <w:webHidden/>
            </w:rPr>
            <w:fldChar w:fldCharType="end"/>
          </w:r>
          <w:r>
            <w:fldChar w:fldCharType="end"/>
          </w:r>
        </w:p>
        <w:p w:rsidR="002D2A3D" w:rsidRPr="002D2A3D" w:rsidP="002D2A3D">
          <w:pPr>
            <w:rPr>
              <w:rFonts w:eastAsiaTheme="minorEastAsia"/>
            </w:rPr>
          </w:pPr>
        </w:p>
        <w:p w:rsidR="00422D72" w:rsidRPr="002D2A3D">
          <w:pPr>
            <w:pStyle w:val="TOC1"/>
            <w:rPr>
              <w:rFonts w:asciiTheme="minorHAnsi" w:eastAsiaTheme="minorEastAsia" w:hAnsiTheme="minorHAnsi" w:cstheme="minorBidi"/>
              <w:b/>
              <w:bCs/>
              <w:noProof/>
              <w:kern w:val="2"/>
              <w:sz w:val="24"/>
              <w:szCs w:val="24"/>
              <w:lang w:eastAsia="cs-CZ"/>
              <w14:ligatures w14:val="standardContextual"/>
            </w:rPr>
          </w:pPr>
          <w:r>
            <w:fldChar w:fldCharType="begin"/>
          </w:r>
          <w:r>
            <w:instrText xml:space="preserve"> HYPERLINK \l "_Toc219381836" </w:instrText>
          </w:r>
          <w:r>
            <w:fldChar w:fldCharType="separate"/>
          </w:r>
          <w:r w:rsidRPr="002D2A3D">
            <w:rPr>
              <w:rStyle w:val="Hyperlink"/>
              <w:b/>
              <w:bCs/>
              <w:noProof/>
              <w:lang w:eastAsia="cs-CZ"/>
            </w:rPr>
            <w:t>Směrnice o řízení a kontrole veřejných financí pro orgány veřejné správy</w:t>
          </w:r>
          <w:r w:rsidRPr="002D2A3D">
            <w:rPr>
              <w:b/>
              <w:bCs/>
              <w:noProof/>
              <w:webHidden/>
            </w:rPr>
            <w:tab/>
          </w:r>
          <w:r w:rsidRPr="002D2A3D">
            <w:rPr>
              <w:b/>
              <w:bCs/>
              <w:noProof/>
              <w:webHidden/>
            </w:rPr>
            <w:fldChar w:fldCharType="begin"/>
          </w:r>
          <w:r w:rsidRPr="002D2A3D">
            <w:rPr>
              <w:b/>
              <w:bCs/>
              <w:noProof/>
              <w:webHidden/>
            </w:rPr>
            <w:instrText xml:space="preserve"> PAGEREF _Toc219381836 \h </w:instrText>
          </w:r>
          <w:r w:rsidRPr="002D2A3D">
            <w:rPr>
              <w:b/>
              <w:bCs/>
              <w:noProof/>
              <w:webHidden/>
            </w:rPr>
            <w:fldChar w:fldCharType="separate"/>
          </w:r>
          <w:r w:rsidR="006B5368">
            <w:rPr>
              <w:b/>
              <w:bCs/>
              <w:noProof/>
              <w:webHidden/>
            </w:rPr>
            <w:t>7</w:t>
          </w:r>
          <w:r w:rsidRPr="002D2A3D">
            <w:rPr>
              <w:b/>
              <w:bCs/>
              <w:noProof/>
              <w:webHidden/>
            </w:rPr>
            <w:fldChar w:fldCharType="end"/>
          </w:r>
          <w:r>
            <w:fldChar w:fldCharType="end"/>
          </w:r>
        </w:p>
        <w:p w:rsidR="00EC034A">
          <w:r w:rsidRPr="008F4BA6">
            <w:rPr>
              <w:rFonts w:asciiTheme="minorHAnsi" w:hAnsiTheme="minorHAnsi" w:cstheme="minorHAnsi"/>
              <w:b/>
              <w:bCs/>
              <w:noProof/>
            </w:rPr>
            <w:fldChar w:fldCharType="end"/>
          </w:r>
        </w:p>
      </w:sdtContent>
    </w:sdt>
    <w:p w:rsidR="00930F37" w:rsidP="008F4BA6">
      <w:pPr>
        <w:pStyle w:val="Heading1"/>
        <w:numPr>
          <w:ilvl w:val="0"/>
          <w:numId w:val="0"/>
        </w:numPr>
        <w:ind w:left="431"/>
        <w:sectPr w:rsidSect="003B488B">
          <w:footerReference w:type="default" r:id="rId8"/>
          <w:pgSz w:w="11906" w:h="16838"/>
          <w:pgMar w:top="1417" w:right="1417" w:bottom="1417" w:left="1417" w:header="708" w:footer="708" w:gutter="0"/>
          <w:pgNumType w:start="1"/>
          <w:cols w:space="708"/>
          <w:titlePg/>
          <w:docGrid w:linePitch="360"/>
        </w:sectPr>
      </w:pPr>
    </w:p>
    <w:p w:rsidR="004964DC" w:rsidRPr="002323F1" w:rsidP="00D338BB">
      <w:pPr>
        <w:pStyle w:val="Heading1"/>
        <w:ind w:left="431" w:hanging="431"/>
        <w:jc w:val="both"/>
      </w:pPr>
      <w:bookmarkStart w:id="15" w:name="_Toc219381829"/>
      <w:r w:rsidRPr="002323F1">
        <w:t>Úvod</w:t>
      </w:r>
      <w:bookmarkEnd w:id="15"/>
    </w:p>
    <w:p w:rsidR="00BC67D1" w:rsidP="00D338BB">
      <w:r>
        <w:t>Tento metodický pokyn</w:t>
      </w:r>
      <w:r w:rsidR="000F6A1A">
        <w:t xml:space="preserve"> vydal odbor</w:t>
      </w:r>
      <w:r>
        <w:t xml:space="preserve"> Centrální harmonizační jednotka </w:t>
      </w:r>
      <w:r w:rsidR="000F6A1A">
        <w:t xml:space="preserve">Ministerstva financí (dále „CHJ“) </w:t>
      </w:r>
      <w:r>
        <w:t xml:space="preserve">jako </w:t>
      </w:r>
      <w:r>
        <w:t xml:space="preserve">příručku zahrnující </w:t>
      </w:r>
      <w:r w:rsidRPr="000F6A1A">
        <w:rPr>
          <w:b/>
          <w:bCs/>
        </w:rPr>
        <w:t>doporučující vzor</w:t>
      </w:r>
      <w:r>
        <w:rPr>
          <w:b/>
          <w:bCs/>
        </w:rPr>
        <w:t>y</w:t>
      </w:r>
      <w:r>
        <w:t xml:space="preserve"> směrnic</w:t>
      </w:r>
      <w:r w:rsidR="00A70EFB">
        <w:t>e</w:t>
      </w:r>
      <w:r>
        <w:t xml:space="preserve"> o nastavení řízení a kontroly veřejných financí</w:t>
      </w:r>
      <w:r w:rsidR="000F6A1A">
        <w:t>.</w:t>
      </w:r>
      <w:r>
        <w:t xml:space="preserve"> </w:t>
      </w:r>
      <w:r w:rsidR="000F6A1A">
        <w:t xml:space="preserve">Jednotlivé vzorové dokumenty </w:t>
      </w:r>
      <w:r>
        <w:t xml:space="preserve">v této metodické příručce obsažené </w:t>
      </w:r>
      <w:r w:rsidR="000F6A1A">
        <w:t xml:space="preserve">doporučujeme v případě jejich použití </w:t>
      </w:r>
      <w:r>
        <w:t>upravit podle potřeb</w:t>
      </w:r>
      <w:r>
        <w:t xml:space="preserve"> konkrétního orgánu veřejné správy</w:t>
      </w:r>
      <w:r>
        <w:t>.</w:t>
      </w:r>
    </w:p>
    <w:p w:rsidR="00BC67D1" w:rsidP="00D338BB">
      <w:r>
        <w:t>Tato příručka</w:t>
      </w:r>
      <w:r>
        <w:t xml:space="preserve"> vychází ze zákona č. 231/2025 Sb., o řízení a kontrole veřejných financí (dále „zákon o řízení a kontrole veřejných financí“, který s účinností od 1. ledna 2027 nahradí zákon č. 320/2001 Sb., o finanční kontrole ve veřejné správě a o změně některých zákonů (zákon o finanční kontrole), ve znění pozdějších předpisů (zákon o finanční kontrole).</w:t>
      </w:r>
    </w:p>
    <w:p w:rsidR="00BC67D1" w:rsidRPr="00A4563C" w:rsidP="00D338BB">
      <w:r w:rsidRPr="00A4563C">
        <w:t>Metodický pokyn obsahuje vzorov</w:t>
      </w:r>
      <w:r w:rsidRPr="00A4563C" w:rsidR="001D730C">
        <w:t>ou</w:t>
      </w:r>
      <w:r w:rsidRPr="00A4563C">
        <w:t xml:space="preserve"> směrnic</w:t>
      </w:r>
      <w:r w:rsidRPr="00A4563C" w:rsidR="001D730C">
        <w:t>i, která je určena pro všechny orgány veřejné správy, na které dopadá povinnost nastavit systém řízení a kontroly veřejných financí. Vzhledem k</w:t>
      </w:r>
      <w:r w:rsidRPr="00A4563C" w:rsidR="00A6365C">
        <w:t> </w:t>
      </w:r>
      <w:r w:rsidRPr="00A4563C" w:rsidR="001D730C">
        <w:t>různorodosti orgánů veřejné správy je vzorová směrnice obecná a předpokládá se, že bude dále přizpůsobená potřebám konkrétních orgánů veřejné správy.</w:t>
      </w:r>
    </w:p>
    <w:p w:rsidR="00BC67D1" w:rsidP="00D338BB">
      <w:pPr>
        <w:spacing w:before="240"/>
      </w:pPr>
      <w:r>
        <w:t xml:space="preserve">Pro nastavení systému řízení a kontroly veřejných financí u dobrovolných svazků obcí doporučujeme vycházet z </w:t>
      </w:r>
      <w:r>
        <w:fldChar w:fldCharType="begin"/>
      </w:r>
      <w:r>
        <w:instrText xml:space="preserve"> HYPERLINK "https://www.mfcr.cz/cs/kontrola-a-regulace/rizeni-a-kontrola-verejnych-financi/metodicka-podpora-chj/2020/metodicky-pokyn-chj-c-9-vzorova-smernice-37203" </w:instrText>
      </w:r>
      <w:r>
        <w:fldChar w:fldCharType="separate"/>
      </w:r>
      <w:r w:rsidRPr="00BC67D1">
        <w:rPr>
          <w:rStyle w:val="Hyperlink"/>
        </w:rPr>
        <w:t>metodického pokynu CHJ č. 9 - Vzorová směrnice o řízení a kontrole veřejných financí pro dobrovolné svazky obcí</w:t>
      </w:r>
      <w:r>
        <w:fldChar w:fldCharType="end"/>
      </w:r>
      <w:r>
        <w:t xml:space="preserve">, </w:t>
      </w:r>
      <w:r w:rsidR="00877790">
        <w:t>u obcí z</w:t>
      </w:r>
      <w:r w:rsidR="001B7F73">
        <w:t> </w:t>
      </w:r>
      <w:r>
        <w:fldChar w:fldCharType="begin"/>
      </w:r>
      <w:r>
        <w:instrText xml:space="preserve"> HYPERLINK "https://www.mfcr.cz/cs/kontrola-a-regulace/rizeni-a-kontrola-verejnych-financi/metodicka-podpora-chj/2020/metodicky-pokyn-chj-c-10--vzorova-smerni-39632" </w:instrText>
      </w:r>
      <w:r>
        <w:fldChar w:fldCharType="separate"/>
      </w:r>
      <w:r w:rsidRPr="001B7F73" w:rsidR="001B7F73">
        <w:rPr>
          <w:rStyle w:val="Hyperlink"/>
        </w:rPr>
        <w:t>metodického pokynu CHJ č. 10 – Vzorová směrnice o řízení a kontrole veřejných financí pro obce</w:t>
      </w:r>
      <w:r>
        <w:fldChar w:fldCharType="end"/>
      </w:r>
      <w:r w:rsidR="001B7F73">
        <w:t xml:space="preserve"> </w:t>
      </w:r>
      <w:r w:rsidR="00877790">
        <w:t xml:space="preserve">a </w:t>
      </w:r>
      <w:r>
        <w:t xml:space="preserve">u příspěvkových organizací vycházet z </w:t>
      </w:r>
      <w:r>
        <w:fldChar w:fldCharType="begin"/>
      </w:r>
      <w:r>
        <w:instrText xml:space="preserve"> HYPERLINK "https://www.mfcr.cz/cs/kontrola-a-regulace/rizeni-a-kontrola-verejnych-financi/metodicka-podpora-chj/2020/metodicky-pokyn-chj-c-12--vzorova-smerni-39721" </w:instrText>
      </w:r>
      <w:r>
        <w:fldChar w:fldCharType="separate"/>
      </w:r>
      <w:r w:rsidRPr="00BC67D1">
        <w:rPr>
          <w:rStyle w:val="Hyperlink"/>
        </w:rPr>
        <w:t>metodického pokynu CHJ č. 12 – Vzorová směrnice o řízení a kontrole veřejných financí pro příspěvkové organizace</w:t>
      </w:r>
      <w:r>
        <w:fldChar w:fldCharType="end"/>
      </w:r>
      <w:r w:rsidR="00877790">
        <w:t xml:space="preserve">. </w:t>
      </w:r>
    </w:p>
    <w:p w:rsidR="00AB529D" w:rsidP="00D338BB">
      <w:r>
        <w:t xml:space="preserve">Pokud by po přečtení této metodické </w:t>
      </w:r>
      <w:r w:rsidR="00D338BB">
        <w:t xml:space="preserve">příručky </w:t>
      </w:r>
      <w:r>
        <w:t xml:space="preserve">stále trvaly nejasnosti ohledně nastavení vnitřního kontrolního systému a řídicí kontroly, neváhejte se na nás obrátit s dotazem na email </w:t>
      </w:r>
      <w:r>
        <w:fldChar w:fldCharType="begin"/>
      </w:r>
      <w:r>
        <w:instrText xml:space="preserve"> HYPERLINK "mailto:chj@mfcr.cz" </w:instrText>
      </w:r>
      <w:r>
        <w:fldChar w:fldCharType="separate"/>
      </w:r>
      <w:r w:rsidRPr="006C3B6F">
        <w:rPr>
          <w:rStyle w:val="Hyperlink"/>
        </w:rPr>
        <w:t>chj@mfcr.cz</w:t>
      </w:r>
      <w:r>
        <w:fldChar w:fldCharType="end"/>
      </w:r>
      <w:r w:rsidR="006D1D2D">
        <w:t>.</w:t>
      </w:r>
    </w:p>
    <w:p w:rsidR="00715729" w:rsidP="00D338BB">
      <w:pPr>
        <w:spacing w:before="0" w:line="240" w:lineRule="auto"/>
      </w:pPr>
      <w:bookmarkStart w:id="16" w:name="_Toc57398302"/>
      <w:bookmarkStart w:id="17" w:name="_Toc57404086"/>
      <w:bookmarkStart w:id="18" w:name="_Toc57404087"/>
      <w:bookmarkStart w:id="19" w:name="_Toc57398304"/>
      <w:bookmarkStart w:id="20" w:name="_Toc57404088"/>
      <w:bookmarkEnd w:id="16"/>
      <w:bookmarkEnd w:id="17"/>
      <w:bookmarkEnd w:id="18"/>
      <w:bookmarkEnd w:id="19"/>
      <w:bookmarkEnd w:id="20"/>
      <w:r>
        <w:br w:type="page"/>
      </w:r>
    </w:p>
    <w:p w:rsidR="00D338BB" w:rsidP="00D338BB">
      <w:pPr>
        <w:pStyle w:val="Heading1"/>
        <w:jc w:val="both"/>
      </w:pPr>
      <w:bookmarkStart w:id="21" w:name="_Toc219381830"/>
      <w:r w:rsidRPr="00D338BB">
        <w:t>Co vyplývá ze zákona o řízení a kontrole veřejných financí?</w:t>
      </w:r>
      <w:bookmarkEnd w:id="21"/>
    </w:p>
    <w:p w:rsidR="00011C86" w:rsidP="00011C86">
      <w:pPr>
        <w:pStyle w:val="ListParagraph"/>
        <w:numPr>
          <w:ilvl w:val="0"/>
          <w:numId w:val="15"/>
        </w:numPr>
      </w:pPr>
      <w:r>
        <w:t>Vedoucí orgánu veřejné správy odpovídá za nastavení a udržování systému řízení a kontroly veřejných financí.</w:t>
      </w:r>
    </w:p>
    <w:p w:rsidR="00011C86" w:rsidP="00011C86">
      <w:pPr>
        <w:pStyle w:val="ListParagraph"/>
        <w:numPr>
          <w:ilvl w:val="0"/>
          <w:numId w:val="15"/>
        </w:numPr>
      </w:pPr>
      <w:r>
        <w:t>Vedoucí orgánu veřejné správy pověřuje osoby, které vykonávají řídicí kontrolu – kontrolu příjmů a výdajů (</w:t>
      </w:r>
      <w:r w:rsidR="00E347DF">
        <w:t xml:space="preserve">zejména </w:t>
      </w:r>
      <w:r>
        <w:t>příkazce operace, správce rozpočtu a hlavní účetní).</w:t>
      </w:r>
    </w:p>
    <w:p w:rsidR="00011C86" w:rsidP="00011C86">
      <w:pPr>
        <w:pStyle w:val="ListParagraph"/>
        <w:numPr>
          <w:ilvl w:val="0"/>
          <w:numId w:val="15"/>
        </w:numPr>
      </w:pPr>
      <w:r>
        <w:t xml:space="preserve">Funkci příkazce operace může vykonávat vedoucí orgánu veřejné správy nebo </w:t>
      </w:r>
      <w:r w:rsidR="003E142E">
        <w:t xml:space="preserve">jím určeni </w:t>
      </w:r>
      <w:r>
        <w:t>zaměstnanci pověření</w:t>
      </w:r>
      <w:r w:rsidR="003E142E">
        <w:t xml:space="preserve"> řízením činnosti (vedoucí zaměstnanci)</w:t>
      </w:r>
      <w:r>
        <w:t>.</w:t>
      </w:r>
    </w:p>
    <w:p w:rsidR="000D6E14" w:rsidP="000D6E14">
      <w:pPr>
        <w:pStyle w:val="ListParagraph"/>
        <w:numPr>
          <w:ilvl w:val="0"/>
          <w:numId w:val="15"/>
        </w:numPr>
      </w:pPr>
      <w:r>
        <w:t>V</w:t>
      </w:r>
      <w:r w:rsidR="00326604">
        <w:t> orgánu veřejné správy</w:t>
      </w:r>
      <w:r>
        <w:t xml:space="preserve"> může na základě pověření od </w:t>
      </w:r>
      <w:r w:rsidR="0004619B">
        <w:t>vedoucího orgánu veřejné správy</w:t>
      </w:r>
      <w:r>
        <w:t xml:space="preserve"> vykonávat funkci správce rozpočtu a hlavního účetního jedna osoba – zpravidla účetní (sloučení funkcí správce rozpočtu a hlavní účetní).</w:t>
      </w:r>
    </w:p>
    <w:p w:rsidR="000D6E14" w:rsidP="000D6E14">
      <w:pPr>
        <w:pStyle w:val="ListParagraph"/>
        <w:numPr>
          <w:ilvl w:val="0"/>
          <w:numId w:val="15"/>
        </w:numPr>
      </w:pPr>
      <w:r>
        <w:t xml:space="preserve">V </w:t>
      </w:r>
      <w:r w:rsidR="00D810F3">
        <w:t>orgánu veřejné správy</w:t>
      </w:r>
      <w:r>
        <w:t>, kter</w:t>
      </w:r>
      <w:r w:rsidR="00D810F3">
        <w:t>ý</w:t>
      </w:r>
      <w:r>
        <w:t xml:space="preserve"> nemá dostatek zaměstnanců s odpovídajícími odbornými znalostmi a zároveň se jedná o </w:t>
      </w:r>
      <w:r w:rsidR="00110AA9">
        <w:t>orgán veřejné správy</w:t>
      </w:r>
      <w:r w:rsidR="009914F8">
        <w:t xml:space="preserve"> </w:t>
      </w:r>
      <w:r>
        <w:t xml:space="preserve">s nízkou mírou rizika při nakládání s veřejnými prostředky, může být hlavním účetním nebo správcem rozpočtu jiná fyzická osoba než zaměstnanec </w:t>
      </w:r>
      <w:r w:rsidR="00110AA9">
        <w:t>orgánu veřejné správy</w:t>
      </w:r>
      <w:r>
        <w:t xml:space="preserve">. </w:t>
      </w:r>
    </w:p>
    <w:p w:rsidR="00D338BB" w:rsidP="005042E8">
      <w:pPr>
        <w:pStyle w:val="ListParagraph"/>
        <w:numPr>
          <w:ilvl w:val="0"/>
          <w:numId w:val="15"/>
        </w:numPr>
      </w:pPr>
      <w:r>
        <w:t xml:space="preserve">Pokud </w:t>
      </w:r>
      <w:r w:rsidRPr="00D338BB">
        <w:rPr>
          <w:b/>
          <w:bCs/>
        </w:rPr>
        <w:t>mohou</w:t>
      </w:r>
      <w:r>
        <w:t xml:space="preserve"> zástupci </w:t>
      </w:r>
      <w:r w:rsidR="00063CB9">
        <w:t>orgánu veřejné správy</w:t>
      </w:r>
      <w:r>
        <w:t xml:space="preserve"> ovlivnit uskutečnění nebo výši příjmu, nebo výdaje, </w:t>
      </w:r>
      <w:r w:rsidRPr="00D338BB">
        <w:rPr>
          <w:b/>
          <w:bCs/>
        </w:rPr>
        <w:t>musí</w:t>
      </w:r>
      <w:r>
        <w:t xml:space="preserve"> příkazce operace a správce rozpočtu/hlavní účetní provést předběžnou řídicí kontrolu.</w:t>
      </w:r>
    </w:p>
    <w:p w:rsidR="00D338BB" w:rsidP="005042E8">
      <w:pPr>
        <w:pStyle w:val="ListParagraph"/>
        <w:numPr>
          <w:ilvl w:val="0"/>
          <w:numId w:val="15"/>
        </w:numPr>
      </w:pPr>
      <w:r>
        <w:t xml:space="preserve">Pokud zástupci </w:t>
      </w:r>
      <w:r w:rsidR="00063CB9">
        <w:t xml:space="preserve">orgánu veřejné správy </w:t>
      </w:r>
      <w:r w:rsidRPr="00D338BB">
        <w:rPr>
          <w:b/>
          <w:bCs/>
        </w:rPr>
        <w:t>nemohou</w:t>
      </w:r>
      <w:r>
        <w:t xml:space="preserve"> ovlivnit uskutečnění, výši příjmu nebo výdaje, předběžná řídicí kontrola se </w:t>
      </w:r>
      <w:r w:rsidRPr="00D338BB">
        <w:rPr>
          <w:b/>
          <w:bCs/>
        </w:rPr>
        <w:t>neprovádí</w:t>
      </w:r>
      <w:r>
        <w:t>. V tomto případě se musí provést následná kontrola. Je však dobré zachovat pravidlo „kontroly čtyř očí“ (stejnou věc zkontrolují dvě osoby) aby se omezilo riziko zpronevěry.</w:t>
      </w:r>
    </w:p>
    <w:p w:rsidR="00D338BB" w:rsidP="005042E8">
      <w:pPr>
        <w:pStyle w:val="ListParagraph"/>
        <w:numPr>
          <w:ilvl w:val="0"/>
          <w:numId w:val="15"/>
        </w:numPr>
      </w:pPr>
      <w:r>
        <w:t>Vedoucí orgánu veřejné správy</w:t>
      </w:r>
      <w:r>
        <w:t xml:space="preserve"> musí organizačně a personálně zajistit kontrolu plnění příjmů (vymáhání pohledávek) a uzavřených smluv (následná kontrola).</w:t>
      </w:r>
    </w:p>
    <w:p w:rsidR="00D338BB">
      <w:pPr>
        <w:spacing w:before="0" w:line="240" w:lineRule="auto"/>
        <w:jc w:val="left"/>
      </w:pPr>
      <w:r>
        <w:br w:type="page"/>
      </w:r>
    </w:p>
    <w:p w:rsidR="00586B02" w:rsidP="00D338BB">
      <w:pPr>
        <w:pStyle w:val="Heading1"/>
        <w:jc w:val="both"/>
      </w:pPr>
      <w:bookmarkStart w:id="22" w:name="_Toc219381831"/>
      <w:r>
        <w:t xml:space="preserve">Jak v praxi </w:t>
      </w:r>
      <w:r w:rsidR="009C72D1">
        <w:t xml:space="preserve">aplikovat </w:t>
      </w:r>
      <w:r>
        <w:t>zákon o řízení a kontrole veřejných financí</w:t>
      </w:r>
      <w:bookmarkEnd w:id="22"/>
    </w:p>
    <w:p w:rsidR="00D338BB" w:rsidP="00D338BB">
      <w:pPr>
        <w:spacing w:after="240"/>
      </w:pPr>
      <w:r w:rsidRPr="00BC67D1">
        <w:t xml:space="preserve">Pokud je v </w:t>
      </w:r>
      <w:r w:rsidR="00063CB9">
        <w:t xml:space="preserve">orgánu veřejné správy </w:t>
      </w:r>
      <w:r w:rsidRPr="00BC67D1">
        <w:t>nastaven systém řízení a kontroly veřejných financí tak, že odpovídá požadavkům zákona o</w:t>
      </w:r>
      <w:r>
        <w:t> </w:t>
      </w:r>
      <w:r w:rsidRPr="00BC67D1">
        <w:t>finanční kontrole a jsou jím ošetřena významná rizika ohrožující nakládání s</w:t>
      </w:r>
      <w:r w:rsidR="004C58B6">
        <w:t> </w:t>
      </w:r>
      <w:r w:rsidRPr="00BC67D1">
        <w:t>veřejnými prostředky, není nutné v systému provádět zásadní změny v důsledku nabytí účinnosti zákona o řízení a</w:t>
      </w:r>
      <w:r w:rsidR="007E0893">
        <w:t> </w:t>
      </w:r>
      <w:r w:rsidRPr="00BC67D1">
        <w:t>kontrole veřejných financí.</w:t>
      </w:r>
    </w:p>
    <w:p w:rsidR="006D1D2D" w:rsidRPr="00BC67D1" w:rsidP="00D338BB">
      <w:pPr>
        <w:pStyle w:val="Heading2"/>
        <w:jc w:val="both"/>
        <w:rPr>
          <w:rFonts w:eastAsiaTheme="minorEastAsia"/>
        </w:rPr>
      </w:pPr>
      <w:bookmarkStart w:id="23" w:name="_Toc218344352"/>
      <w:bookmarkStart w:id="24" w:name="_Toc219381832"/>
      <w:r w:rsidRPr="00834E18">
        <w:rPr>
          <w:rFonts w:eastAsiaTheme="minorEastAsia"/>
        </w:rPr>
        <w:t>Nové povinnosti podle zákona o řízení a</w:t>
      </w:r>
      <w:r>
        <w:rPr>
          <w:rFonts w:eastAsiaTheme="minorEastAsia"/>
        </w:rPr>
        <w:t> </w:t>
      </w:r>
      <w:r w:rsidRPr="00834E18">
        <w:rPr>
          <w:rFonts w:eastAsiaTheme="minorEastAsia"/>
        </w:rPr>
        <w:t>kontrole veřejných financí</w:t>
      </w:r>
      <w:bookmarkEnd w:id="23"/>
      <w:bookmarkEnd w:id="24"/>
    </w:p>
    <w:p w:rsidR="00255334" w:rsidRPr="009C72D1" w:rsidP="005042E8">
      <w:pPr>
        <w:pStyle w:val="ListParagraph"/>
        <w:numPr>
          <w:ilvl w:val="0"/>
          <w:numId w:val="13"/>
        </w:numPr>
        <w:spacing w:before="240" w:after="0"/>
        <w:ind w:left="357" w:hanging="357"/>
        <w:rPr>
          <w:rFonts w:ascii="Segoe UI Semibold" w:hAnsi="Segoe UI Semibold" w:cs="Segoe UI Semibold"/>
          <w:i/>
          <w:iCs/>
          <w:color w:val="51B7E9"/>
        </w:rPr>
      </w:pPr>
      <w:r w:rsidRPr="009C72D1">
        <w:rPr>
          <w:rFonts w:ascii="Segoe UI Semibold" w:hAnsi="Segoe UI Semibold" w:cs="Segoe UI Semibold"/>
          <w:i/>
          <w:iCs/>
          <w:color w:val="51B7E9"/>
        </w:rPr>
        <w:t>Stanovit postupy řídicí kontroly vnitřním předpisem</w:t>
      </w:r>
    </w:p>
    <w:p w:rsidR="00BC67D1" w:rsidP="00D338BB">
      <w:pPr>
        <w:spacing w:after="120"/>
      </w:pPr>
      <w:r>
        <w:t>V</w:t>
      </w:r>
      <w:r>
        <w:t>edoucí orgánu veřejné správy má povinnost vydat vnitřní předpis, který stanoví postupy výkonu řídicí kontroly. Tento předpis by měl obsahovat jednotlivé procesní kroky (kdo komu předává jaké podklady) a</w:t>
      </w:r>
      <w:r w:rsidR="004C5BE9">
        <w:t> </w:t>
      </w:r>
      <w:r>
        <w:t>také určit osoby, které se podílejí na přípravě jednotlivých typů operací – ať už jako zpracovatelé dílčích podkladů či stanovisek, nebo jako osoby, jejichž rozhodnutí je pro realizaci operace nezbytné</w:t>
      </w:r>
      <w:r w:rsidR="00861140">
        <w:t xml:space="preserve"> (příkazce operace, správce rozpočtu a hlavní účetní)</w:t>
      </w:r>
      <w:r>
        <w:t>.</w:t>
      </w:r>
    </w:p>
    <w:p w:rsidR="00BC67D1" w:rsidP="00D338BB">
      <w:pPr>
        <w:spacing w:after="120"/>
      </w:pPr>
      <w:r>
        <w:t>Vnitřní předpis by měl zejména upravit:</w:t>
      </w:r>
    </w:p>
    <w:p w:rsidR="00BC67D1" w:rsidP="005042E8">
      <w:pPr>
        <w:pStyle w:val="ListParagraph"/>
        <w:numPr>
          <w:ilvl w:val="0"/>
          <w:numId w:val="14"/>
        </w:numPr>
        <w:spacing w:after="0"/>
      </w:pPr>
      <w:r>
        <w:t>práva a povinnosti osob vykonávajících řídicí kontrolu,</w:t>
      </w:r>
    </w:p>
    <w:p w:rsidR="00BC67D1" w:rsidP="005042E8">
      <w:pPr>
        <w:pStyle w:val="ListParagraph"/>
        <w:numPr>
          <w:ilvl w:val="0"/>
          <w:numId w:val="14"/>
        </w:numPr>
        <w:spacing w:after="0"/>
      </w:pPr>
      <w:r>
        <w:t>konkrétní postup předběžné řídicí kontroly,</w:t>
      </w:r>
    </w:p>
    <w:p w:rsidR="00BC67D1" w:rsidP="005042E8">
      <w:pPr>
        <w:pStyle w:val="ListParagraph"/>
        <w:numPr>
          <w:ilvl w:val="0"/>
          <w:numId w:val="14"/>
        </w:numPr>
        <w:spacing w:after="0"/>
      </w:pPr>
      <w:r>
        <w:t>konkrétní postup následné řídicí kontroly,</w:t>
      </w:r>
    </w:p>
    <w:p w:rsidR="00255334" w:rsidP="005042E8">
      <w:pPr>
        <w:pStyle w:val="ListParagraph"/>
        <w:numPr>
          <w:ilvl w:val="0"/>
          <w:numId w:val="14"/>
        </w:numPr>
      </w:pPr>
      <w:r>
        <w:t>pravidla pro aplikaci výjimek podle ustanovení § 14 zákona o řízení a kontrole veřejných financí.</w:t>
      </w:r>
    </w:p>
    <w:p w:rsidR="00BC67D1" w:rsidRPr="009C72D1" w:rsidP="005042E8">
      <w:pPr>
        <w:pStyle w:val="ListParagraph"/>
        <w:numPr>
          <w:ilvl w:val="0"/>
          <w:numId w:val="13"/>
        </w:numPr>
        <w:spacing w:before="240" w:after="0"/>
        <w:ind w:left="357" w:hanging="357"/>
        <w:rPr>
          <w:rFonts w:ascii="Segoe UI Semibold" w:hAnsi="Segoe UI Semibold" w:cs="Segoe UI Semibold"/>
          <w:i/>
          <w:iCs/>
          <w:color w:val="51B7E9"/>
        </w:rPr>
      </w:pPr>
      <w:r w:rsidRPr="009C72D1">
        <w:rPr>
          <w:rFonts w:ascii="Segoe UI Semibold" w:hAnsi="Segoe UI Semibold" w:cs="Segoe UI Semibold"/>
          <w:i/>
          <w:iCs/>
          <w:color w:val="51B7E9"/>
        </w:rPr>
        <w:t>Průběžně prověřovat přiměřenost a účinnost vnitřního kontrolního systému</w:t>
      </w:r>
    </w:p>
    <w:p w:rsidR="00BC67D1" w:rsidP="00D338BB">
      <w:pPr>
        <w:spacing w:after="120"/>
      </w:pPr>
      <w:r>
        <w:t xml:space="preserve">Aby </w:t>
      </w:r>
      <w:r w:rsidR="004C5BE9">
        <w:t xml:space="preserve">vedoucí orgánu veřejné správy </w:t>
      </w:r>
      <w:r>
        <w:t>mohl nést odpovědnost za nastavení a udržování přiměřeného a</w:t>
      </w:r>
      <w:r w:rsidR="00F135C3">
        <w:t> </w:t>
      </w:r>
      <w:r>
        <w:t xml:space="preserve">účinného systému, musí zajistit jeho průběžné vyhodnocování. Jedním z nástrojů je interní audit. Pokud </w:t>
      </w:r>
      <w:r w:rsidR="00F135C3">
        <w:t>orgán veřejné správy</w:t>
      </w:r>
      <w:r>
        <w:t xml:space="preserve"> interní audit nezřizuje, je prověřování vnitřního kontrolního systému v odpovědnosti </w:t>
      </w:r>
      <w:r w:rsidR="005A23C5">
        <w:t>vedoucího orgánu veřejné správy</w:t>
      </w:r>
      <w:r>
        <w:t xml:space="preserve"> nebo jím pověřených osob, stejně jako podle dosavadního zákona o</w:t>
      </w:r>
      <w:r w:rsidR="0057793B">
        <w:t> </w:t>
      </w:r>
      <w:r>
        <w:t>finanční kontrole.</w:t>
      </w:r>
    </w:p>
    <w:p w:rsidR="00BC67D1" w:rsidP="00D338BB">
      <w:pPr>
        <w:spacing w:after="120"/>
      </w:pPr>
      <w:r>
        <w:t>Vyhodnocení není nutné zajišťovat externě ani jej provádět každoročně. Mělo by však proběhnout zejména tehdy, pokud dojde k významným změnám, které mají vliv na nastavení kontrolního systému (např. zásadní změna legislativy)</w:t>
      </w:r>
      <w:r w:rsidR="00861140">
        <w:t xml:space="preserve"> a měl by o něm zůstat dokumentovaný záznam (auditní stopa)</w:t>
      </w:r>
      <w:r>
        <w:t>.</w:t>
      </w:r>
    </w:p>
    <w:p w:rsidR="00BC67D1" w:rsidRPr="009C72D1" w:rsidP="005042E8">
      <w:pPr>
        <w:pStyle w:val="ListParagraph"/>
        <w:numPr>
          <w:ilvl w:val="0"/>
          <w:numId w:val="13"/>
        </w:numPr>
        <w:spacing w:before="240" w:after="0"/>
        <w:ind w:left="357" w:hanging="357"/>
        <w:rPr>
          <w:rFonts w:ascii="Segoe UI Semibold" w:hAnsi="Segoe UI Semibold" w:cs="Segoe UI Semibold"/>
          <w:i/>
          <w:iCs/>
          <w:color w:val="51B7E9"/>
        </w:rPr>
      </w:pPr>
      <w:r w:rsidRPr="00E77FA4">
        <w:rPr>
          <w:rFonts w:ascii="Segoe UI Semibold" w:hAnsi="Segoe UI Semibold" w:cs="Segoe UI Semibold"/>
          <w:i/>
          <w:iCs/>
          <w:color w:val="51B7E9"/>
        </w:rPr>
        <w:t>Stanovit postupy řídicí kontroly u majetkových operací</w:t>
      </w:r>
    </w:p>
    <w:p w:rsidR="00BC67D1" w:rsidP="00D338BB">
      <w:pPr>
        <w:spacing w:after="120"/>
      </w:pPr>
      <w:r w:rsidRPr="00BC67D1">
        <w:t xml:space="preserve">Majetkové operace jsou takové operace, při nichž dochází k dispozici s majetkem </w:t>
      </w:r>
      <w:r w:rsidR="00AF2ED6">
        <w:t>orgánu veřejné správy,</w:t>
      </w:r>
      <w:r w:rsidRPr="00BC67D1">
        <w:t xml:space="preserve"> aniž by současně vznikal příjem nebo výdaj (např. svěření majetku příspěvkové organizaci). Zákon o</w:t>
      </w:r>
      <w:r w:rsidR="006C79F4">
        <w:t> </w:t>
      </w:r>
      <w:r w:rsidRPr="00BC67D1">
        <w:t>finanční kontrole tyto postupy neupravoval. Nový zákon stanoví povinný kontrolní postup i pro majetkové operace. Další pravidla může vedoucí orgánu veřejné správy upravit vnitřním předpisem.</w:t>
      </w:r>
    </w:p>
    <w:p w:rsidR="009C72D1" w:rsidP="00D338BB"/>
    <w:p w:rsidR="00D67E5D" w:rsidP="00D338BB"/>
    <w:p w:rsidR="00D67E5D" w:rsidP="00D338BB"/>
    <w:p w:rsidR="00D67E5D" w:rsidP="00D338BB"/>
    <w:p w:rsidR="00D67E5D" w:rsidP="00D338BB"/>
    <w:p w:rsidR="00D67E5D" w:rsidRPr="00BC67D1" w:rsidP="00D338BB"/>
    <w:p w:rsidR="001430E3" w:rsidRPr="009C72D1" w:rsidP="00D338BB">
      <w:pPr>
        <w:pStyle w:val="Heading2"/>
        <w:jc w:val="both"/>
        <w:rPr>
          <w:rFonts w:eastAsiaTheme="minorEastAsia"/>
        </w:rPr>
      </w:pPr>
      <w:bookmarkStart w:id="25" w:name="_Toc218344365"/>
      <w:bookmarkStart w:id="26" w:name="_Toc219381833"/>
      <w:r w:rsidRPr="00D67E5D">
        <w:rPr>
          <w:rFonts w:eastAsiaTheme="minorEastAsia"/>
        </w:rPr>
        <w:t>Doporučení</w:t>
      </w:r>
      <w:r w:rsidRPr="009C72D1">
        <w:rPr>
          <w:rFonts w:eastAsiaTheme="minorEastAsia"/>
        </w:rPr>
        <w:t xml:space="preserve"> pro zavádění zákona do praxe</w:t>
      </w:r>
      <w:bookmarkEnd w:id="25"/>
      <w:bookmarkEnd w:id="26"/>
    </w:p>
    <w:p w:rsidR="009C72D1" w:rsidP="00D338BB">
      <w:pPr>
        <w:spacing w:after="120"/>
      </w:pPr>
      <w:r>
        <w:t xml:space="preserve">Doporučujeme vyhodnotit, zda lze v </w:t>
      </w:r>
      <w:r w:rsidR="00063CB9">
        <w:t xml:space="preserve">orgánu veřejné správy </w:t>
      </w:r>
      <w:r>
        <w:t>využít některou ze zákonných výjimek, a tím zjednodušit nastavení systému řízení a kontroly veřejných financí.</w:t>
      </w:r>
    </w:p>
    <w:p w:rsidR="00255334" w:rsidP="00D338BB">
      <w:pPr>
        <w:spacing w:after="120"/>
      </w:pPr>
      <w:r>
        <w:t xml:space="preserve">Pokud </w:t>
      </w:r>
      <w:r w:rsidR="00063CB9">
        <w:t>orgán veřejné správy</w:t>
      </w:r>
      <w:r>
        <w:t xml:space="preserve"> v odůvodněných případech využije výjimky, které zákon nabízí, dochází</w:t>
      </w:r>
      <w:r w:rsidR="00E149D3">
        <w:t xml:space="preserve"> k </w:t>
      </w:r>
      <w:r>
        <w:t xml:space="preserve">odstranění zbytečných procesních kroků u nerizikových </w:t>
      </w:r>
      <w:r>
        <w:t>operací</w:t>
      </w:r>
      <w:r>
        <w:t xml:space="preserve"> a tedy i k vytvoření prostoru pro důkladnější kontrolu operací rizikových. Tím se zvyšuje efektivita ochrany veřejných prostředků</w:t>
      </w:r>
      <w:r w:rsidR="00D67E5D">
        <w:t>.</w:t>
      </w:r>
    </w:p>
    <w:p w:rsidR="001430E3" w:rsidRPr="009C72D1" w:rsidP="00D338BB">
      <w:pPr>
        <w:pStyle w:val="Heading2"/>
        <w:jc w:val="both"/>
        <w:rPr>
          <w:rFonts w:eastAsiaTheme="minorEastAsia"/>
        </w:rPr>
      </w:pPr>
      <w:bookmarkStart w:id="27" w:name="_Toc218344368"/>
      <w:bookmarkStart w:id="28" w:name="_Toc219381834"/>
      <w:r w:rsidRPr="00D67E5D">
        <w:rPr>
          <w:rFonts w:eastAsiaTheme="minorEastAsia"/>
        </w:rPr>
        <w:t>Možnosti</w:t>
      </w:r>
      <w:r w:rsidRPr="009C72D1">
        <w:rPr>
          <w:rFonts w:eastAsiaTheme="minorEastAsia"/>
        </w:rPr>
        <w:t xml:space="preserve"> zjednodušení systému</w:t>
      </w:r>
      <w:bookmarkEnd w:id="27"/>
      <w:r w:rsidR="00A9406B">
        <w:rPr>
          <w:rFonts w:eastAsiaTheme="minorEastAsia"/>
        </w:rPr>
        <w:t xml:space="preserve"> řízení a kontroly</w:t>
      </w:r>
      <w:bookmarkEnd w:id="28"/>
    </w:p>
    <w:p w:rsidR="001430E3" w:rsidRP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Sloučení funkce správce rozpočtu a hlavního účetního – § 11 odst. 5 a 6 zákona o řízení a kontrole veřejných financí</w:t>
      </w:r>
    </w:p>
    <w:p w:rsidR="009C72D1" w:rsidP="00D338BB">
      <w:pPr>
        <w:spacing w:after="120"/>
      </w:pPr>
      <w:r w:rsidRPr="009C72D1">
        <w:t xml:space="preserve">U </w:t>
      </w:r>
      <w:r w:rsidR="00C24FAF">
        <w:t>orgánů veřejné správy</w:t>
      </w:r>
      <w:r w:rsidRPr="009C72D1">
        <w:t xml:space="preserve"> s nízkou pravděpodobností výskytu nepřiměřených rizik může </w:t>
      </w:r>
      <w:r w:rsidR="006911BF">
        <w:t xml:space="preserve">vedoucí orgánu veřejné správy </w:t>
      </w:r>
      <w:r w:rsidRPr="009C72D1">
        <w:t xml:space="preserve">rozhodnout, že obě funkce bude vykonávat jedna osoba. Pokud </w:t>
      </w:r>
      <w:r w:rsidR="00C24FAF">
        <w:t>orgán veřejné správy</w:t>
      </w:r>
      <w:r w:rsidRPr="009C72D1">
        <w:t xml:space="preserve"> nemá dostatek kvalifikovaných zaměstnanců, může výkon</w:t>
      </w:r>
      <w:r w:rsidR="00861140">
        <w:t>em</w:t>
      </w:r>
      <w:r w:rsidRPr="009C72D1">
        <w:t xml:space="preserve"> této sloučené funkce pověřit jinou osobu než zaměstnance </w:t>
      </w:r>
      <w:r w:rsidR="00C24FAF">
        <w:t>orgánu veřejné správy</w:t>
      </w:r>
      <w:r w:rsidRPr="009C72D1">
        <w:t xml:space="preserve"> - např. externí účetní.</w:t>
      </w:r>
    </w:p>
    <w:p w:rsid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Hromadné schválení operací (limitovaný příslib) – § 14 odst. 1 zákona o řízení a kontrole veřejných financí</w:t>
      </w:r>
    </w:p>
    <w:p w:rsidR="009C72D1" w:rsidP="00D338BB">
      <w:pPr>
        <w:spacing w:after="120"/>
      </w:pPr>
      <w:r>
        <w:t>Předběžná řídicí kontrola může proběhnout souhrnně pro předem neurčený počet operací. Na rozdíl od zákona o finanční kontrole lze tento postup použít nejen pro výdajové, ale i pro příjmové a majetkové operace.</w:t>
      </w:r>
    </w:p>
    <w:p w:rsidR="009C72D1" w:rsidP="00D338BB">
      <w:pPr>
        <w:spacing w:after="120"/>
      </w:pPr>
      <w:r>
        <w:t xml:space="preserve">Souhrnně lze prověřit také operace v rámci předběžné řídicí kontroly před platbou. Tuto kontrolu vykonává příkazce operace a hlavní účetní. Podmínky použití stanoví </w:t>
      </w:r>
      <w:r w:rsidR="005B605D">
        <w:t xml:space="preserve">vedoucí orgánu veřejné správy. </w:t>
      </w:r>
      <w:r>
        <w:t xml:space="preserve">Správce rozpočtu prověřuje výši a trvání limitu s ohledem na riziko </w:t>
      </w:r>
      <w:r>
        <w:t>přezávazkování</w:t>
      </w:r>
      <w:r>
        <w:t xml:space="preserve"> o</w:t>
      </w:r>
      <w:r w:rsidR="000251AA">
        <w:t>rgánu veřejné správy</w:t>
      </w:r>
      <w:r>
        <w:t>. Za</w:t>
      </w:r>
      <w:r w:rsidR="00422D72">
        <w:t> </w:t>
      </w:r>
      <w:r>
        <w:t>čerpání limitu odpovídá příkazce operace.</w:t>
      </w:r>
    </w:p>
    <w:p w:rsidR="009C72D1" w:rsidRP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 xml:space="preserve">Operace, které </w:t>
      </w:r>
      <w:r w:rsidR="005B49E4">
        <w:rPr>
          <w:rFonts w:ascii="Segoe UI Semibold" w:hAnsi="Segoe UI Semibold" w:cs="Segoe UI Semibold"/>
          <w:i/>
          <w:iCs/>
          <w:color w:val="51B7E9"/>
        </w:rPr>
        <w:t xml:space="preserve">orgán veřejné správy </w:t>
      </w:r>
      <w:r w:rsidRPr="009C72D1">
        <w:rPr>
          <w:rFonts w:ascii="Segoe UI Semibold" w:hAnsi="Segoe UI Semibold" w:cs="Segoe UI Semibold"/>
          <w:i/>
          <w:iCs/>
          <w:color w:val="51B7E9"/>
        </w:rPr>
        <w:t>nemůže ovlivnit – § 14 odst. 2 zákona o řízení a kontrole veřejných financí)</w:t>
      </w:r>
    </w:p>
    <w:p w:rsidR="009C72D1" w:rsidP="00D338BB">
      <w:pPr>
        <w:spacing w:after="120"/>
      </w:pPr>
      <w:r>
        <w:t xml:space="preserve">Výjimku lze využít pro příjmové, výdajové i majetkové operace, které </w:t>
      </w:r>
      <w:r w:rsidR="005B49E4">
        <w:t xml:space="preserve">orgán veřejné správy </w:t>
      </w:r>
      <w:r>
        <w:t>realizuje, ale které nemůže zcela ovlivnit, jelikož povinnost jejich uskutečnění či výše, případně i jiné parametry jsou určeny jiným právním titulem (např. pokuty, správní a místní poplatky). Kontrola se provádí pouze v</w:t>
      </w:r>
      <w:r w:rsidR="005B49E4">
        <w:t> </w:t>
      </w:r>
      <w:r>
        <w:t xml:space="preserve">rozsahu skutečností, které může </w:t>
      </w:r>
      <w:r w:rsidR="005B49E4">
        <w:t>orgán veřejné správy</w:t>
      </w:r>
      <w:r>
        <w:t xml:space="preserve"> ovlivnit (např. existence nároku, správnost výpočtu), nikoliv na aspektech, které z objektivních důvodů ovlivněny být nemohou (např. nezbytnost operace k zajištění úkolů, záměrů a cílů orgánu veřejné správy či soulad operace se zásadami řádného finančního řízení).</w:t>
      </w:r>
    </w:p>
    <w:p w:rsidR="009C72D1" w:rsidRP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 xml:space="preserve">Příjmové operace, které nelze předvídat – § 14 odst. 3 písm. a) zákona o řízení a kontrole veřejných financí </w:t>
      </w:r>
    </w:p>
    <w:p w:rsidR="00D338BB" w:rsidP="00D338BB">
      <w:pPr>
        <w:spacing w:after="120"/>
      </w:pPr>
      <w:r>
        <w:t xml:space="preserve">V případě příjmových operací, které není z objektivních důvodů možné předvídat, a tudíž není objektivně možné provést předběžnou řídicí kontrolu, se provádí až kontrola následná. Typicky jde o příjmy, kdy splývá okamžik, kdy vzniká nárok na příjem nebo okamžik, kdy se o nároku dozví </w:t>
      </w:r>
      <w:r w:rsidR="00FE5F14">
        <w:t>orgán veřejné správy</w:t>
      </w:r>
      <w:r w:rsidR="00861140">
        <w:t>,</w:t>
      </w:r>
      <w:r>
        <w:t xml:space="preserve"> a</w:t>
      </w:r>
      <w:r w:rsidR="00FE5F14">
        <w:t> </w:t>
      </w:r>
      <w:r>
        <w:t>okamžik provedení platby. Předběžnou řídicí kontrolu na příjem nelze objektivně provést. Jde typicky o</w:t>
      </w:r>
      <w:r w:rsidR="00FE5F14">
        <w:t> </w:t>
      </w:r>
      <w:r>
        <w:t xml:space="preserve">příjmy za služby, u nichž dochází k úhradě současně s poskytnutím služby. Pokud </w:t>
      </w:r>
      <w:r w:rsidR="00537A9B">
        <w:t>orgán veřejné správy</w:t>
      </w:r>
      <w:r>
        <w:t xml:space="preserve"> stanovuje ceník, probíhá kontrola při jeho tvorbě (např. ceník polygrafických služeb).</w:t>
      </w:r>
    </w:p>
    <w:p w:rsidR="001430E3" w:rsidP="00D338BB">
      <w:pPr>
        <w:spacing w:after="120"/>
      </w:pPr>
      <w:r>
        <w:br w:type="page"/>
      </w:r>
    </w:p>
    <w:p w:rsidR="003F3D98" w:rsidP="00D338BB">
      <w:pPr>
        <w:pStyle w:val="Heading1"/>
        <w:jc w:val="both"/>
      </w:pPr>
      <w:bookmarkStart w:id="29" w:name="_Toc219381835"/>
      <w:r w:rsidRPr="00D67E5D">
        <w:t>Ko</w:t>
      </w:r>
      <w:r w:rsidR="00D67E5D">
        <w:t>mentář k vybraným ustanovením zákona</w:t>
      </w:r>
      <w:bookmarkEnd w:id="29"/>
    </w:p>
    <w:p w:rsidR="000F6A1A" w:rsidRPr="00A9406B" w:rsidP="00CC4B9A">
      <w:pPr>
        <w:spacing w:before="240"/>
        <w:rPr>
          <w:rFonts w:ascii="Segoe UI Semibold" w:hAnsi="Segoe UI Semibold" w:cs="Segoe UI Semibold"/>
          <w:i/>
          <w:iCs/>
          <w:color w:val="002060"/>
          <w:sz w:val="24"/>
          <w:szCs w:val="24"/>
        </w:rPr>
      </w:pPr>
      <w:bookmarkStart w:id="30" w:name="_Toc218344379"/>
      <w:r w:rsidRPr="00A9406B">
        <w:rPr>
          <w:rFonts w:ascii="Segoe UI Semibold" w:hAnsi="Segoe UI Semibold" w:cs="Segoe UI Semibold"/>
          <w:i/>
          <w:iCs/>
          <w:color w:val="002060"/>
          <w:sz w:val="24"/>
          <w:szCs w:val="24"/>
        </w:rPr>
        <w:t>§ 12 zákona o řízení a kontrole veřejných financí</w:t>
      </w:r>
      <w:bookmarkEnd w:id="30"/>
      <w:r w:rsidRPr="00A9406B">
        <w:rPr>
          <w:rFonts w:ascii="Segoe UI Semibold" w:hAnsi="Segoe UI Semibold" w:cs="Segoe UI Semibold"/>
          <w:i/>
          <w:iCs/>
          <w:color w:val="002060"/>
          <w:sz w:val="24"/>
          <w:szCs w:val="24"/>
        </w:rPr>
        <w:t xml:space="preserve"> </w:t>
      </w:r>
    </w:p>
    <w:p w:rsidR="00AD1A6C" w:rsidP="00AD1A6C">
      <w:pPr>
        <w:spacing w:before="0"/>
        <w:rPr>
          <w:rFonts w:ascii="Segoe UI Semibold" w:hAnsi="Segoe UI Semibold" w:cs="Segoe UI Semibold"/>
          <w:i/>
          <w:iCs/>
          <w:color w:val="51B7E9"/>
        </w:rPr>
      </w:pPr>
      <w:r w:rsidRPr="00FE3499">
        <w:rPr>
          <w:rFonts w:ascii="Segoe UI Semibold" w:hAnsi="Segoe UI Semibold" w:cs="Segoe UI Semibold"/>
          <w:i/>
          <w:iCs/>
          <w:color w:val="51B7E9"/>
        </w:rPr>
        <w:t>Předběžná řídicí kontrola před schválením operace</w:t>
      </w:r>
      <w:r>
        <w:rPr>
          <w:rFonts w:ascii="Segoe UI Semibold" w:hAnsi="Segoe UI Semibold" w:cs="Segoe UI Semibold"/>
          <w:i/>
          <w:iCs/>
          <w:color w:val="51B7E9"/>
        </w:rPr>
        <w:t xml:space="preserve"> – veřejné zakázky </w:t>
      </w:r>
    </w:p>
    <w:p w:rsidR="00AD1A6C" w:rsidP="00AD1A6C">
      <w:r>
        <w:t xml:space="preserve">Úkolem příkazce operace v rámci přípravy operace je posoudit, zda je pro </w:t>
      </w:r>
      <w:r w:rsidR="00E80A90">
        <w:t>orgán veřejné správy</w:t>
      </w:r>
      <w:r>
        <w:t xml:space="preserve"> nezbytná, posoudit hospodárnost, účelnost, efektivitu (zásadu řádného finančního řízení) a zda je v souladu s právními předpisy. Cílem této kontroly je zhodnotit adekvátnost daného výdaje vzhledem ke stanovené a prokázané potřebě. Pokud je některá z těchto oblastí nevyhovující, je úkolem příkazce operace zajistit úpravu parametrů připravované operace, aby byly v souladu s výše uvedenými principy. </w:t>
      </w:r>
    </w:p>
    <w:p w:rsidR="00AD1A6C" w:rsidP="00AD1A6C">
      <w:r>
        <w:t xml:space="preserve">Z tohoto důvodu je nutné v případě veřejných zakázek provést řídicí kontrolu před schválením operace ve dvou fázích. Nejprve před vyhlášením výběrového řízení a podruhé před podpisem smlouvy. </w:t>
      </w:r>
    </w:p>
    <w:p w:rsidR="00AD1A6C" w:rsidP="00AD1A6C">
      <w:r>
        <w:t xml:space="preserve">Pokud by řídicí kontrola proběhla pouze před samotným podpisem smlouvy, příkazce operace již často nemá možnost pozměnit parametry připravované operace, protože je povinen uzavřít smlouvu v intencích vítězné varianty výběrového řízení. </w:t>
      </w:r>
    </w:p>
    <w:p w:rsidR="00D67E5D" w:rsidP="00AD1A6C">
      <w:r>
        <w:t xml:space="preserve">Další informace k výkonu řídicí kontroly u veřejných zakázek jsou uvedeny </w:t>
      </w:r>
      <w:r>
        <w:fldChar w:fldCharType="begin"/>
      </w:r>
      <w:r>
        <w:instrText xml:space="preserve"> HYPERLINK "https://www.mfcr.cz/cs/kontrola-a-regulace/rizeni-a-kontrola-verejnych-financi/metodicka-podpora-chj/2018/stanovisko-chj-c-5-2018-k-prubehu-ridici-33028" </w:instrText>
      </w:r>
      <w:r>
        <w:fldChar w:fldCharType="separate"/>
      </w:r>
      <w:r w:rsidRPr="00691471">
        <w:rPr>
          <w:rStyle w:val="Hyperlink"/>
        </w:rPr>
        <w:t xml:space="preserve">ve stanovisku k </w:t>
      </w:r>
      <w:r>
        <w:rPr>
          <w:rStyle w:val="Hyperlink"/>
        </w:rPr>
        <w:t>průběhu</w:t>
      </w:r>
      <w:r w:rsidRPr="00691471">
        <w:rPr>
          <w:rStyle w:val="Hyperlink"/>
        </w:rPr>
        <w:t xml:space="preserve"> </w:t>
      </w:r>
      <w:r>
        <w:rPr>
          <w:rStyle w:val="Hyperlink"/>
        </w:rPr>
        <w:t>řídicí</w:t>
      </w:r>
      <w:r w:rsidRPr="00691471">
        <w:rPr>
          <w:rStyle w:val="Hyperlink"/>
        </w:rPr>
        <w:t xml:space="preserve"> kontroly při </w:t>
      </w:r>
      <w:r>
        <w:rPr>
          <w:rStyle w:val="Hyperlink"/>
        </w:rPr>
        <w:t xml:space="preserve">přípravě </w:t>
      </w:r>
      <w:r w:rsidRPr="00691471">
        <w:rPr>
          <w:rStyle w:val="Hyperlink"/>
        </w:rPr>
        <w:t>veřejných zakázek</w:t>
      </w:r>
      <w:r>
        <w:fldChar w:fldCharType="end"/>
      </w:r>
      <w:r>
        <w:t>.</w:t>
      </w:r>
    </w:p>
    <w:p w:rsidR="00FE3499" w:rsidRPr="00A9406B" w:rsidP="00CC4B9A">
      <w:pPr>
        <w:spacing w:before="240"/>
        <w:rPr>
          <w:rFonts w:ascii="Segoe UI Semibold" w:hAnsi="Segoe UI Semibold" w:cs="Segoe UI Semibold"/>
          <w:i/>
          <w:iCs/>
          <w:color w:val="002060"/>
          <w:sz w:val="24"/>
          <w:szCs w:val="24"/>
        </w:rPr>
      </w:pPr>
      <w:r w:rsidRPr="00A9406B">
        <w:rPr>
          <w:rFonts w:ascii="Segoe UI Semibold" w:hAnsi="Segoe UI Semibold" w:cs="Segoe UI Semibold"/>
          <w:i/>
          <w:iCs/>
          <w:color w:val="002060"/>
          <w:sz w:val="24"/>
          <w:szCs w:val="24"/>
        </w:rPr>
        <w:t>§ 14 odst. 1 zákona o řízení a kontrole veřejných financí</w:t>
      </w:r>
    </w:p>
    <w:p w:rsidR="00FE3499" w:rsidP="00FE3499">
      <w:pPr>
        <w:spacing w:before="0"/>
      </w:pPr>
      <w:bookmarkStart w:id="31" w:name="_Toc534291618"/>
      <w:bookmarkStart w:id="32" w:name="_Toc534291742"/>
      <w:bookmarkStart w:id="33" w:name="_Toc218344382"/>
      <w:r w:rsidRPr="00FE3499">
        <w:rPr>
          <w:rFonts w:ascii="Segoe UI Semibold" w:hAnsi="Segoe UI Semibold" w:cs="Segoe UI Semibold"/>
          <w:i/>
          <w:iCs/>
          <w:color w:val="51B7E9"/>
        </w:rPr>
        <w:t>Předběžná řídicí kontrola před schválením operace – limitovaný příslib</w:t>
      </w:r>
      <w:bookmarkEnd w:id="31"/>
      <w:bookmarkEnd w:id="32"/>
      <w:bookmarkEnd w:id="33"/>
    </w:p>
    <w:p w:rsidR="00FE3499" w:rsidP="00FE3499">
      <w:r>
        <w:t>Před výdajem nebo příjmem peněžních prostředků musí zpravidla proběhnout schválení v rámci řídicí kontroly.</w:t>
      </w:r>
    </w:p>
    <w:p w:rsidR="00FE3499" w:rsidP="00FE3499">
      <w:r>
        <w:t xml:space="preserve">V případě, že je nutné provést nákup, který má sloužit k zajištění provozních potřeb vyplývajících z běžné provozní činnosti orgánu veřejné správy, je možné provést řídicí kontrolu před schválením operace hromadně. Tuto kontrolu provádí správce rozpočtu a příkazce operace. Hromadně je možné schválit předem </w:t>
      </w:r>
      <w:r w:rsidR="00327476">
        <w:t xml:space="preserve">neurčený </w:t>
      </w:r>
      <w:r>
        <w:t>počet operací</w:t>
      </w:r>
      <w:r w:rsidR="00327476">
        <w:t>, např.</w:t>
      </w:r>
      <w:r>
        <w:t xml:space="preserve"> jednorázově na začátku roku. Záznam o provedení hromadné kontroly musí obsahovat předmět, na který se vztahuje (např. kancelářské potřeby, občerstvení, náklady na drobné opravy), výši peněžních prostředků, období, na které se vydává a jméno osoby, která odpovídá za to, že peněžní prostředky budou použity v souladu se stanovenými podmínkami. V případě konkrétního nákupu </w:t>
      </w:r>
      <w:r w:rsidR="00327476">
        <w:t xml:space="preserve">pak </w:t>
      </w:r>
      <w:r>
        <w:t>již nebude potřeba kontroly ze strany správce rozpočtu a příkazce operace.</w:t>
      </w:r>
    </w:p>
    <w:p w:rsidR="00FE3499" w:rsidP="00FE3499">
      <w:r>
        <w:t xml:space="preserve">Čerpání peněžních prostředků, jejichž použití bylo hromadně schváleno, může probíhat dvojím způsobem. Pověřený zaměstnanec nakupuje zboží za své peníze a částku si nechá zpětně proplatit. V tomto případě probíhá řídicí kontrola před platbou zaměstnanci, kdy se posuzuje, zda byl nákup oprávněný a zda byl v souladu se stanovenými podmínkami. </w:t>
      </w:r>
    </w:p>
    <w:p w:rsidR="00FE3499" w:rsidP="00FE3499">
      <w:r>
        <w:t xml:space="preserve">Druhá varianta nastává v momentě, kdy má zaměstnanec podepsanou dohodu o hmotné odpovědnosti a obdržel dopředu zálohu, platební nebo CCS kartu. V případě nákupu pak splývá moment vzniku závazku a samotná platba. Předběžnou řídicí kontrolu před platbou tedy nejde z objektivních důvodů provést. </w:t>
      </w:r>
      <w:r w:rsidR="00327476">
        <w:t>T</w:t>
      </w:r>
      <w:r>
        <w:t xml:space="preserve">uto variantu lze doplnit dalším kontrolním mechanismem nad rámec zákona o řízení a kontrole veřejných financí, např. dotaz na příkazce operace před samotným nákupem ohledně oprávněnosti výdaje. </w:t>
      </w:r>
    </w:p>
    <w:p w:rsidR="00FE3499" w:rsidRPr="00A9406B" w:rsidP="00CC4B9A">
      <w:pPr>
        <w:spacing w:before="240"/>
        <w:rPr>
          <w:rFonts w:ascii="Segoe UI Semibold" w:hAnsi="Segoe UI Semibold" w:cs="Segoe UI Semibold"/>
          <w:i/>
          <w:iCs/>
          <w:color w:val="002060"/>
          <w:sz w:val="24"/>
          <w:szCs w:val="24"/>
        </w:rPr>
      </w:pPr>
      <w:r w:rsidRPr="00A9406B">
        <w:rPr>
          <w:rFonts w:ascii="Segoe UI Semibold" w:hAnsi="Segoe UI Semibold" w:cs="Segoe UI Semibold"/>
          <w:i/>
          <w:iCs/>
          <w:color w:val="002060"/>
          <w:sz w:val="24"/>
          <w:szCs w:val="24"/>
        </w:rPr>
        <w:t>§ 12 zákona o řízení a kontrole veřejných financí</w:t>
      </w:r>
    </w:p>
    <w:p w:rsidR="00FE3499" w:rsidRPr="00FE3499" w:rsidP="00FE3499">
      <w:pPr>
        <w:spacing w:before="0"/>
        <w:rPr>
          <w:rFonts w:ascii="Segoe UI Semibold" w:hAnsi="Segoe UI Semibold" w:cs="Segoe UI Semibold"/>
          <w:i/>
          <w:iCs/>
          <w:color w:val="51B7E9"/>
        </w:rPr>
      </w:pPr>
      <w:r w:rsidRPr="00FE3499">
        <w:rPr>
          <w:rFonts w:ascii="Segoe UI Semibold" w:hAnsi="Segoe UI Semibold" w:cs="Segoe UI Semibold"/>
          <w:i/>
          <w:iCs/>
          <w:color w:val="51B7E9"/>
        </w:rPr>
        <w:t>Řídicí kontrola příjmových operací</w:t>
      </w:r>
    </w:p>
    <w:p w:rsidR="00FE3499" w:rsidP="00FE3499">
      <w:r>
        <w:t>Předběžná řídicí kontrola u příjmových operací slouží především k ověření souladu připravované příjmové operace s právními předpisy, se zásadou řádného finančního řízení, se schváleným rozpočtem, programy, projekty, uzavřenými smlouvami rozhodnutími o nakládání s veřejnými prostředky a pravidly pro financování činnosti orgánu veřejné správy</w:t>
      </w:r>
      <w:r w:rsidR="00513173">
        <w:t>,</w:t>
      </w:r>
      <w:r>
        <w:t xml:space="preserve"> k ověření, zda jsou identifikována a řízena s ní související rizika a k ověření, zda je připravovaná operace doložena správnými a úplnými podklady.</w:t>
      </w:r>
    </w:p>
    <w:p w:rsidR="00FE3499" w:rsidP="00FE3499">
      <w:r>
        <w:t xml:space="preserve">Schvalování příjmových operací v rámci předběžné řídicí kontroly u příjmových operací má význam zejména u dotací a smluv, na </w:t>
      </w:r>
      <w:r>
        <w:t>základě</w:t>
      </w:r>
      <w:r>
        <w:t xml:space="preserve"> kterých vzniká orgánu veřejné správy nárok na příjem (například nájemní smlouvy, kupní smlouvy na prodej majetku apod.). Příjmové operace představují pro veřejný rozpočet nejen příjem, ale také různé typy rizik spojených například s možným porušením rozpočtové kázně při čerpání dotace nebo uzavřením smlouvy v rozporu s péčí řádného hospodáře.</w:t>
      </w:r>
    </w:p>
    <w:p w:rsidR="00FE3499" w:rsidP="00FE3499">
      <w:r>
        <w:t>Předběžnou řídicí kontrolu před schválením operace zajistí příkazce operace a správce rozpočtu při přípravě příjmové operace. Fáze přípravy příjmové operace je například doba před podpisem smlouvy, na jejímž základě vzniká nárok na příjem do rozpočtu orgánu veřejné správy</w:t>
      </w:r>
      <w:r w:rsidR="00513173">
        <w:t>,</w:t>
      </w:r>
      <w:r>
        <w:t xml:space="preserve"> nebo doba před podáním žádosti o dotaci.</w:t>
      </w:r>
    </w:p>
    <w:p w:rsidR="00FE3499" w:rsidRPr="00FE3499" w:rsidP="00FE3499">
      <w:pPr>
        <w:spacing w:before="240"/>
        <w:rPr>
          <w:rFonts w:ascii="Segoe UI Semibold" w:hAnsi="Segoe UI Semibold" w:cs="Segoe UI Semibold"/>
          <w:i/>
          <w:iCs/>
          <w:color w:val="51B7E9"/>
        </w:rPr>
      </w:pPr>
      <w:r w:rsidRPr="00FE3499">
        <w:rPr>
          <w:rFonts w:ascii="Segoe UI Semibold" w:hAnsi="Segoe UI Semibold" w:cs="Segoe UI Semibold"/>
          <w:i/>
          <w:iCs/>
          <w:color w:val="51B7E9"/>
        </w:rPr>
        <w:t>Kontrola po obdržení prostředků</w:t>
      </w:r>
    </w:p>
    <w:p w:rsidR="00FE3499" w:rsidP="00FE3499">
      <w:r>
        <w:t>Orgán veřejné správy</w:t>
      </w:r>
      <w:r>
        <w:t xml:space="preserve"> může přijmout finanční prostředky dvojím způsobem – hotově do pokladny nebo bezhotovostně na účet. V případě hotovostních plateb zpravidla splývá moment, kdy vznikne nárok, a kdy je přijata platba (přepážkový prodej na základě ceníku aj.). Po obdržení finančních prostředků, ať už do pokladny nebo na bankovní účet, proběhne pouze následná kontrola, kterou vykonává pověřený zaměstnanec (zpravidla účetní/pokladní). </w:t>
      </w:r>
    </w:p>
    <w:p w:rsidR="00FE3499" w:rsidP="00FE3499">
      <w:r>
        <w:t xml:space="preserve">Pověřený zaměstnanec (účetní/pokladní) kontroluje, zda příjmy, na které má </w:t>
      </w:r>
      <w:r w:rsidR="00DA3400">
        <w:t>orgán veřejné správy</w:t>
      </w:r>
      <w:r>
        <w:t xml:space="preserve"> nárok, jsou do pokladny hrazeny včas a ve správné výši. Pokud není některý z příjmů uhrazen včas, postupuje podle vnitřních pravidel pro vymáhání pohledávek nebo o tom </w:t>
      </w:r>
      <w:r w:rsidR="00513173">
        <w:t xml:space="preserve">informuje </w:t>
      </w:r>
      <w:r>
        <w:t>příslušnou osobu (např. příkazce operace).</w:t>
      </w:r>
    </w:p>
    <w:p w:rsidR="00FE3499" w:rsidP="00FE3499">
      <w:r>
        <w:t xml:space="preserve">Příkazce operace tak nemusí podepisovat každý příjmový doklad. Reálně bude rozhodovat o tom, jak naložit s neuhrazenými pohledávkami, pokud tato pravomoc není svěřena jiné osobě. Dále musí být prováděna pravidelná kontrola realizovaných příjmů vždy za určité období (den/týden/měsíc s ohledem na velikost </w:t>
      </w:r>
      <w:r w:rsidR="002A2671">
        <w:t>orgánu veřejné správy</w:t>
      </w:r>
      <w:r>
        <w:t xml:space="preserve"> a množství realizovaných transakcí). </w:t>
      </w:r>
    </w:p>
    <w:p w:rsidR="00076296">
      <w:pPr>
        <w:spacing w:before="0" w:line="240" w:lineRule="auto"/>
        <w:jc w:val="left"/>
      </w:pPr>
      <w:r>
        <w:br w:type="page"/>
      </w:r>
    </w:p>
    <w:p w:rsidR="00A9406B" w:rsidP="00D67E5D"/>
    <w:p w:rsidR="00A9406B" w:rsidP="00B24510">
      <w:pPr>
        <w:pStyle w:val="Title"/>
        <w:spacing w:before="5000"/>
        <w:jc w:val="center"/>
        <w:rPr>
          <w:sz w:val="48"/>
          <w:szCs w:val="48"/>
          <w:lang w:eastAsia="cs-CZ"/>
        </w:rPr>
      </w:pPr>
      <w:r>
        <w:rPr>
          <w:sz w:val="48"/>
          <w:szCs w:val="48"/>
          <w:lang w:eastAsia="cs-CZ"/>
        </w:rPr>
        <w:br/>
      </w:r>
      <w:bookmarkStart w:id="34" w:name="_Toc219381836"/>
      <w:r w:rsidRPr="00A9406B">
        <w:rPr>
          <w:sz w:val="48"/>
          <w:szCs w:val="48"/>
          <w:lang w:eastAsia="cs-CZ"/>
        </w:rPr>
        <w:t xml:space="preserve">Směrnice o řízení a kontrole veřejných financí pro </w:t>
      </w:r>
      <w:r w:rsidR="00B24510">
        <w:rPr>
          <w:sz w:val="48"/>
          <w:szCs w:val="48"/>
          <w:lang w:eastAsia="cs-CZ"/>
        </w:rPr>
        <w:t>orgány veřejné správy</w:t>
      </w:r>
      <w:bookmarkEnd w:id="34"/>
    </w:p>
    <w:p w:rsidR="00A9406B" w:rsidP="00A9406B">
      <w:pPr>
        <w:rPr>
          <w:lang w:eastAsia="cs-CZ"/>
        </w:rPr>
      </w:pPr>
      <w:r>
        <w:rPr>
          <w:lang w:eastAsia="cs-CZ"/>
        </w:rPr>
        <w:br w:type="page"/>
      </w:r>
    </w:p>
    <w:p w:rsidR="00BC1B12" w:rsidRPr="00BC1B12" w:rsidP="00BC1B12">
      <w:pPr>
        <w:spacing w:before="360" w:after="600"/>
        <w:jc w:val="center"/>
        <w:rPr>
          <w:b/>
          <w:bCs/>
          <w:lang w:eastAsia="cs-CZ"/>
        </w:rPr>
      </w:pPr>
      <w:r w:rsidRPr="00620217">
        <w:rPr>
          <w:b/>
          <w:bCs/>
          <w:lang w:eastAsia="cs-CZ"/>
        </w:rPr>
        <w:t xml:space="preserve">SMĚRNICE </w:t>
      </w:r>
      <w:r>
        <w:rPr>
          <w:b/>
          <w:bCs/>
          <w:lang w:eastAsia="cs-CZ"/>
        </w:rPr>
        <w:t xml:space="preserve">Č. …/… </w:t>
      </w:r>
      <w:r w:rsidRPr="00620217">
        <w:rPr>
          <w:b/>
          <w:bCs/>
          <w:lang w:eastAsia="cs-CZ"/>
        </w:rPr>
        <w:t>O ŘÍZENÍ A KONTROLE VEŘEJNÝCH FINANCÍ</w:t>
      </w:r>
    </w:p>
    <w:p w:rsidR="00BC1B12" w:rsidRPr="00150EB0" w:rsidP="00BC1B12">
      <w:pPr>
        <w:spacing w:before="360"/>
        <w:jc w:val="center"/>
        <w:rPr>
          <w:b/>
          <w:bCs/>
          <w:lang w:eastAsia="cs-CZ"/>
        </w:rPr>
      </w:pPr>
      <w:r w:rsidRPr="00150EB0">
        <w:rPr>
          <w:b/>
          <w:bCs/>
          <w:lang w:eastAsia="cs-CZ"/>
        </w:rPr>
        <w:t>ČÁST PRVNÍ</w:t>
      </w:r>
    </w:p>
    <w:p w:rsidR="00BC1B12" w:rsidRPr="00150EB0" w:rsidP="00BC1B12">
      <w:pPr>
        <w:spacing w:before="0"/>
        <w:jc w:val="center"/>
        <w:rPr>
          <w:b/>
          <w:bCs/>
          <w:lang w:eastAsia="cs-CZ"/>
        </w:rPr>
      </w:pPr>
      <w:r w:rsidRPr="00150EB0">
        <w:rPr>
          <w:b/>
          <w:bCs/>
          <w:lang w:eastAsia="cs-CZ"/>
        </w:rPr>
        <w:t>ÚVODNÍ USTANOVENÍ</w:t>
      </w:r>
    </w:p>
    <w:p w:rsidR="00BC1B12" w:rsidP="00BC1B12">
      <w:pPr>
        <w:spacing w:before="240"/>
        <w:jc w:val="center"/>
        <w:rPr>
          <w:lang w:eastAsia="cs-CZ"/>
        </w:rPr>
      </w:pPr>
      <w:r>
        <w:rPr>
          <w:lang w:eastAsia="cs-CZ"/>
        </w:rPr>
        <w:t>Čl. I</w:t>
      </w:r>
    </w:p>
    <w:p w:rsidR="00BC1B12" w:rsidRPr="00150EB0" w:rsidP="00BC1B12">
      <w:pPr>
        <w:spacing w:before="0"/>
        <w:jc w:val="center"/>
        <w:rPr>
          <w:b/>
          <w:bCs/>
          <w:lang w:eastAsia="cs-CZ"/>
        </w:rPr>
      </w:pPr>
      <w:r w:rsidRPr="00150EB0">
        <w:rPr>
          <w:b/>
          <w:bCs/>
          <w:lang w:eastAsia="cs-CZ"/>
        </w:rPr>
        <w:t>Preambule</w:t>
      </w:r>
    </w:p>
    <w:p w:rsidR="00BC1B12" w:rsidP="005042E8">
      <w:pPr>
        <w:pStyle w:val="ListParagraph"/>
        <w:numPr>
          <w:ilvl w:val="0"/>
          <w:numId w:val="39"/>
        </w:numPr>
        <w:rPr>
          <w:lang w:eastAsia="cs-CZ"/>
        </w:rPr>
      </w:pPr>
      <w:r>
        <w:rPr>
          <w:lang w:eastAsia="cs-CZ"/>
        </w:rPr>
        <w:t>Tato směrnice se vydává k nastavení řídicí kontroly podle zákona č. 231/2025 Sb., o řízení a kontrole veřejných financí (dále jen „zákon o řízení a kontrole veřejných financí“).</w:t>
      </w:r>
    </w:p>
    <w:p w:rsidR="00BC1B12" w:rsidP="0045001C">
      <w:pPr>
        <w:pStyle w:val="ListParagraph"/>
        <w:numPr>
          <w:ilvl w:val="0"/>
          <w:numId w:val="39"/>
        </w:numPr>
        <w:rPr>
          <w:lang w:eastAsia="cs-CZ"/>
        </w:rPr>
      </w:pPr>
      <w:r>
        <w:rPr>
          <w:lang w:eastAsia="cs-CZ"/>
        </w:rPr>
        <w:t>Tato směrnice upravuje</w:t>
      </w:r>
      <w:r w:rsidR="0045001C">
        <w:rPr>
          <w:lang w:eastAsia="cs-CZ"/>
        </w:rPr>
        <w:t xml:space="preserve"> </w:t>
      </w:r>
      <w:r>
        <w:rPr>
          <w:lang w:eastAsia="cs-CZ"/>
        </w:rPr>
        <w:t>řídicí kontrolu u příjmových, výdajových a majetkových operací</w:t>
      </w:r>
      <w:r w:rsidR="0045001C">
        <w:rPr>
          <w:lang w:eastAsia="cs-CZ"/>
        </w:rPr>
        <w:t>.</w:t>
      </w:r>
    </w:p>
    <w:p w:rsidR="00BC1B12" w:rsidP="00BC1B12">
      <w:pPr>
        <w:pStyle w:val="ListParagraph"/>
        <w:numPr>
          <w:ilvl w:val="0"/>
          <w:numId w:val="39"/>
        </w:numPr>
        <w:rPr>
          <w:lang w:eastAsia="cs-CZ"/>
        </w:rPr>
      </w:pPr>
      <w:r>
        <w:rPr>
          <w:lang w:eastAsia="cs-CZ"/>
        </w:rPr>
        <w:t>Ustanovením této směrnice se řídí všechny osoby, které se podílí na řízení a kontrole veřejných financí</w:t>
      </w:r>
      <w:r w:rsidR="004836F6">
        <w:rPr>
          <w:lang w:eastAsia="cs-CZ"/>
        </w:rPr>
        <w:t xml:space="preserve"> </w:t>
      </w:r>
      <w:r w:rsidR="004836F6">
        <w:t>orgánu veřejné správy</w:t>
      </w:r>
      <w:r>
        <w:rPr>
          <w:lang w:eastAsia="cs-CZ"/>
        </w:rPr>
        <w:t>.</w:t>
      </w:r>
    </w:p>
    <w:p w:rsidR="00BC1B12" w:rsidP="00BC1B12">
      <w:pPr>
        <w:spacing w:before="240"/>
        <w:jc w:val="center"/>
        <w:rPr>
          <w:lang w:eastAsia="cs-CZ"/>
        </w:rPr>
      </w:pPr>
      <w:r>
        <w:rPr>
          <w:lang w:eastAsia="cs-CZ"/>
        </w:rPr>
        <w:t>Čl. II</w:t>
      </w:r>
    </w:p>
    <w:p w:rsidR="00BC1B12" w:rsidRPr="00150EB0" w:rsidP="00BC1B12">
      <w:pPr>
        <w:spacing w:before="0"/>
        <w:jc w:val="center"/>
        <w:rPr>
          <w:b/>
          <w:bCs/>
          <w:lang w:eastAsia="cs-CZ"/>
        </w:rPr>
      </w:pPr>
      <w:r w:rsidRPr="00150EB0">
        <w:rPr>
          <w:b/>
          <w:bCs/>
          <w:lang w:eastAsia="cs-CZ"/>
        </w:rPr>
        <w:t>Zásada řádného finančního řízení</w:t>
      </w:r>
    </w:p>
    <w:p w:rsidR="00BC1B12" w:rsidP="005042E8">
      <w:pPr>
        <w:pStyle w:val="ListParagraph"/>
        <w:numPr>
          <w:ilvl w:val="0"/>
          <w:numId w:val="41"/>
        </w:numPr>
        <w:rPr>
          <w:lang w:eastAsia="cs-CZ"/>
        </w:rPr>
      </w:pPr>
      <w:r>
        <w:rPr>
          <w:lang w:eastAsia="cs-CZ"/>
        </w:rPr>
        <w:t>Vedoucí orgánu veřejné správy</w:t>
      </w:r>
      <w:r>
        <w:rPr>
          <w:lang w:eastAsia="cs-CZ"/>
        </w:rPr>
        <w:t xml:space="preserve"> a všechny osoby, které nakládají s veřejnými prostředky, s nimi nakládají účelně, hospodárně a efektivně.</w:t>
      </w:r>
    </w:p>
    <w:p w:rsidR="00BC1B12" w:rsidP="005042E8">
      <w:pPr>
        <w:pStyle w:val="ListParagraph"/>
        <w:numPr>
          <w:ilvl w:val="0"/>
          <w:numId w:val="41"/>
        </w:numPr>
        <w:rPr>
          <w:lang w:eastAsia="cs-CZ"/>
        </w:rPr>
      </w:pPr>
      <w:r>
        <w:rPr>
          <w:lang w:eastAsia="cs-CZ"/>
        </w:rPr>
        <w:t>S veřejnými prostředky je nakládáno</w:t>
      </w:r>
    </w:p>
    <w:p w:rsidR="00BC1B12" w:rsidP="005042E8">
      <w:pPr>
        <w:pStyle w:val="ListParagraph"/>
        <w:numPr>
          <w:ilvl w:val="1"/>
          <w:numId w:val="41"/>
        </w:numPr>
        <w:rPr>
          <w:lang w:eastAsia="cs-CZ"/>
        </w:rPr>
      </w:pPr>
      <w:r w:rsidRPr="00620217">
        <w:rPr>
          <w:b/>
          <w:bCs/>
          <w:lang w:eastAsia="cs-CZ"/>
        </w:rPr>
        <w:t>účelně</w:t>
      </w:r>
      <w:r>
        <w:rPr>
          <w:lang w:eastAsia="cs-CZ"/>
        </w:rPr>
        <w:t>, pokud dosažené výsledky odpovídají stanoveným cílům,</w:t>
      </w:r>
    </w:p>
    <w:p w:rsidR="00BC1B12" w:rsidP="005042E8">
      <w:pPr>
        <w:pStyle w:val="ListParagraph"/>
        <w:numPr>
          <w:ilvl w:val="1"/>
          <w:numId w:val="41"/>
        </w:numPr>
        <w:rPr>
          <w:lang w:eastAsia="cs-CZ"/>
        </w:rPr>
      </w:pPr>
      <w:r w:rsidRPr="00620217">
        <w:rPr>
          <w:b/>
          <w:bCs/>
          <w:lang w:eastAsia="cs-CZ"/>
        </w:rPr>
        <w:t>hospodárně</w:t>
      </w:r>
      <w:r>
        <w:rPr>
          <w:lang w:eastAsia="cs-CZ"/>
        </w:rPr>
        <w:t>, pokud jsou zdroje k dispozici ve správnou dobu, v dostatečném množství, v přiměřené kvalitě a za co nejvýhodnější cenu a</w:t>
      </w:r>
    </w:p>
    <w:p w:rsidR="00BC1B12" w:rsidP="005042E8">
      <w:pPr>
        <w:pStyle w:val="ListParagraph"/>
        <w:numPr>
          <w:ilvl w:val="1"/>
          <w:numId w:val="41"/>
        </w:numPr>
        <w:rPr>
          <w:lang w:eastAsia="cs-CZ"/>
        </w:rPr>
      </w:pPr>
      <w:r w:rsidRPr="00620217">
        <w:rPr>
          <w:b/>
          <w:bCs/>
          <w:lang w:eastAsia="cs-CZ"/>
        </w:rPr>
        <w:t>efektivně</w:t>
      </w:r>
      <w:r>
        <w:rPr>
          <w:lang w:eastAsia="cs-CZ"/>
        </w:rPr>
        <w:t>, pokud je dosaženo co nejlepšího vztahu mezi použitými zdroji, provedenými činnostmi a dosaženými výsledky.</w:t>
      </w:r>
    </w:p>
    <w:p w:rsidR="00BC1B12" w:rsidRPr="00150EB0" w:rsidP="00BC1B12">
      <w:pPr>
        <w:spacing w:before="360"/>
        <w:jc w:val="center"/>
        <w:rPr>
          <w:b/>
          <w:bCs/>
          <w:lang w:eastAsia="cs-CZ"/>
        </w:rPr>
      </w:pPr>
      <w:r w:rsidRPr="00150EB0">
        <w:rPr>
          <w:b/>
          <w:bCs/>
          <w:lang w:eastAsia="cs-CZ"/>
        </w:rPr>
        <w:t>ČÁST DRUHÁ</w:t>
      </w:r>
    </w:p>
    <w:p w:rsidR="00BC1B12" w:rsidRPr="00150EB0" w:rsidP="00BC1B12">
      <w:pPr>
        <w:spacing w:before="0"/>
        <w:jc w:val="center"/>
        <w:rPr>
          <w:b/>
          <w:bCs/>
          <w:lang w:eastAsia="cs-CZ"/>
        </w:rPr>
      </w:pPr>
      <w:r w:rsidRPr="00150EB0">
        <w:rPr>
          <w:b/>
          <w:bCs/>
          <w:lang w:eastAsia="cs-CZ"/>
        </w:rPr>
        <w:t>ŘÍDICÍ KONTROLA</w:t>
      </w:r>
    </w:p>
    <w:p w:rsidR="00BC1B12" w:rsidP="00BC1B12">
      <w:pPr>
        <w:spacing w:before="240"/>
        <w:jc w:val="center"/>
        <w:rPr>
          <w:lang w:eastAsia="cs-CZ"/>
        </w:rPr>
      </w:pPr>
      <w:r>
        <w:rPr>
          <w:lang w:eastAsia="cs-CZ"/>
        </w:rPr>
        <w:t>Čl. III</w:t>
      </w:r>
    </w:p>
    <w:p w:rsidR="00BC1B12" w:rsidRPr="00150EB0" w:rsidP="00BC1B12">
      <w:pPr>
        <w:spacing w:before="0"/>
        <w:jc w:val="center"/>
        <w:rPr>
          <w:b/>
          <w:bCs/>
          <w:lang w:eastAsia="cs-CZ"/>
        </w:rPr>
      </w:pPr>
      <w:r w:rsidRPr="00150EB0">
        <w:rPr>
          <w:b/>
          <w:bCs/>
          <w:lang w:eastAsia="cs-CZ"/>
        </w:rPr>
        <w:t>Předmět řídicí kontroly</w:t>
      </w:r>
    </w:p>
    <w:p w:rsidR="00682EB5" w:rsidP="005042E8">
      <w:pPr>
        <w:pStyle w:val="ListParagraph"/>
        <w:numPr>
          <w:ilvl w:val="0"/>
          <w:numId w:val="42"/>
        </w:numPr>
        <w:rPr>
          <w:lang w:eastAsia="cs-CZ"/>
        </w:rPr>
      </w:pPr>
      <w:r>
        <w:rPr>
          <w:lang w:eastAsia="cs-CZ"/>
        </w:rPr>
        <w:t>Řídicí kontrola zahrnuje hodnocení a ověřování skutečností rozhodných pro nakládání s veřejnými prostředky při přípravě příjmových, výdajových a majetkových operací před jejich zahájením (předběžná řídicí kontrola) a při následném hodnocení dosažených výsledků (následná řídicí kontrola).</w:t>
      </w:r>
    </w:p>
    <w:p w:rsidR="00682EB5" w:rsidP="005042E8">
      <w:pPr>
        <w:pStyle w:val="ListParagraph"/>
        <w:numPr>
          <w:ilvl w:val="0"/>
          <w:numId w:val="42"/>
        </w:numPr>
        <w:rPr>
          <w:lang w:eastAsia="cs-CZ"/>
        </w:rPr>
      </w:pPr>
      <w:r>
        <w:rPr>
          <w:lang w:eastAsia="cs-CZ"/>
        </w:rPr>
        <w:t>Předběžná řídicí kontrola se u příjmových, výdajových a majetkových operací, jejichž uskutečnění nebo jejichž podmínky vyplývají z právního předpisu, opatření obecné povahy, usnesení vlády</w:t>
      </w:r>
      <w:r w:rsidR="00EB6E6D">
        <w:rPr>
          <w:lang w:eastAsia="cs-CZ"/>
        </w:rPr>
        <w:t>,</w:t>
      </w:r>
      <w:r>
        <w:rPr>
          <w:lang w:eastAsia="cs-CZ"/>
        </w:rPr>
        <w:t xml:space="preserve"> rozhodnutí soudu nebo rozhodnutí správního orgánu provádí pouze v rozsahu, který může </w:t>
      </w:r>
      <w:r w:rsidR="005F4988">
        <w:t>orgán veřejné správy</w:t>
      </w:r>
      <w:r>
        <w:rPr>
          <w:lang w:eastAsia="cs-CZ"/>
        </w:rPr>
        <w:t>, je</w:t>
      </w:r>
      <w:r w:rsidR="005F4988">
        <w:rPr>
          <w:lang w:eastAsia="cs-CZ"/>
        </w:rPr>
        <w:t>ho</w:t>
      </w:r>
      <w:r>
        <w:rPr>
          <w:lang w:eastAsia="cs-CZ"/>
        </w:rPr>
        <w:t xml:space="preserve"> orgány nebo zaměstnanci ovlivnit. Předběžná řídicí kontrola se neprovádí zejména u příjmů ze správních poplatků, místních poplatků a ze svěřených a sdílených daní</w:t>
      </w:r>
      <w:r>
        <w:rPr>
          <w:rStyle w:val="FootnoteReference"/>
          <w:lang w:eastAsia="cs-CZ"/>
        </w:rPr>
        <w:footnoteReference w:id="3"/>
      </w:r>
      <w:r>
        <w:rPr>
          <w:lang w:eastAsia="cs-CZ"/>
        </w:rPr>
        <w:t>. U těchto příjmových operací však musí být provedena následná řídicí kontrola.</w:t>
      </w:r>
    </w:p>
    <w:p w:rsidR="00682EB5" w:rsidRPr="00BF6BEA" w:rsidP="00BF6BEA">
      <w:pPr>
        <w:spacing w:before="240"/>
        <w:jc w:val="center"/>
        <w:rPr>
          <w:lang w:eastAsia="cs-CZ"/>
        </w:rPr>
      </w:pPr>
      <w:r w:rsidRPr="00BF6BEA">
        <w:rPr>
          <w:lang w:eastAsia="cs-CZ"/>
        </w:rPr>
        <w:t>Čl. IV</w:t>
      </w:r>
    </w:p>
    <w:p w:rsidR="00682EB5" w:rsidRPr="00BF6BEA" w:rsidP="00BF6BEA">
      <w:pPr>
        <w:spacing w:before="0"/>
        <w:jc w:val="center"/>
        <w:rPr>
          <w:b/>
          <w:bCs/>
          <w:lang w:eastAsia="cs-CZ"/>
        </w:rPr>
      </w:pPr>
      <w:r w:rsidRPr="00BF6BEA">
        <w:rPr>
          <w:b/>
          <w:bCs/>
          <w:lang w:eastAsia="cs-CZ"/>
        </w:rPr>
        <w:t>Osoby pověřené výkonem řídicí kontroly</w:t>
      </w:r>
    </w:p>
    <w:p w:rsidR="00682EB5" w:rsidP="005042E8">
      <w:pPr>
        <w:pStyle w:val="ListParagraph"/>
        <w:numPr>
          <w:ilvl w:val="0"/>
          <w:numId w:val="43"/>
        </w:numPr>
        <w:rPr>
          <w:lang w:eastAsia="cs-CZ"/>
        </w:rPr>
      </w:pPr>
      <w:r>
        <w:rPr>
          <w:lang w:eastAsia="cs-CZ"/>
        </w:rPr>
        <w:t xml:space="preserve">Řídicí kontrolu provádí </w:t>
      </w:r>
      <w:r w:rsidR="00C612A6">
        <w:rPr>
          <w:lang w:eastAsia="cs-CZ"/>
        </w:rPr>
        <w:t>vedoucí orgánu veřejné správy</w:t>
      </w:r>
      <w:r>
        <w:rPr>
          <w:lang w:eastAsia="cs-CZ"/>
        </w:rPr>
        <w:t xml:space="preserve"> jako příkazce operace a zaměstnanci </w:t>
      </w:r>
      <w:r w:rsidR="00D355D0">
        <w:t>orgánu veřejné správy</w:t>
      </w:r>
      <w:r>
        <w:rPr>
          <w:lang w:eastAsia="cs-CZ"/>
        </w:rPr>
        <w:t xml:space="preserve"> určení </w:t>
      </w:r>
      <w:r w:rsidR="00D355D0">
        <w:rPr>
          <w:lang w:eastAsia="cs-CZ"/>
        </w:rPr>
        <w:t>vedoucím orgánu veřejné správy</w:t>
      </w:r>
      <w:r>
        <w:rPr>
          <w:rStyle w:val="FootnoteReference"/>
          <w:lang w:eastAsia="cs-CZ"/>
        </w:rPr>
        <w:footnoteReference w:id="4"/>
      </w:r>
      <w:r>
        <w:rPr>
          <w:lang w:eastAsia="cs-CZ"/>
        </w:rPr>
        <w:t xml:space="preserve"> v rozsahu svého pověření.</w:t>
      </w:r>
    </w:p>
    <w:p w:rsidR="00682EB5" w:rsidP="005042E8">
      <w:pPr>
        <w:pStyle w:val="ListParagraph"/>
        <w:numPr>
          <w:ilvl w:val="0"/>
          <w:numId w:val="43"/>
        </w:numPr>
        <w:rPr>
          <w:lang w:eastAsia="cs-CZ"/>
        </w:rPr>
      </w:pPr>
      <w:r>
        <w:rPr>
          <w:lang w:eastAsia="cs-CZ"/>
        </w:rPr>
        <w:t xml:space="preserve">Vedoucí orgánu veřejné správy </w:t>
      </w:r>
      <w:r>
        <w:rPr>
          <w:lang w:eastAsia="cs-CZ"/>
        </w:rPr>
        <w:t xml:space="preserve">může pověřit </w:t>
      </w:r>
      <w:r w:rsidR="00EB6E6D">
        <w:rPr>
          <w:lang w:eastAsia="cs-CZ"/>
        </w:rPr>
        <w:t xml:space="preserve">další </w:t>
      </w:r>
      <w:r>
        <w:rPr>
          <w:lang w:eastAsia="cs-CZ"/>
        </w:rPr>
        <w:t xml:space="preserve">zaměstnance </w:t>
      </w:r>
      <w:r w:rsidR="00AE6120">
        <w:t xml:space="preserve">orgánu veřejné správy </w:t>
      </w:r>
      <w:r>
        <w:rPr>
          <w:lang w:eastAsia="cs-CZ"/>
        </w:rPr>
        <w:t>jako ověřovatele</w:t>
      </w:r>
      <w:r>
        <w:rPr>
          <w:rStyle w:val="FootnoteReference"/>
          <w:lang w:eastAsia="cs-CZ"/>
        </w:rPr>
        <w:footnoteReference w:id="5"/>
      </w:r>
      <w:r>
        <w:rPr>
          <w:lang w:eastAsia="cs-CZ"/>
        </w:rPr>
        <w:t>. Pokud není v rámci řídicí kontroly pověřen ověřovatel, vykonává jeho funkci příkazce operace.</w:t>
      </w:r>
    </w:p>
    <w:p w:rsidR="00682EB5" w:rsidP="005042E8">
      <w:pPr>
        <w:pStyle w:val="ListParagraph"/>
        <w:numPr>
          <w:ilvl w:val="0"/>
          <w:numId w:val="43"/>
        </w:numPr>
        <w:rPr>
          <w:lang w:eastAsia="cs-CZ"/>
        </w:rPr>
      </w:pPr>
      <w:r>
        <w:rPr>
          <w:lang w:eastAsia="cs-CZ"/>
        </w:rPr>
        <w:t>Vzor pověření je uveden v příloze č. 1 této směrnice.</w:t>
      </w:r>
    </w:p>
    <w:p w:rsidR="00682EB5" w:rsidRPr="00BF6BEA" w:rsidP="00BF6BEA">
      <w:pPr>
        <w:spacing w:before="360"/>
        <w:jc w:val="center"/>
        <w:rPr>
          <w:rFonts w:eastAsiaTheme="minorEastAsia"/>
          <w:b/>
          <w:caps/>
        </w:rPr>
      </w:pPr>
      <w:r w:rsidRPr="00BF6BEA">
        <w:rPr>
          <w:rFonts w:eastAsiaTheme="minorEastAsia"/>
          <w:b/>
          <w:caps/>
        </w:rPr>
        <w:t xml:space="preserve">ŘÍDICÍ KONTROLA U </w:t>
      </w:r>
      <w:r w:rsidRPr="00BF6BEA">
        <w:rPr>
          <w:b/>
          <w:bCs/>
          <w:lang w:eastAsia="cs-CZ"/>
        </w:rPr>
        <w:t>PŘÍJMOVÝCH</w:t>
      </w:r>
      <w:r w:rsidRPr="00BF6BEA">
        <w:rPr>
          <w:rFonts w:eastAsiaTheme="minorEastAsia"/>
          <w:b/>
          <w:caps/>
        </w:rPr>
        <w:t xml:space="preserve"> OPERACÍ</w:t>
      </w:r>
    </w:p>
    <w:p w:rsidR="00682EB5" w:rsidP="00BF6BEA">
      <w:pPr>
        <w:spacing w:before="240"/>
        <w:jc w:val="center"/>
        <w:rPr>
          <w:lang w:eastAsia="cs-CZ"/>
        </w:rPr>
      </w:pPr>
      <w:r>
        <w:rPr>
          <w:lang w:eastAsia="cs-CZ"/>
        </w:rPr>
        <w:t>Čl. V</w:t>
      </w:r>
    </w:p>
    <w:p w:rsidR="00682EB5" w:rsidRPr="00BF6BEA" w:rsidP="00BF6BEA">
      <w:pPr>
        <w:spacing w:before="0"/>
        <w:jc w:val="center"/>
        <w:rPr>
          <w:b/>
          <w:bCs/>
          <w:lang w:eastAsia="cs-CZ"/>
        </w:rPr>
      </w:pPr>
      <w:r w:rsidRPr="00BF6BEA">
        <w:rPr>
          <w:b/>
          <w:bCs/>
          <w:lang w:eastAsia="cs-CZ"/>
        </w:rPr>
        <w:t>Příprava příjmové operace</w:t>
      </w:r>
    </w:p>
    <w:p w:rsidR="00682EB5" w:rsidP="005042E8">
      <w:pPr>
        <w:pStyle w:val="ListParagraph"/>
        <w:numPr>
          <w:ilvl w:val="0"/>
          <w:numId w:val="44"/>
        </w:numPr>
        <w:rPr>
          <w:lang w:eastAsia="cs-CZ"/>
        </w:rPr>
      </w:pPr>
      <w:r>
        <w:rPr>
          <w:lang w:eastAsia="cs-CZ"/>
        </w:rPr>
        <w:t>Při přípravě příjmové operace</w:t>
      </w:r>
      <w:r>
        <w:rPr>
          <w:rStyle w:val="FootnoteReference"/>
          <w:lang w:eastAsia="cs-CZ"/>
        </w:rPr>
        <w:footnoteReference w:id="6"/>
      </w:r>
      <w:r>
        <w:rPr>
          <w:lang w:eastAsia="cs-CZ"/>
        </w:rPr>
        <w:t xml:space="preserve"> správce rozpočtu</w:t>
      </w:r>
      <w:r>
        <w:rPr>
          <w:rStyle w:val="FootnoteReference"/>
          <w:lang w:eastAsia="cs-CZ"/>
        </w:rPr>
        <w:footnoteReference w:id="7"/>
      </w:r>
      <w:r>
        <w:rPr>
          <w:lang w:eastAsia="cs-CZ"/>
        </w:rPr>
        <w:t xml:space="preserve"> ověří</w:t>
      </w:r>
    </w:p>
    <w:p w:rsidR="00682EB5" w:rsidP="005042E8">
      <w:pPr>
        <w:pStyle w:val="ListParagraph"/>
        <w:numPr>
          <w:ilvl w:val="1"/>
          <w:numId w:val="44"/>
        </w:numPr>
        <w:rPr>
          <w:lang w:eastAsia="cs-CZ"/>
        </w:rPr>
      </w:pPr>
      <w:r>
        <w:rPr>
          <w:lang w:eastAsia="cs-CZ"/>
        </w:rPr>
        <w:t xml:space="preserve">soulad příjmové operace se schváleným rozpočtem </w:t>
      </w:r>
      <w:r w:rsidR="00BA0D34">
        <w:t>orgánu veřejné správy</w:t>
      </w:r>
      <w:r>
        <w:rPr>
          <w:lang w:eastAsia="cs-CZ"/>
        </w:rPr>
        <w:t>, programy, projekty, uzavřenými smlouvami nebo rozhodnutími o nakládání s veřejnými prostředky a</w:t>
      </w:r>
    </w:p>
    <w:p w:rsidR="00682EB5" w:rsidP="005042E8">
      <w:pPr>
        <w:pStyle w:val="ListParagraph"/>
        <w:numPr>
          <w:ilvl w:val="1"/>
          <w:numId w:val="44"/>
        </w:numPr>
        <w:rPr>
          <w:lang w:eastAsia="cs-CZ"/>
        </w:rPr>
      </w:pPr>
      <w:r>
        <w:rPr>
          <w:lang w:eastAsia="cs-CZ"/>
        </w:rPr>
        <w:t xml:space="preserve">soulad příjmové operace s pravidly pro financování činnosti </w:t>
      </w:r>
      <w:r w:rsidR="00BA0D34">
        <w:t>orgánu veřejné správy</w:t>
      </w:r>
      <w:r>
        <w:rPr>
          <w:lang w:eastAsia="cs-CZ"/>
        </w:rPr>
        <w:t>.</w:t>
      </w:r>
    </w:p>
    <w:p w:rsidR="00682EB5" w:rsidP="005042E8">
      <w:pPr>
        <w:pStyle w:val="ListParagraph"/>
        <w:numPr>
          <w:ilvl w:val="0"/>
          <w:numId w:val="44"/>
        </w:numPr>
        <w:rPr>
          <w:lang w:eastAsia="cs-CZ"/>
        </w:rPr>
      </w:pPr>
      <w:r>
        <w:rPr>
          <w:lang w:eastAsia="cs-CZ"/>
        </w:rPr>
        <w:t>Správce rozpočtu dále zjistí a posoudí rozpočtová rizika</w:t>
      </w:r>
      <w:r>
        <w:rPr>
          <w:rStyle w:val="FootnoteReference"/>
          <w:lang w:eastAsia="cs-CZ"/>
        </w:rPr>
        <w:footnoteReference w:id="8"/>
      </w:r>
      <w:r>
        <w:rPr>
          <w:lang w:eastAsia="cs-CZ"/>
        </w:rPr>
        <w:t>, které s připravovanou příjmovou operací souvisí a případně navrhne</w:t>
      </w:r>
      <w:r w:rsidR="00EB6E6D">
        <w:rPr>
          <w:lang w:eastAsia="cs-CZ"/>
        </w:rPr>
        <w:t xml:space="preserve"> nebo sám </w:t>
      </w:r>
      <w:r>
        <w:rPr>
          <w:lang w:eastAsia="cs-CZ"/>
        </w:rPr>
        <w:t>realizuje opatření k jejich vyloučení nebo zmírnění.</w:t>
      </w:r>
    </w:p>
    <w:p w:rsidR="00682EB5" w:rsidP="005042E8">
      <w:pPr>
        <w:pStyle w:val="ListParagraph"/>
        <w:numPr>
          <w:ilvl w:val="0"/>
          <w:numId w:val="44"/>
        </w:numPr>
        <w:rPr>
          <w:lang w:eastAsia="cs-CZ"/>
        </w:rPr>
      </w:pPr>
      <w:r>
        <w:rPr>
          <w:lang w:eastAsia="cs-CZ"/>
        </w:rPr>
        <w:t>Správce rozpočtu vyhotoví záznam o provedení předběžné řídicí kontroly a předá ho společně se souvisejícími podklady příkazci operace.</w:t>
      </w:r>
    </w:p>
    <w:p w:rsidR="00682EB5" w:rsidP="005042E8">
      <w:pPr>
        <w:pStyle w:val="ListParagraph"/>
        <w:numPr>
          <w:ilvl w:val="0"/>
          <w:numId w:val="44"/>
        </w:numPr>
        <w:rPr>
          <w:lang w:eastAsia="cs-CZ"/>
        </w:rPr>
      </w:pPr>
      <w:r>
        <w:rPr>
          <w:lang w:eastAsia="cs-CZ"/>
        </w:rPr>
        <w:t>Správce rozpočtu je oprávněn v záznamu o provedení předběžné řídicí kontroly stanovit omezující podmínky provedení příjmové operace.</w:t>
      </w:r>
    </w:p>
    <w:p w:rsidR="00682EB5" w:rsidP="005042E8">
      <w:pPr>
        <w:pStyle w:val="ListParagraph"/>
        <w:numPr>
          <w:ilvl w:val="0"/>
          <w:numId w:val="44"/>
        </w:numPr>
        <w:rPr>
          <w:lang w:eastAsia="cs-CZ"/>
        </w:rPr>
      </w:pPr>
      <w:r>
        <w:rPr>
          <w:lang w:eastAsia="cs-CZ"/>
        </w:rPr>
        <w:t>Při přípravě příjmové operace příkazce operace ověří</w:t>
      </w:r>
    </w:p>
    <w:p w:rsidR="00682EB5" w:rsidP="005042E8">
      <w:pPr>
        <w:pStyle w:val="ListParagraph"/>
        <w:numPr>
          <w:ilvl w:val="1"/>
          <w:numId w:val="44"/>
        </w:numPr>
        <w:rPr>
          <w:lang w:eastAsia="cs-CZ"/>
        </w:rPr>
      </w:pPr>
      <w:r>
        <w:rPr>
          <w:lang w:eastAsia="cs-CZ"/>
        </w:rPr>
        <w:t>soulad příjmové operace s právními předpisy,</w:t>
      </w:r>
    </w:p>
    <w:p w:rsidR="00682EB5" w:rsidP="005042E8">
      <w:pPr>
        <w:pStyle w:val="ListParagraph"/>
        <w:numPr>
          <w:ilvl w:val="1"/>
          <w:numId w:val="44"/>
        </w:numPr>
        <w:rPr>
          <w:lang w:eastAsia="cs-CZ"/>
        </w:rPr>
      </w:pPr>
      <w:r>
        <w:rPr>
          <w:lang w:eastAsia="cs-CZ"/>
        </w:rPr>
        <w:t xml:space="preserve">nezbytnost příjmové operace k zajištění úkolů, záměrů a cílů </w:t>
      </w:r>
      <w:r w:rsidR="00BA0D34">
        <w:t>orgánu veřejné správy</w:t>
      </w:r>
      <w:r>
        <w:rPr>
          <w:lang w:eastAsia="cs-CZ"/>
        </w:rPr>
        <w:t>,</w:t>
      </w:r>
    </w:p>
    <w:p w:rsidR="00682EB5" w:rsidP="005042E8">
      <w:pPr>
        <w:pStyle w:val="ListParagraph"/>
        <w:numPr>
          <w:ilvl w:val="1"/>
          <w:numId w:val="44"/>
        </w:numPr>
        <w:rPr>
          <w:lang w:eastAsia="cs-CZ"/>
        </w:rPr>
      </w:pPr>
      <w:r>
        <w:rPr>
          <w:lang w:eastAsia="cs-CZ"/>
        </w:rPr>
        <w:t>soulad příjmové operace se zásadou řádného finančního řízení,</w:t>
      </w:r>
    </w:p>
    <w:p w:rsidR="00682EB5" w:rsidP="005042E8">
      <w:pPr>
        <w:pStyle w:val="ListParagraph"/>
        <w:numPr>
          <w:ilvl w:val="1"/>
          <w:numId w:val="44"/>
        </w:numPr>
        <w:rPr>
          <w:lang w:eastAsia="cs-CZ"/>
        </w:rPr>
      </w:pPr>
      <w:r>
        <w:rPr>
          <w:lang w:eastAsia="cs-CZ"/>
        </w:rPr>
        <w:t xml:space="preserve">soulad příjmové operace se schváleným rozpočtem, programy, projekty, uzavřenými smlouvami </w:t>
      </w:r>
      <w:r w:rsidR="00EB6E6D">
        <w:rPr>
          <w:lang w:eastAsia="cs-CZ"/>
        </w:rPr>
        <w:t xml:space="preserve">nebo </w:t>
      </w:r>
      <w:r>
        <w:rPr>
          <w:lang w:eastAsia="cs-CZ"/>
        </w:rPr>
        <w:t>rozhodnutími o nakládání s veřejnými prostředky a</w:t>
      </w:r>
    </w:p>
    <w:p w:rsidR="00682EB5" w:rsidP="005042E8">
      <w:pPr>
        <w:pStyle w:val="ListParagraph"/>
        <w:numPr>
          <w:ilvl w:val="1"/>
          <w:numId w:val="44"/>
        </w:numPr>
        <w:rPr>
          <w:lang w:eastAsia="cs-CZ"/>
        </w:rPr>
      </w:pPr>
      <w:r>
        <w:rPr>
          <w:lang w:eastAsia="cs-CZ"/>
        </w:rPr>
        <w:t xml:space="preserve">soulad příjmové operace s pravidly pro financování činnosti </w:t>
      </w:r>
      <w:r w:rsidR="00BA0D34">
        <w:t>orgánu veřejné správy</w:t>
      </w:r>
      <w:r>
        <w:rPr>
          <w:lang w:eastAsia="cs-CZ"/>
        </w:rPr>
        <w:t>.</w:t>
      </w:r>
    </w:p>
    <w:p w:rsidR="00682EB5" w:rsidP="005042E8">
      <w:pPr>
        <w:pStyle w:val="ListParagraph"/>
        <w:numPr>
          <w:ilvl w:val="0"/>
          <w:numId w:val="44"/>
        </w:numPr>
        <w:rPr>
          <w:lang w:eastAsia="cs-CZ"/>
        </w:rPr>
      </w:pPr>
      <w:r>
        <w:rPr>
          <w:lang w:eastAsia="cs-CZ"/>
        </w:rPr>
        <w:t>Příkazce operace zjistí a posoudí rizika, které s připravovanou operací souvisí a případně navrhne</w:t>
      </w:r>
      <w:r w:rsidR="00B30AF8">
        <w:rPr>
          <w:lang w:eastAsia="cs-CZ"/>
        </w:rPr>
        <w:t xml:space="preserve"> nebo sám </w:t>
      </w:r>
      <w:r>
        <w:rPr>
          <w:lang w:eastAsia="cs-CZ"/>
        </w:rPr>
        <w:t>realizuje opatření k jejich vyloučení nebo zmírnění</w:t>
      </w:r>
      <w:r w:rsidR="00BD6AA7">
        <w:rPr>
          <w:lang w:eastAsia="cs-CZ"/>
        </w:rPr>
        <w:t>.</w:t>
      </w:r>
    </w:p>
    <w:p w:rsidR="00682EB5" w:rsidP="005042E8">
      <w:pPr>
        <w:pStyle w:val="ListParagraph"/>
        <w:numPr>
          <w:ilvl w:val="0"/>
          <w:numId w:val="44"/>
        </w:numPr>
        <w:rPr>
          <w:lang w:eastAsia="cs-CZ"/>
        </w:rPr>
      </w:pPr>
      <w:r>
        <w:rPr>
          <w:lang w:eastAsia="cs-CZ"/>
        </w:rPr>
        <w:t>Příkazce operace ověří, že je operace doložena správnými a úplnými podklady.</w:t>
      </w:r>
    </w:p>
    <w:p w:rsidR="00682EB5" w:rsidP="005042E8">
      <w:pPr>
        <w:pStyle w:val="ListParagraph"/>
        <w:numPr>
          <w:ilvl w:val="0"/>
          <w:numId w:val="44"/>
        </w:numPr>
        <w:rPr>
          <w:lang w:eastAsia="cs-CZ"/>
        </w:rPr>
      </w:pPr>
      <w:r>
        <w:rPr>
          <w:lang w:eastAsia="cs-CZ"/>
        </w:rPr>
        <w:t>Příkazce operace na základě posouzení výše uvedených skutečností rozhodne o schválení (příp. neschválení) příjmové operace a vyhotoví o úkonech podle předchozího odstavce záznam.</w:t>
      </w:r>
    </w:p>
    <w:p w:rsidR="00682EB5" w:rsidP="00D81DE8">
      <w:pPr>
        <w:pStyle w:val="ListParagraph"/>
        <w:numPr>
          <w:ilvl w:val="0"/>
          <w:numId w:val="44"/>
        </w:numPr>
        <w:rPr>
          <w:lang w:eastAsia="cs-CZ"/>
        </w:rPr>
      </w:pPr>
      <w:r>
        <w:rPr>
          <w:lang w:eastAsia="cs-CZ"/>
        </w:rPr>
        <w:t>Vzor záznamu je uveden v příloze č. 2a této směrnice. / Vzor ověřovacího razítka je uveden v příloze č. 2b</w:t>
      </w:r>
      <w:r>
        <w:rPr>
          <w:rStyle w:val="FootnoteReference"/>
          <w:lang w:eastAsia="cs-CZ"/>
        </w:rPr>
        <w:footnoteReference w:id="9"/>
      </w:r>
      <w:r>
        <w:rPr>
          <w:lang w:eastAsia="cs-CZ"/>
        </w:rPr>
        <w:t xml:space="preserve">, případně lze využít formulář vygenerovaný informačním systémem </w:t>
      </w:r>
      <w:r w:rsidR="00401263">
        <w:rPr>
          <w:lang w:eastAsia="cs-CZ"/>
        </w:rPr>
        <w:t>orgánu veřejné správy</w:t>
      </w:r>
      <w:r>
        <w:rPr>
          <w:rStyle w:val="FootnoteReference"/>
          <w:lang w:eastAsia="cs-CZ"/>
        </w:rPr>
        <w:footnoteReference w:id="10"/>
      </w:r>
      <w:r>
        <w:rPr>
          <w:lang w:eastAsia="cs-CZ"/>
        </w:rPr>
        <w:t>.</w:t>
      </w:r>
    </w:p>
    <w:p w:rsidR="00A92243" w:rsidP="003A0032">
      <w:pPr>
        <w:spacing w:before="240"/>
        <w:jc w:val="center"/>
        <w:rPr>
          <w:lang w:eastAsia="cs-CZ"/>
        </w:rPr>
      </w:pPr>
    </w:p>
    <w:p w:rsidR="00A92243" w:rsidP="00422D72">
      <w:pPr>
        <w:spacing w:before="240"/>
        <w:rPr>
          <w:lang w:eastAsia="cs-CZ"/>
        </w:rPr>
      </w:pPr>
    </w:p>
    <w:p w:rsidR="00682EB5" w:rsidP="003A0032">
      <w:pPr>
        <w:spacing w:before="240"/>
        <w:jc w:val="center"/>
        <w:rPr>
          <w:lang w:eastAsia="cs-CZ"/>
        </w:rPr>
      </w:pPr>
      <w:r>
        <w:rPr>
          <w:lang w:eastAsia="cs-CZ"/>
        </w:rPr>
        <w:t>Čl. VI</w:t>
      </w:r>
    </w:p>
    <w:p w:rsidR="00682EB5" w:rsidRPr="003A0032" w:rsidP="003A0032">
      <w:pPr>
        <w:spacing w:before="0"/>
        <w:jc w:val="center"/>
        <w:rPr>
          <w:b/>
          <w:bCs/>
          <w:lang w:eastAsia="cs-CZ"/>
        </w:rPr>
      </w:pPr>
      <w:r w:rsidRPr="003A0032">
        <w:rPr>
          <w:b/>
          <w:bCs/>
          <w:lang w:eastAsia="cs-CZ"/>
        </w:rPr>
        <w:t>Cíl řídicí kontroly u příjmových operací</w:t>
      </w:r>
    </w:p>
    <w:p w:rsidR="00682EB5" w:rsidP="005042E8">
      <w:pPr>
        <w:pStyle w:val="ListParagraph"/>
        <w:numPr>
          <w:ilvl w:val="0"/>
          <w:numId w:val="45"/>
        </w:numPr>
        <w:rPr>
          <w:lang w:eastAsia="cs-CZ"/>
        </w:rPr>
      </w:pPr>
      <w:r>
        <w:rPr>
          <w:lang w:eastAsia="cs-CZ"/>
        </w:rPr>
        <w:t>Cílem řídicí kontroly u příjmových operací je zajistit, aby byly veřejné prostředky do rozpočtu vybrány včas a ve správné výši.</w:t>
      </w:r>
    </w:p>
    <w:p w:rsidR="00682EB5" w:rsidP="005042E8">
      <w:pPr>
        <w:pStyle w:val="ListParagraph"/>
        <w:numPr>
          <w:ilvl w:val="0"/>
          <w:numId w:val="45"/>
        </w:numPr>
        <w:rPr>
          <w:lang w:eastAsia="cs-CZ"/>
        </w:rPr>
      </w:pPr>
      <w:r>
        <w:rPr>
          <w:lang w:eastAsia="cs-CZ"/>
        </w:rPr>
        <w:t xml:space="preserve">Pokud jsou veřejné prostředky připsány na bankovní účet (příp. do pokladny), účetní prověří, zda byly připsány včas a ve správné výši. Toto ověření provede před zaúčtováním příjmu do účetnictví </w:t>
      </w:r>
      <w:r w:rsidR="00401263">
        <w:rPr>
          <w:lang w:eastAsia="cs-CZ"/>
        </w:rPr>
        <w:t>orgánu veřejné správy</w:t>
      </w:r>
      <w:r>
        <w:rPr>
          <w:lang w:eastAsia="cs-CZ"/>
        </w:rPr>
        <w:t>.</w:t>
      </w:r>
    </w:p>
    <w:p w:rsidR="00682EB5" w:rsidP="005042E8">
      <w:pPr>
        <w:pStyle w:val="ListParagraph"/>
        <w:numPr>
          <w:ilvl w:val="0"/>
          <w:numId w:val="45"/>
        </w:numPr>
        <w:rPr>
          <w:lang w:eastAsia="cs-CZ"/>
        </w:rPr>
      </w:pPr>
      <w:r>
        <w:rPr>
          <w:lang w:eastAsia="cs-CZ"/>
        </w:rPr>
        <w:t>Ověřovate</w:t>
      </w:r>
      <w:r w:rsidR="003A0032">
        <w:rPr>
          <w:lang w:eastAsia="cs-CZ"/>
        </w:rPr>
        <w:t>l</w:t>
      </w:r>
      <w:r>
        <w:rPr>
          <w:rStyle w:val="FootnoteReference"/>
          <w:lang w:eastAsia="cs-CZ"/>
        </w:rPr>
        <w:footnoteReference w:id="11"/>
      </w:r>
      <w:r>
        <w:rPr>
          <w:lang w:eastAsia="cs-CZ"/>
        </w:rPr>
        <w:t xml:space="preserve">l je povinen průběžně sledovat a vyhodnocovat, zda příjmy, na které má </w:t>
      </w:r>
      <w:r w:rsidR="00401263">
        <w:rPr>
          <w:lang w:eastAsia="cs-CZ"/>
        </w:rPr>
        <w:t>orgán veřejné správy</w:t>
      </w:r>
      <w:r>
        <w:rPr>
          <w:lang w:eastAsia="cs-CZ"/>
        </w:rPr>
        <w:t xml:space="preserve"> nárok, jsou na bankovní účet připisovány (případně hrazeny do pokladny) včas a ve správné výši.</w:t>
      </w:r>
    </w:p>
    <w:p w:rsidR="00682EB5" w:rsidP="005042E8">
      <w:pPr>
        <w:pStyle w:val="ListParagraph"/>
        <w:numPr>
          <w:ilvl w:val="0"/>
          <w:numId w:val="45"/>
        </w:numPr>
        <w:rPr>
          <w:lang w:eastAsia="cs-CZ"/>
        </w:rPr>
      </w:pPr>
      <w:r>
        <w:rPr>
          <w:lang w:eastAsia="cs-CZ"/>
        </w:rPr>
        <w:t>V případě, že ověřovatel zjistí, že veřejné prostředky nebyly připsány (uhrazeny do pokladny) včas nebo ve správné výši, informuje o tom příkazce operace.</w:t>
      </w:r>
    </w:p>
    <w:p w:rsidR="00682EB5" w:rsidP="005042E8">
      <w:pPr>
        <w:pStyle w:val="ListParagraph"/>
        <w:numPr>
          <w:ilvl w:val="0"/>
          <w:numId w:val="45"/>
        </w:numPr>
        <w:rPr>
          <w:lang w:eastAsia="cs-CZ"/>
        </w:rPr>
      </w:pPr>
      <w:r>
        <w:rPr>
          <w:lang w:eastAsia="cs-CZ"/>
        </w:rPr>
        <w:t>Ověřovatel vyhotoví o úkonech podle předchozího odstavce záznam a předá ho spolu s ostatními podklady příkazci operace.</w:t>
      </w:r>
    </w:p>
    <w:p w:rsidR="00682EB5" w:rsidP="005042E8">
      <w:pPr>
        <w:pStyle w:val="ListParagraph"/>
        <w:numPr>
          <w:ilvl w:val="0"/>
          <w:numId w:val="45"/>
        </w:numPr>
        <w:rPr>
          <w:lang w:eastAsia="cs-CZ"/>
        </w:rPr>
      </w:pPr>
      <w:r>
        <w:rPr>
          <w:lang w:eastAsia="cs-CZ"/>
        </w:rPr>
        <w:t>Příkazce operace rozhodne o dalším postupu.</w:t>
      </w:r>
      <w:r>
        <w:rPr>
          <w:rStyle w:val="FootnoteReference"/>
          <w:lang w:eastAsia="cs-CZ"/>
        </w:rPr>
        <w:footnoteReference w:id="12"/>
      </w:r>
    </w:p>
    <w:p w:rsidR="00682EB5" w:rsidP="005042E8">
      <w:pPr>
        <w:pStyle w:val="ListParagraph"/>
        <w:numPr>
          <w:ilvl w:val="0"/>
          <w:numId w:val="45"/>
        </w:numPr>
        <w:rPr>
          <w:lang w:eastAsia="cs-CZ"/>
        </w:rPr>
      </w:pPr>
      <w:r>
        <w:rPr>
          <w:lang w:eastAsia="cs-CZ"/>
        </w:rPr>
        <w:t>Vzor záznamu je uveden v příloze č. 3 této směrnice.</w:t>
      </w:r>
    </w:p>
    <w:p w:rsidR="00682EB5" w:rsidRPr="003A0032" w:rsidP="003A0032">
      <w:pPr>
        <w:spacing w:before="360"/>
        <w:jc w:val="center"/>
        <w:rPr>
          <w:b/>
          <w:bCs/>
          <w:lang w:eastAsia="cs-CZ"/>
        </w:rPr>
      </w:pPr>
      <w:r w:rsidRPr="003A0032">
        <w:rPr>
          <w:b/>
          <w:bCs/>
          <w:lang w:eastAsia="cs-CZ"/>
        </w:rPr>
        <w:t>ŘÍDICÍ KONTROLA U VÝDAJOVÝCH OPERACÍ</w:t>
      </w:r>
    </w:p>
    <w:p w:rsidR="00682EB5" w:rsidP="003A0032">
      <w:pPr>
        <w:spacing w:before="240"/>
        <w:jc w:val="center"/>
        <w:rPr>
          <w:lang w:eastAsia="cs-CZ"/>
        </w:rPr>
      </w:pPr>
      <w:r>
        <w:rPr>
          <w:lang w:eastAsia="cs-CZ"/>
        </w:rPr>
        <w:t>Čl. VII</w:t>
      </w:r>
    </w:p>
    <w:p w:rsidR="00682EB5" w:rsidRPr="003A0032" w:rsidP="003A0032">
      <w:pPr>
        <w:spacing w:before="0"/>
        <w:jc w:val="center"/>
        <w:rPr>
          <w:b/>
          <w:bCs/>
          <w:lang w:eastAsia="cs-CZ"/>
        </w:rPr>
      </w:pPr>
      <w:r w:rsidRPr="003A0032">
        <w:rPr>
          <w:b/>
          <w:bCs/>
          <w:lang w:eastAsia="cs-CZ"/>
        </w:rPr>
        <w:t>Předběžná řídicí kontrola před schválením výdajové operace</w:t>
      </w:r>
    </w:p>
    <w:p w:rsidR="00682EB5" w:rsidP="005042E8">
      <w:pPr>
        <w:pStyle w:val="ListParagraph"/>
        <w:numPr>
          <w:ilvl w:val="0"/>
          <w:numId w:val="46"/>
        </w:numPr>
        <w:rPr>
          <w:lang w:eastAsia="cs-CZ"/>
        </w:rPr>
      </w:pPr>
      <w:r>
        <w:rPr>
          <w:lang w:eastAsia="cs-CZ"/>
        </w:rPr>
        <w:t>Předběžná řídicí kontrola před schválením výdajové operace probíhá při přípravě výdajové operace</w:t>
      </w:r>
      <w:r w:rsidR="003A0032">
        <w:rPr>
          <w:lang w:eastAsia="cs-CZ"/>
        </w:rPr>
        <w:t>,</w:t>
      </w:r>
      <w:r>
        <w:rPr>
          <w:lang w:eastAsia="cs-CZ"/>
        </w:rPr>
        <w:t xml:space="preserve"> tj. před odesláním objednávky, před uzavřením smlouvy, před vyhlášením zadávacího řízení</w:t>
      </w:r>
      <w:r w:rsidR="00B30AF8">
        <w:rPr>
          <w:lang w:eastAsia="cs-CZ"/>
        </w:rPr>
        <w:t xml:space="preserve"> nebo </w:t>
      </w:r>
      <w:r>
        <w:rPr>
          <w:lang w:eastAsia="cs-CZ"/>
        </w:rPr>
        <w:t>před podpisem smlouvy o poskytnutí veřejné finanční podpory</w:t>
      </w:r>
      <w:r>
        <w:rPr>
          <w:rStyle w:val="FootnoteReference"/>
          <w:lang w:eastAsia="cs-CZ"/>
        </w:rPr>
        <w:footnoteReference w:id="13"/>
      </w:r>
      <w:r>
        <w:rPr>
          <w:lang w:eastAsia="cs-CZ"/>
        </w:rPr>
        <w:t>.</w:t>
      </w:r>
    </w:p>
    <w:p w:rsidR="00682EB5" w:rsidP="005042E8">
      <w:pPr>
        <w:pStyle w:val="ListParagraph"/>
        <w:numPr>
          <w:ilvl w:val="0"/>
          <w:numId w:val="46"/>
        </w:numPr>
        <w:rPr>
          <w:lang w:eastAsia="cs-CZ"/>
        </w:rPr>
      </w:pPr>
      <w:r>
        <w:rPr>
          <w:lang w:eastAsia="cs-CZ"/>
        </w:rPr>
        <w:t>Při přípravě výdajové operace správce rozpočtu</w:t>
      </w:r>
      <w:r>
        <w:rPr>
          <w:rStyle w:val="FootnoteReference"/>
          <w:lang w:eastAsia="cs-CZ"/>
        </w:rPr>
        <w:footnoteReference w:id="14"/>
      </w:r>
      <w:r>
        <w:rPr>
          <w:lang w:eastAsia="cs-CZ"/>
        </w:rPr>
        <w:t xml:space="preserve"> ověří</w:t>
      </w:r>
    </w:p>
    <w:p w:rsidR="00682EB5" w:rsidP="005042E8">
      <w:pPr>
        <w:pStyle w:val="ListParagraph"/>
        <w:numPr>
          <w:ilvl w:val="1"/>
          <w:numId w:val="46"/>
        </w:numPr>
        <w:rPr>
          <w:lang w:eastAsia="cs-CZ"/>
        </w:rPr>
      </w:pPr>
      <w:r>
        <w:rPr>
          <w:lang w:eastAsia="cs-CZ"/>
        </w:rPr>
        <w:t xml:space="preserve">soulad výdajové operace se schváleným rozpočtem </w:t>
      </w:r>
      <w:r w:rsidR="00707E39">
        <w:rPr>
          <w:lang w:eastAsia="cs-CZ"/>
        </w:rPr>
        <w:t>orgánu veřejné správy</w:t>
      </w:r>
      <w:r>
        <w:rPr>
          <w:lang w:eastAsia="cs-CZ"/>
        </w:rPr>
        <w:t>, programy, projekty, uzavřenými smlouvami nebo rozhodnutími o nakládání s veřejnými prostředky a</w:t>
      </w:r>
    </w:p>
    <w:p w:rsidR="00682EB5" w:rsidP="005042E8">
      <w:pPr>
        <w:pStyle w:val="ListParagraph"/>
        <w:numPr>
          <w:ilvl w:val="1"/>
          <w:numId w:val="46"/>
        </w:numPr>
        <w:rPr>
          <w:lang w:eastAsia="cs-CZ"/>
        </w:rPr>
      </w:pPr>
      <w:r>
        <w:rPr>
          <w:lang w:eastAsia="cs-CZ"/>
        </w:rPr>
        <w:t xml:space="preserve">soulad výdajové operace s pravidly pro financování činnosti </w:t>
      </w:r>
      <w:r w:rsidR="00707E39">
        <w:rPr>
          <w:lang w:eastAsia="cs-CZ"/>
        </w:rPr>
        <w:t>orgánu veřejné správy</w:t>
      </w:r>
      <w:r>
        <w:rPr>
          <w:lang w:eastAsia="cs-CZ"/>
        </w:rPr>
        <w:t>.</w:t>
      </w:r>
    </w:p>
    <w:p w:rsidR="00682EB5" w:rsidP="005042E8">
      <w:pPr>
        <w:pStyle w:val="ListParagraph"/>
        <w:numPr>
          <w:ilvl w:val="0"/>
          <w:numId w:val="46"/>
        </w:numPr>
        <w:rPr>
          <w:lang w:eastAsia="cs-CZ"/>
        </w:rPr>
      </w:pPr>
      <w:r>
        <w:rPr>
          <w:lang w:eastAsia="cs-CZ"/>
        </w:rPr>
        <w:t>S</w:t>
      </w:r>
      <w:r>
        <w:rPr>
          <w:lang w:eastAsia="cs-CZ"/>
        </w:rPr>
        <w:t>právce rozpočtu dále zjistí a posoudí rozpočtová rizika</w:t>
      </w:r>
      <w:r>
        <w:rPr>
          <w:rStyle w:val="FootnoteReference"/>
          <w:lang w:eastAsia="cs-CZ"/>
        </w:rPr>
        <w:footnoteReference w:id="15"/>
      </w:r>
      <w:r>
        <w:rPr>
          <w:lang w:eastAsia="cs-CZ"/>
        </w:rPr>
        <w:t xml:space="preserve">, </w:t>
      </w:r>
      <w:r w:rsidR="00B30AF8">
        <w:rPr>
          <w:lang w:eastAsia="cs-CZ"/>
        </w:rPr>
        <w:t xml:space="preserve">která </w:t>
      </w:r>
      <w:r>
        <w:rPr>
          <w:lang w:eastAsia="cs-CZ"/>
        </w:rPr>
        <w:t>s připravovanou výdajovou operací souvisí a navrhne</w:t>
      </w:r>
      <w:r w:rsidR="00B30AF8">
        <w:rPr>
          <w:lang w:eastAsia="cs-CZ"/>
        </w:rPr>
        <w:t xml:space="preserve"> nebo sám </w:t>
      </w:r>
      <w:r>
        <w:rPr>
          <w:lang w:eastAsia="cs-CZ"/>
        </w:rPr>
        <w:t xml:space="preserve">realizuje opatření k jejich vyloučení nebo zmírnění. </w:t>
      </w:r>
    </w:p>
    <w:p w:rsidR="00682EB5" w:rsidP="005042E8">
      <w:pPr>
        <w:pStyle w:val="ListParagraph"/>
        <w:numPr>
          <w:ilvl w:val="0"/>
          <w:numId w:val="46"/>
        </w:numPr>
        <w:rPr>
          <w:lang w:eastAsia="cs-CZ"/>
        </w:rPr>
      </w:pPr>
      <w:r>
        <w:rPr>
          <w:lang w:eastAsia="cs-CZ"/>
        </w:rPr>
        <w:t>S</w:t>
      </w:r>
      <w:r>
        <w:rPr>
          <w:lang w:eastAsia="cs-CZ"/>
        </w:rPr>
        <w:t>právce rozpočtu vyhotoví záznam o provedení předběžné řídicí kontroly a předá ho společně se souvisejícími podklady příkazci operace.</w:t>
      </w:r>
    </w:p>
    <w:p w:rsidR="00682EB5" w:rsidP="005042E8">
      <w:pPr>
        <w:pStyle w:val="ListParagraph"/>
        <w:numPr>
          <w:ilvl w:val="0"/>
          <w:numId w:val="46"/>
        </w:numPr>
        <w:rPr>
          <w:lang w:eastAsia="cs-CZ"/>
        </w:rPr>
      </w:pPr>
      <w:r>
        <w:rPr>
          <w:lang w:eastAsia="cs-CZ"/>
        </w:rPr>
        <w:t>S</w:t>
      </w:r>
      <w:r>
        <w:rPr>
          <w:lang w:eastAsia="cs-CZ"/>
        </w:rPr>
        <w:t>právce rozpočtu je oprávněn v záznamu o provedení předběžné řídicí kontroly stanovit omezující podmínky provedení výdajové operace.</w:t>
      </w:r>
    </w:p>
    <w:p w:rsidR="00682EB5" w:rsidP="005042E8">
      <w:pPr>
        <w:pStyle w:val="ListParagraph"/>
        <w:numPr>
          <w:ilvl w:val="0"/>
          <w:numId w:val="46"/>
        </w:numPr>
        <w:rPr>
          <w:lang w:eastAsia="cs-CZ"/>
        </w:rPr>
      </w:pPr>
      <w:r>
        <w:rPr>
          <w:lang w:eastAsia="cs-CZ"/>
        </w:rPr>
        <w:t>Při přípravě výdajové operace příkazce operace ověří</w:t>
      </w:r>
    </w:p>
    <w:p w:rsidR="00682EB5" w:rsidP="005042E8">
      <w:pPr>
        <w:pStyle w:val="ListParagraph"/>
        <w:numPr>
          <w:ilvl w:val="1"/>
          <w:numId w:val="46"/>
        </w:numPr>
        <w:rPr>
          <w:lang w:eastAsia="cs-CZ"/>
        </w:rPr>
      </w:pPr>
      <w:r>
        <w:rPr>
          <w:lang w:eastAsia="cs-CZ"/>
        </w:rPr>
        <w:t>soulad výdajové operace s právními předpisy,</w:t>
      </w:r>
    </w:p>
    <w:p w:rsidR="00682EB5" w:rsidP="005042E8">
      <w:pPr>
        <w:pStyle w:val="ListParagraph"/>
        <w:numPr>
          <w:ilvl w:val="1"/>
          <w:numId w:val="46"/>
        </w:numPr>
        <w:rPr>
          <w:lang w:eastAsia="cs-CZ"/>
        </w:rPr>
      </w:pPr>
      <w:r>
        <w:rPr>
          <w:lang w:eastAsia="cs-CZ"/>
        </w:rPr>
        <w:t xml:space="preserve">nezbytnost výdajové operace k zajištění úkolů, záměrů a cílů </w:t>
      </w:r>
      <w:r w:rsidR="00176CFB">
        <w:rPr>
          <w:lang w:eastAsia="cs-CZ"/>
        </w:rPr>
        <w:t>orgánu veřejné správy</w:t>
      </w:r>
      <w:r>
        <w:rPr>
          <w:lang w:eastAsia="cs-CZ"/>
        </w:rPr>
        <w:t>,</w:t>
      </w:r>
    </w:p>
    <w:p w:rsidR="00682EB5" w:rsidP="005042E8">
      <w:pPr>
        <w:pStyle w:val="ListParagraph"/>
        <w:numPr>
          <w:ilvl w:val="1"/>
          <w:numId w:val="46"/>
        </w:numPr>
        <w:rPr>
          <w:lang w:eastAsia="cs-CZ"/>
        </w:rPr>
      </w:pPr>
      <w:r>
        <w:rPr>
          <w:lang w:eastAsia="cs-CZ"/>
        </w:rPr>
        <w:t>soulad výdajové operace se zásadou řádného finančního řízení,</w:t>
      </w:r>
    </w:p>
    <w:p w:rsidR="00682EB5" w:rsidP="005042E8">
      <w:pPr>
        <w:pStyle w:val="ListParagraph"/>
        <w:numPr>
          <w:ilvl w:val="1"/>
          <w:numId w:val="46"/>
        </w:numPr>
        <w:rPr>
          <w:lang w:eastAsia="cs-CZ"/>
        </w:rPr>
      </w:pPr>
      <w:r>
        <w:rPr>
          <w:lang w:eastAsia="cs-CZ"/>
        </w:rPr>
        <w:t xml:space="preserve">soulad výdajové operace se schváleným rozpočtem, programy, projekty, uzavřenými smlouvami </w:t>
      </w:r>
      <w:r w:rsidR="00B30AF8">
        <w:rPr>
          <w:lang w:eastAsia="cs-CZ"/>
        </w:rPr>
        <w:t xml:space="preserve">nebo </w:t>
      </w:r>
      <w:r>
        <w:rPr>
          <w:lang w:eastAsia="cs-CZ"/>
        </w:rPr>
        <w:t>rozhodnutími o nakládání s veřejnými prostředky a</w:t>
      </w:r>
    </w:p>
    <w:p w:rsidR="00682EB5" w:rsidP="005042E8">
      <w:pPr>
        <w:pStyle w:val="ListParagraph"/>
        <w:numPr>
          <w:ilvl w:val="1"/>
          <w:numId w:val="46"/>
        </w:numPr>
        <w:rPr>
          <w:lang w:eastAsia="cs-CZ"/>
        </w:rPr>
      </w:pPr>
      <w:r>
        <w:rPr>
          <w:lang w:eastAsia="cs-CZ"/>
        </w:rPr>
        <w:t xml:space="preserve">soulad výdajové operace pravidly pro financování činnosti </w:t>
      </w:r>
      <w:r w:rsidR="00176CFB">
        <w:rPr>
          <w:lang w:eastAsia="cs-CZ"/>
        </w:rPr>
        <w:t>orgánu veřejné správy</w:t>
      </w:r>
      <w:r>
        <w:rPr>
          <w:lang w:eastAsia="cs-CZ"/>
        </w:rPr>
        <w:t>.</w:t>
      </w:r>
    </w:p>
    <w:p w:rsidR="00682EB5" w:rsidP="005042E8">
      <w:pPr>
        <w:pStyle w:val="ListParagraph"/>
        <w:numPr>
          <w:ilvl w:val="0"/>
          <w:numId w:val="46"/>
        </w:numPr>
        <w:rPr>
          <w:lang w:eastAsia="cs-CZ"/>
        </w:rPr>
      </w:pPr>
      <w:r>
        <w:rPr>
          <w:lang w:eastAsia="cs-CZ"/>
        </w:rPr>
        <w:t>P</w:t>
      </w:r>
      <w:r>
        <w:rPr>
          <w:lang w:eastAsia="cs-CZ"/>
        </w:rPr>
        <w:t xml:space="preserve">říkazce operace zjistí a posoudí rizika, </w:t>
      </w:r>
      <w:r>
        <w:rPr>
          <w:lang w:eastAsia="cs-CZ"/>
        </w:rPr>
        <w:t xml:space="preserve">která </w:t>
      </w:r>
      <w:r>
        <w:rPr>
          <w:lang w:eastAsia="cs-CZ"/>
        </w:rPr>
        <w:t>s připravovanou operací souvisí</w:t>
      </w:r>
      <w:r>
        <w:rPr>
          <w:lang w:eastAsia="cs-CZ"/>
        </w:rPr>
        <w:t>,</w:t>
      </w:r>
      <w:r>
        <w:rPr>
          <w:lang w:eastAsia="cs-CZ"/>
        </w:rPr>
        <w:t xml:space="preserve"> a navrhne</w:t>
      </w:r>
      <w:r w:rsidR="00B30AF8">
        <w:rPr>
          <w:lang w:eastAsia="cs-CZ"/>
        </w:rPr>
        <w:t xml:space="preserve"> nebo sám </w:t>
      </w:r>
      <w:r>
        <w:rPr>
          <w:lang w:eastAsia="cs-CZ"/>
        </w:rPr>
        <w:t>realizuje opatření k jejich vyloučení nebo zmírnění.</w:t>
      </w:r>
    </w:p>
    <w:p w:rsidR="00682EB5" w:rsidP="005042E8">
      <w:pPr>
        <w:pStyle w:val="ListParagraph"/>
        <w:numPr>
          <w:ilvl w:val="0"/>
          <w:numId w:val="46"/>
        </w:numPr>
        <w:rPr>
          <w:lang w:eastAsia="cs-CZ"/>
        </w:rPr>
      </w:pPr>
      <w:r>
        <w:rPr>
          <w:lang w:eastAsia="cs-CZ"/>
        </w:rPr>
        <w:t>P</w:t>
      </w:r>
      <w:r>
        <w:rPr>
          <w:lang w:eastAsia="cs-CZ"/>
        </w:rPr>
        <w:t>říkazce operace ověří, že je operace doložena správnými a úplnými podklady.</w:t>
      </w:r>
    </w:p>
    <w:p w:rsidR="00682EB5" w:rsidP="005042E8">
      <w:pPr>
        <w:pStyle w:val="ListParagraph"/>
        <w:numPr>
          <w:ilvl w:val="0"/>
          <w:numId w:val="46"/>
        </w:numPr>
        <w:rPr>
          <w:lang w:eastAsia="cs-CZ"/>
        </w:rPr>
      </w:pPr>
      <w:r>
        <w:rPr>
          <w:lang w:eastAsia="cs-CZ"/>
        </w:rPr>
        <w:t>P</w:t>
      </w:r>
      <w:r>
        <w:rPr>
          <w:lang w:eastAsia="cs-CZ"/>
        </w:rPr>
        <w:t>říkazce operace na základě posouzení výše uvedených skutečností rozhodne o schválení (příp. neschválení) výdajové operace a vyhotoví o úkonech podle předchozího odstavce záznam.</w:t>
      </w:r>
    </w:p>
    <w:p w:rsidR="00682EB5" w:rsidP="00176CFB">
      <w:pPr>
        <w:pStyle w:val="ListParagraph"/>
        <w:numPr>
          <w:ilvl w:val="0"/>
          <w:numId w:val="46"/>
        </w:numPr>
        <w:rPr>
          <w:lang w:eastAsia="cs-CZ"/>
        </w:rPr>
      </w:pPr>
      <w:r>
        <w:rPr>
          <w:lang w:eastAsia="cs-CZ"/>
        </w:rPr>
        <w:t>Vzor záznamu je uveden v příloze č. 4a této směrnice. / Vzor ověřovacího razítka je uveden v příloze č.</w:t>
      </w:r>
      <w:r>
        <w:t> </w:t>
      </w:r>
      <w:r>
        <w:rPr>
          <w:lang w:eastAsia="cs-CZ"/>
        </w:rPr>
        <w:t>4b</w:t>
      </w:r>
      <w:r>
        <w:rPr>
          <w:rStyle w:val="FootnoteReference"/>
          <w:lang w:eastAsia="cs-CZ"/>
        </w:rPr>
        <w:footnoteReference w:id="16"/>
      </w:r>
      <w:r>
        <w:rPr>
          <w:lang w:eastAsia="cs-CZ"/>
        </w:rPr>
        <w:t xml:space="preserve">, případně lze využít formulář vygenerovaný informačním systémem </w:t>
      </w:r>
      <w:r w:rsidR="0059288D">
        <w:rPr>
          <w:lang w:eastAsia="cs-CZ"/>
        </w:rPr>
        <w:t>orgánu veřejné správy</w:t>
      </w:r>
      <w:r>
        <w:rPr>
          <w:rStyle w:val="FootnoteReference"/>
          <w:lang w:eastAsia="cs-CZ"/>
        </w:rPr>
        <w:footnoteReference w:id="17"/>
      </w:r>
      <w:r>
        <w:rPr>
          <w:lang w:eastAsia="cs-CZ"/>
        </w:rPr>
        <w:t>.</w:t>
      </w:r>
    </w:p>
    <w:p w:rsidR="00682EB5" w:rsidP="003A0032">
      <w:pPr>
        <w:spacing w:before="240"/>
        <w:jc w:val="center"/>
        <w:rPr>
          <w:lang w:eastAsia="cs-CZ"/>
        </w:rPr>
      </w:pPr>
      <w:r>
        <w:rPr>
          <w:lang w:eastAsia="cs-CZ"/>
        </w:rPr>
        <w:t>Čl. VIII</w:t>
      </w:r>
    </w:p>
    <w:p w:rsidR="00682EB5" w:rsidRPr="003A0032" w:rsidP="003A0032">
      <w:pPr>
        <w:spacing w:before="0"/>
        <w:jc w:val="center"/>
        <w:rPr>
          <w:b/>
          <w:bCs/>
          <w:lang w:eastAsia="cs-CZ"/>
        </w:rPr>
      </w:pPr>
      <w:r w:rsidRPr="003A0032">
        <w:rPr>
          <w:b/>
          <w:bCs/>
          <w:lang w:eastAsia="cs-CZ"/>
        </w:rPr>
        <w:t>Hromadné schválení výdajových operací</w:t>
      </w:r>
    </w:p>
    <w:p w:rsidR="00682EB5" w:rsidP="005042E8">
      <w:pPr>
        <w:pStyle w:val="ListParagraph"/>
        <w:numPr>
          <w:ilvl w:val="0"/>
          <w:numId w:val="47"/>
        </w:numPr>
        <w:rPr>
          <w:lang w:eastAsia="cs-CZ"/>
        </w:rPr>
      </w:pPr>
      <w:r>
        <w:rPr>
          <w:lang w:eastAsia="cs-CZ"/>
        </w:rPr>
        <w:t xml:space="preserve">Je-li to účelné pro zajištění provozních potřeb vyplývajících z běžné činnosti </w:t>
      </w:r>
      <w:r w:rsidR="0059288D">
        <w:rPr>
          <w:lang w:eastAsia="cs-CZ"/>
        </w:rPr>
        <w:t>orgánu veřejné správy</w:t>
      </w:r>
      <w:r w:rsidR="00E00FFB">
        <w:rPr>
          <w:lang w:eastAsia="cs-CZ"/>
        </w:rPr>
        <w:t>,</w:t>
      </w:r>
      <w:r>
        <w:rPr>
          <w:lang w:eastAsia="cs-CZ"/>
        </w:rPr>
        <w:t xml:space="preserve"> správce rozpočtu ověří a příkazce operace hromadně schválí použití veřejných prostředků </w:t>
      </w:r>
      <w:r w:rsidR="00E76A01">
        <w:rPr>
          <w:lang w:eastAsia="cs-CZ"/>
        </w:rPr>
        <w:t>orgánu veřejné správy</w:t>
      </w:r>
      <w:r>
        <w:rPr>
          <w:lang w:eastAsia="cs-CZ"/>
        </w:rPr>
        <w:t>.</w:t>
      </w:r>
    </w:p>
    <w:p w:rsidR="00682EB5" w:rsidP="005042E8">
      <w:pPr>
        <w:pStyle w:val="ListParagraph"/>
        <w:numPr>
          <w:ilvl w:val="0"/>
          <w:numId w:val="47"/>
        </w:numPr>
        <w:rPr>
          <w:lang w:eastAsia="cs-CZ"/>
        </w:rPr>
      </w:pPr>
      <w:r>
        <w:rPr>
          <w:lang w:eastAsia="cs-CZ"/>
        </w:rPr>
        <w:t>Pro hromadné schválení se použije schvalovací postup podle čl. VII.</w:t>
      </w:r>
    </w:p>
    <w:p w:rsidR="00682EB5" w:rsidP="005042E8">
      <w:pPr>
        <w:pStyle w:val="ListParagraph"/>
        <w:numPr>
          <w:ilvl w:val="0"/>
          <w:numId w:val="47"/>
        </w:numPr>
        <w:rPr>
          <w:lang w:eastAsia="cs-CZ"/>
        </w:rPr>
      </w:pPr>
      <w:r>
        <w:rPr>
          <w:lang w:eastAsia="cs-CZ"/>
        </w:rPr>
        <w:t xml:space="preserve">Hromadně lze schvalovat následující výdaje, pokud v příslušném rozpočtovém roce </w:t>
      </w:r>
      <w:r w:rsidR="004F4E25">
        <w:rPr>
          <w:lang w:eastAsia="cs-CZ"/>
        </w:rPr>
        <w:t xml:space="preserve">v celkovém souhrnu </w:t>
      </w:r>
      <w:r>
        <w:rPr>
          <w:lang w:eastAsia="cs-CZ"/>
        </w:rPr>
        <w:t>nepřesáhnou částku 20 000</w:t>
      </w:r>
      <w:r w:rsidR="004F4E25">
        <w:rPr>
          <w:lang w:eastAsia="cs-CZ"/>
        </w:rPr>
        <w:t xml:space="preserve"> </w:t>
      </w:r>
      <w:r>
        <w:rPr>
          <w:lang w:eastAsia="cs-CZ"/>
        </w:rPr>
        <w:t>Kč</w:t>
      </w:r>
      <w:r>
        <w:rPr>
          <w:rStyle w:val="FootnoteReference"/>
          <w:lang w:eastAsia="cs-CZ"/>
        </w:rPr>
        <w:footnoteReference w:id="18"/>
      </w:r>
      <w:r>
        <w:rPr>
          <w:lang w:eastAsia="cs-CZ"/>
        </w:rPr>
        <w:t>:</w:t>
      </w:r>
    </w:p>
    <w:p w:rsidR="00682EB5" w:rsidP="005042E8">
      <w:pPr>
        <w:pStyle w:val="ListParagraph"/>
        <w:numPr>
          <w:ilvl w:val="1"/>
          <w:numId w:val="48"/>
        </w:numPr>
        <w:rPr>
          <w:lang w:eastAsia="cs-CZ"/>
        </w:rPr>
      </w:pPr>
      <w:r>
        <w:rPr>
          <w:lang w:eastAsia="cs-CZ"/>
        </w:rPr>
        <w:t>pohoštění,</w:t>
      </w:r>
    </w:p>
    <w:p w:rsidR="00682EB5" w:rsidP="005042E8">
      <w:pPr>
        <w:pStyle w:val="ListParagraph"/>
        <w:numPr>
          <w:ilvl w:val="1"/>
          <w:numId w:val="48"/>
        </w:numPr>
        <w:rPr>
          <w:lang w:eastAsia="cs-CZ"/>
        </w:rPr>
      </w:pPr>
      <w:r>
        <w:rPr>
          <w:lang w:eastAsia="cs-CZ"/>
        </w:rPr>
        <w:t>poštovné,</w:t>
      </w:r>
    </w:p>
    <w:p w:rsidR="00682EB5" w:rsidP="005042E8">
      <w:pPr>
        <w:pStyle w:val="ListParagraph"/>
        <w:numPr>
          <w:ilvl w:val="1"/>
          <w:numId w:val="48"/>
        </w:numPr>
        <w:rPr>
          <w:lang w:eastAsia="cs-CZ"/>
        </w:rPr>
      </w:pPr>
      <w:r>
        <w:rPr>
          <w:lang w:eastAsia="cs-CZ"/>
        </w:rPr>
        <w:t>kancelářské potřeby,</w:t>
      </w:r>
    </w:p>
    <w:p w:rsidR="00682EB5" w:rsidP="005042E8">
      <w:pPr>
        <w:pStyle w:val="ListParagraph"/>
        <w:numPr>
          <w:ilvl w:val="1"/>
          <w:numId w:val="48"/>
        </w:numPr>
        <w:rPr>
          <w:lang w:eastAsia="cs-CZ"/>
        </w:rPr>
      </w:pPr>
      <w:r>
        <w:rPr>
          <w:lang w:eastAsia="cs-CZ"/>
        </w:rPr>
        <w:t>drobné opravy.</w:t>
      </w:r>
      <w:r>
        <w:rPr>
          <w:rStyle w:val="FootnoteReference"/>
          <w:lang w:eastAsia="cs-CZ"/>
        </w:rPr>
        <w:footnoteReference w:id="19"/>
      </w:r>
    </w:p>
    <w:p w:rsidR="00682EB5" w:rsidP="005042E8">
      <w:pPr>
        <w:pStyle w:val="ListParagraph"/>
        <w:numPr>
          <w:ilvl w:val="0"/>
          <w:numId w:val="47"/>
        </w:numPr>
        <w:rPr>
          <w:lang w:eastAsia="cs-CZ"/>
        </w:rPr>
      </w:pPr>
      <w:r>
        <w:rPr>
          <w:lang w:eastAsia="cs-CZ"/>
        </w:rPr>
        <w:t>Na záznamu o hromadném schválení se uvede limit výdajů, období, na které je tento limit poskytnut, a</w:t>
      </w:r>
      <w:r w:rsidR="00F823C1">
        <w:rPr>
          <w:lang w:eastAsia="cs-CZ"/>
        </w:rPr>
        <w:t> </w:t>
      </w:r>
      <w:r>
        <w:rPr>
          <w:lang w:eastAsia="cs-CZ"/>
        </w:rPr>
        <w:t>předmět výdajů</w:t>
      </w:r>
      <w:r w:rsidR="004F4E25">
        <w:rPr>
          <w:lang w:eastAsia="cs-CZ"/>
        </w:rPr>
        <w:t>, případně další omezující podmínky</w:t>
      </w:r>
      <w:r>
        <w:rPr>
          <w:lang w:eastAsia="cs-CZ"/>
        </w:rPr>
        <w:t>. Vzor záznamu je uveden v příloze č. 5 této směrnice.</w:t>
      </w:r>
    </w:p>
    <w:p w:rsidR="00682EB5" w:rsidP="003A0032">
      <w:pPr>
        <w:spacing w:before="240"/>
        <w:jc w:val="center"/>
        <w:rPr>
          <w:lang w:eastAsia="cs-CZ"/>
        </w:rPr>
      </w:pPr>
      <w:r>
        <w:rPr>
          <w:lang w:eastAsia="cs-CZ"/>
        </w:rPr>
        <w:t>Čl. IX</w:t>
      </w:r>
    </w:p>
    <w:p w:rsidR="00682EB5" w:rsidP="003A0032">
      <w:pPr>
        <w:spacing w:before="0"/>
        <w:jc w:val="center"/>
        <w:rPr>
          <w:lang w:eastAsia="cs-CZ"/>
        </w:rPr>
      </w:pPr>
      <w:r w:rsidRPr="003A0032">
        <w:rPr>
          <w:b/>
          <w:bCs/>
          <w:lang w:eastAsia="cs-CZ"/>
        </w:rPr>
        <w:t>Předběžná řídicí kontrola před platbou</w:t>
      </w:r>
    </w:p>
    <w:p w:rsidR="00682EB5" w:rsidP="005042E8">
      <w:pPr>
        <w:pStyle w:val="ListParagraph"/>
        <w:numPr>
          <w:ilvl w:val="0"/>
          <w:numId w:val="49"/>
        </w:numPr>
        <w:rPr>
          <w:lang w:eastAsia="cs-CZ"/>
        </w:rPr>
      </w:pPr>
      <w:r>
        <w:rPr>
          <w:lang w:eastAsia="cs-CZ"/>
        </w:rPr>
        <w:t>Před provedením platby hlavní účetní</w:t>
      </w:r>
      <w:r>
        <w:rPr>
          <w:rStyle w:val="FootnoteReference"/>
          <w:lang w:eastAsia="cs-CZ"/>
        </w:rPr>
        <w:footnoteReference w:id="20"/>
      </w:r>
      <w:r>
        <w:rPr>
          <w:lang w:eastAsia="cs-CZ"/>
        </w:rPr>
        <w:t xml:space="preserve"> ověří, zda je správně určen věřitel, výše a splatnost vzniklého závazku.</w:t>
      </w:r>
    </w:p>
    <w:p w:rsidR="00682EB5" w:rsidP="005042E8">
      <w:pPr>
        <w:pStyle w:val="ListParagraph"/>
        <w:numPr>
          <w:ilvl w:val="0"/>
          <w:numId w:val="49"/>
        </w:numPr>
        <w:rPr>
          <w:lang w:eastAsia="cs-CZ"/>
        </w:rPr>
      </w:pPr>
      <w:r>
        <w:rPr>
          <w:lang w:eastAsia="cs-CZ"/>
        </w:rPr>
        <w:t>H</w:t>
      </w:r>
      <w:r>
        <w:rPr>
          <w:lang w:eastAsia="cs-CZ"/>
        </w:rPr>
        <w:t>lavní účetní vyhotoví záznam o provedení předběžné řídicí kontroly před platbou a předá ho společně se souvisejícími podklady příkazci operace.</w:t>
      </w:r>
    </w:p>
    <w:p w:rsidR="00682EB5" w:rsidP="005042E8">
      <w:pPr>
        <w:pStyle w:val="ListParagraph"/>
        <w:numPr>
          <w:ilvl w:val="0"/>
          <w:numId w:val="49"/>
        </w:numPr>
        <w:rPr>
          <w:lang w:eastAsia="cs-CZ"/>
        </w:rPr>
      </w:pPr>
      <w:r>
        <w:rPr>
          <w:lang w:eastAsia="cs-CZ"/>
        </w:rPr>
        <w:t>P</w:t>
      </w:r>
      <w:r>
        <w:rPr>
          <w:lang w:eastAsia="cs-CZ"/>
        </w:rPr>
        <w:t>říkazce operace u výdajové operace ověří</w:t>
      </w:r>
    </w:p>
    <w:p w:rsidR="00682EB5" w:rsidP="005042E8">
      <w:pPr>
        <w:pStyle w:val="ListParagraph"/>
        <w:numPr>
          <w:ilvl w:val="1"/>
          <w:numId w:val="50"/>
        </w:numPr>
        <w:rPr>
          <w:lang w:eastAsia="cs-CZ"/>
        </w:rPr>
      </w:pPr>
      <w:r>
        <w:rPr>
          <w:lang w:eastAsia="cs-CZ"/>
        </w:rPr>
        <w:t>zda je realizace výdajové operace v souladu s podmínkami, za kterých byla tato operace schválena,</w:t>
      </w:r>
    </w:p>
    <w:p w:rsidR="00682EB5" w:rsidP="005042E8">
      <w:pPr>
        <w:pStyle w:val="ListParagraph"/>
        <w:numPr>
          <w:ilvl w:val="1"/>
          <w:numId w:val="50"/>
        </w:numPr>
        <w:rPr>
          <w:lang w:eastAsia="cs-CZ"/>
        </w:rPr>
      </w:pPr>
      <w:r>
        <w:rPr>
          <w:lang w:eastAsia="cs-CZ"/>
        </w:rPr>
        <w:t>správnost určení věřitele, výše a splatnosti.</w:t>
      </w:r>
    </w:p>
    <w:p w:rsidR="00682EB5" w:rsidP="005042E8">
      <w:pPr>
        <w:pStyle w:val="ListParagraph"/>
        <w:numPr>
          <w:ilvl w:val="0"/>
          <w:numId w:val="49"/>
        </w:numPr>
        <w:rPr>
          <w:lang w:eastAsia="cs-CZ"/>
        </w:rPr>
      </w:pPr>
      <w:r>
        <w:rPr>
          <w:lang w:eastAsia="cs-CZ"/>
        </w:rPr>
        <w:t>V případě, že je částka požadovaná k uhrazení vyšší než částka schválená v rámci předběžné řídicí kontroly před schválením výdajové operace, posoudí příkazce operace odůvodnění navýšení ceny a</w:t>
      </w:r>
      <w:r w:rsidR="00DF31A2">
        <w:rPr>
          <w:lang w:eastAsia="cs-CZ"/>
        </w:rPr>
        <w:t> </w:t>
      </w:r>
      <w:r>
        <w:rPr>
          <w:lang w:eastAsia="cs-CZ"/>
        </w:rPr>
        <w:t>provede o této kontrole záznam.</w:t>
      </w:r>
    </w:p>
    <w:p w:rsidR="00682EB5" w:rsidP="005042E8">
      <w:pPr>
        <w:pStyle w:val="ListParagraph"/>
        <w:numPr>
          <w:ilvl w:val="0"/>
          <w:numId w:val="49"/>
        </w:numPr>
        <w:rPr>
          <w:lang w:eastAsia="cs-CZ"/>
        </w:rPr>
      </w:pPr>
      <w:r>
        <w:rPr>
          <w:lang w:eastAsia="cs-CZ"/>
        </w:rPr>
        <w:t>P</w:t>
      </w:r>
      <w:r>
        <w:rPr>
          <w:lang w:eastAsia="cs-CZ"/>
        </w:rPr>
        <w:t>říkazce operace na základě úkonů podle odstavců 3 a 4 rozhodne o schválení (příp. neschválení) platby.  V případě schválení příkazce operace předá podklady účetnímu k</w:t>
      </w:r>
      <w:r w:rsidR="003A0032">
        <w:rPr>
          <w:lang w:eastAsia="cs-CZ"/>
        </w:rPr>
        <w:t> </w:t>
      </w:r>
      <w:r>
        <w:rPr>
          <w:lang w:eastAsia="cs-CZ"/>
        </w:rPr>
        <w:t>zajištění platby.</w:t>
      </w:r>
    </w:p>
    <w:p w:rsidR="00682EB5" w:rsidP="00AC5511">
      <w:pPr>
        <w:pStyle w:val="ListParagraph"/>
        <w:numPr>
          <w:ilvl w:val="0"/>
          <w:numId w:val="49"/>
        </w:numPr>
        <w:rPr>
          <w:lang w:eastAsia="cs-CZ"/>
        </w:rPr>
      </w:pPr>
      <w:r>
        <w:rPr>
          <w:lang w:eastAsia="cs-CZ"/>
        </w:rPr>
        <w:t>Vzor záznamu je uveden v příloze č. 6a této směrnice. / Vzor ověřovacího razítka je uveden v příloze č. 6b</w:t>
      </w:r>
      <w:r>
        <w:rPr>
          <w:rStyle w:val="FootnoteReference"/>
          <w:lang w:eastAsia="cs-CZ"/>
        </w:rPr>
        <w:footnoteReference w:id="21"/>
      </w:r>
      <w:r>
        <w:rPr>
          <w:lang w:eastAsia="cs-CZ"/>
        </w:rPr>
        <w:t xml:space="preserve">, případně lze využít formulář vygenerovaný informačním systémem </w:t>
      </w:r>
      <w:r w:rsidR="002D6A2B">
        <w:rPr>
          <w:lang w:eastAsia="cs-CZ"/>
        </w:rPr>
        <w:t>orgánu veřejné správy</w:t>
      </w:r>
      <w:r>
        <w:rPr>
          <w:rStyle w:val="FootnoteReference"/>
          <w:lang w:eastAsia="cs-CZ"/>
        </w:rPr>
        <w:footnoteReference w:id="22"/>
      </w:r>
      <w:r>
        <w:rPr>
          <w:lang w:eastAsia="cs-CZ"/>
        </w:rPr>
        <w:t>.</w:t>
      </w:r>
    </w:p>
    <w:p w:rsidR="00682EB5" w:rsidP="003A0032">
      <w:pPr>
        <w:spacing w:before="240"/>
        <w:jc w:val="center"/>
        <w:rPr>
          <w:lang w:eastAsia="cs-CZ"/>
        </w:rPr>
      </w:pPr>
      <w:r>
        <w:rPr>
          <w:lang w:eastAsia="cs-CZ"/>
        </w:rPr>
        <w:t>Čl. X</w:t>
      </w:r>
    </w:p>
    <w:p w:rsidR="00682EB5" w:rsidRPr="003A0032" w:rsidP="003A0032">
      <w:pPr>
        <w:spacing w:before="0"/>
        <w:jc w:val="center"/>
        <w:rPr>
          <w:b/>
          <w:bCs/>
          <w:lang w:eastAsia="cs-CZ"/>
        </w:rPr>
      </w:pPr>
      <w:r w:rsidRPr="003A0032">
        <w:rPr>
          <w:b/>
          <w:bCs/>
          <w:lang w:eastAsia="cs-CZ"/>
        </w:rPr>
        <w:t>Průběžné sledování úhrady výdajů</w:t>
      </w:r>
    </w:p>
    <w:p w:rsidR="00682EB5" w:rsidP="005042E8">
      <w:pPr>
        <w:pStyle w:val="ListParagraph"/>
        <w:numPr>
          <w:ilvl w:val="0"/>
          <w:numId w:val="51"/>
        </w:numPr>
        <w:rPr>
          <w:lang w:eastAsia="cs-CZ"/>
        </w:rPr>
      </w:pPr>
      <w:r>
        <w:rPr>
          <w:lang w:eastAsia="cs-CZ"/>
        </w:rPr>
        <w:t>Ověřovatel</w:t>
      </w:r>
      <w:r>
        <w:rPr>
          <w:rStyle w:val="FootnoteReference"/>
          <w:lang w:eastAsia="cs-CZ"/>
        </w:rPr>
        <w:footnoteReference w:id="23"/>
      </w:r>
      <w:r>
        <w:rPr>
          <w:lang w:eastAsia="cs-CZ"/>
        </w:rPr>
        <w:t xml:space="preserve"> průběžně sleduje, zda výdaje, které je </w:t>
      </w:r>
      <w:r w:rsidR="002D6A2B">
        <w:rPr>
          <w:lang w:eastAsia="cs-CZ"/>
        </w:rPr>
        <w:t>orgán veřejné správy</w:t>
      </w:r>
      <w:r>
        <w:rPr>
          <w:lang w:eastAsia="cs-CZ"/>
        </w:rPr>
        <w:t xml:space="preserve"> povin</w:t>
      </w:r>
      <w:r w:rsidR="002D6A2B">
        <w:rPr>
          <w:lang w:eastAsia="cs-CZ"/>
        </w:rPr>
        <w:t>e</w:t>
      </w:r>
      <w:r>
        <w:rPr>
          <w:lang w:eastAsia="cs-CZ"/>
        </w:rPr>
        <w:t>n uhradit, jsou hrazeny včas a ve správné výši.</w:t>
      </w:r>
    </w:p>
    <w:p w:rsidR="00682EB5" w:rsidP="005042E8">
      <w:pPr>
        <w:pStyle w:val="ListParagraph"/>
        <w:numPr>
          <w:ilvl w:val="0"/>
          <w:numId w:val="51"/>
        </w:numPr>
        <w:rPr>
          <w:lang w:eastAsia="cs-CZ"/>
        </w:rPr>
      </w:pPr>
      <w:r>
        <w:rPr>
          <w:lang w:eastAsia="cs-CZ"/>
        </w:rPr>
        <w:t>Zjistí-li účetní nedostatek, provede bez zbytečného odkladu nápravu. Není-li možné nápravu provést, účetní informuje o zjištěném nedostatku příkazce operace.</w:t>
      </w:r>
    </w:p>
    <w:p w:rsidR="00682EB5" w:rsidRPr="003A0032" w:rsidP="003A0032">
      <w:pPr>
        <w:spacing w:before="360"/>
        <w:jc w:val="center"/>
        <w:rPr>
          <w:b/>
          <w:bCs/>
          <w:lang w:eastAsia="cs-CZ"/>
        </w:rPr>
      </w:pPr>
      <w:r w:rsidRPr="003A0032">
        <w:rPr>
          <w:b/>
          <w:bCs/>
          <w:lang w:eastAsia="cs-CZ"/>
        </w:rPr>
        <w:t>ŘÍDICÍ KONTROLA U MAJETKOVÝCH OPERACÍ</w:t>
      </w:r>
    </w:p>
    <w:p w:rsidR="00682EB5" w:rsidP="003A0032">
      <w:pPr>
        <w:spacing w:before="240"/>
        <w:jc w:val="center"/>
        <w:rPr>
          <w:lang w:eastAsia="cs-CZ"/>
        </w:rPr>
      </w:pPr>
      <w:r>
        <w:rPr>
          <w:lang w:eastAsia="cs-CZ"/>
        </w:rPr>
        <w:t>Čl. XI</w:t>
      </w:r>
    </w:p>
    <w:p w:rsidR="00682EB5" w:rsidP="005042E8">
      <w:pPr>
        <w:pStyle w:val="ListParagraph"/>
        <w:numPr>
          <w:ilvl w:val="0"/>
          <w:numId w:val="52"/>
        </w:numPr>
        <w:rPr>
          <w:lang w:eastAsia="cs-CZ"/>
        </w:rPr>
      </w:pPr>
      <w:r>
        <w:rPr>
          <w:lang w:eastAsia="cs-CZ"/>
        </w:rPr>
        <w:t>Při přípravě majetkové operace ověřovatel</w:t>
      </w:r>
      <w:r>
        <w:rPr>
          <w:rStyle w:val="FootnoteReference"/>
          <w:lang w:eastAsia="cs-CZ"/>
        </w:rPr>
        <w:footnoteReference w:id="24"/>
      </w:r>
      <w:r>
        <w:rPr>
          <w:lang w:eastAsia="cs-CZ"/>
        </w:rPr>
        <w:t xml:space="preserve"> ověří</w:t>
      </w:r>
    </w:p>
    <w:p w:rsidR="00682EB5" w:rsidP="005042E8">
      <w:pPr>
        <w:pStyle w:val="ListParagraph"/>
        <w:numPr>
          <w:ilvl w:val="1"/>
          <w:numId w:val="52"/>
        </w:numPr>
        <w:rPr>
          <w:lang w:eastAsia="cs-CZ"/>
        </w:rPr>
      </w:pPr>
      <w:r>
        <w:rPr>
          <w:lang w:eastAsia="cs-CZ"/>
        </w:rPr>
        <w:t xml:space="preserve">soulad majetkové operace se schváleným rozpočtem </w:t>
      </w:r>
      <w:r w:rsidR="00C90944">
        <w:rPr>
          <w:lang w:eastAsia="cs-CZ"/>
        </w:rPr>
        <w:t>orgánu veřejné správy</w:t>
      </w:r>
      <w:r>
        <w:rPr>
          <w:lang w:eastAsia="cs-CZ"/>
        </w:rPr>
        <w:t>, programy, projekty, uzavřenými smlouvami nebo rozhodnutími o nakládání s veřejnými prostředky a</w:t>
      </w:r>
    </w:p>
    <w:p w:rsidR="00682EB5" w:rsidP="005042E8">
      <w:pPr>
        <w:pStyle w:val="ListParagraph"/>
        <w:numPr>
          <w:ilvl w:val="1"/>
          <w:numId w:val="52"/>
        </w:numPr>
        <w:rPr>
          <w:lang w:eastAsia="cs-CZ"/>
        </w:rPr>
      </w:pPr>
      <w:r>
        <w:rPr>
          <w:lang w:eastAsia="cs-CZ"/>
        </w:rPr>
        <w:t xml:space="preserve">soulad majetkové operace s pravidly pro financování činnosti </w:t>
      </w:r>
      <w:r w:rsidR="00C90944">
        <w:rPr>
          <w:lang w:eastAsia="cs-CZ"/>
        </w:rPr>
        <w:t>orgánu veřejné správy</w:t>
      </w:r>
      <w:r>
        <w:rPr>
          <w:lang w:eastAsia="cs-CZ"/>
        </w:rPr>
        <w:t>.</w:t>
      </w:r>
    </w:p>
    <w:p w:rsidR="00682EB5" w:rsidP="005042E8">
      <w:pPr>
        <w:pStyle w:val="ListParagraph"/>
        <w:numPr>
          <w:ilvl w:val="0"/>
          <w:numId w:val="52"/>
        </w:numPr>
        <w:rPr>
          <w:lang w:eastAsia="cs-CZ"/>
        </w:rPr>
      </w:pPr>
      <w:r>
        <w:rPr>
          <w:lang w:eastAsia="cs-CZ"/>
        </w:rPr>
        <w:t>Ověřovatel vyhotoví záznam o provedení předběžné řídicí kontroly a předá ho společně se souvisejícími podklady příkazci operace.</w:t>
      </w:r>
    </w:p>
    <w:p w:rsidR="00682EB5" w:rsidP="005042E8">
      <w:pPr>
        <w:pStyle w:val="ListParagraph"/>
        <w:numPr>
          <w:ilvl w:val="0"/>
          <w:numId w:val="52"/>
        </w:numPr>
        <w:rPr>
          <w:lang w:eastAsia="cs-CZ"/>
        </w:rPr>
      </w:pPr>
      <w:r>
        <w:rPr>
          <w:lang w:eastAsia="cs-CZ"/>
        </w:rPr>
        <w:t xml:space="preserve">Ověřovatel dále zjistí a posoudí rozpočtová rizika, </w:t>
      </w:r>
      <w:r w:rsidR="00551EBA">
        <w:rPr>
          <w:lang w:eastAsia="cs-CZ"/>
        </w:rPr>
        <w:t xml:space="preserve">která </w:t>
      </w:r>
      <w:r>
        <w:rPr>
          <w:lang w:eastAsia="cs-CZ"/>
        </w:rPr>
        <w:t>s připravovanou majetkovou operací souvisí a</w:t>
      </w:r>
      <w:r w:rsidR="00422D72">
        <w:rPr>
          <w:lang w:eastAsia="cs-CZ"/>
        </w:rPr>
        <w:t> </w:t>
      </w:r>
      <w:r>
        <w:rPr>
          <w:lang w:eastAsia="cs-CZ"/>
        </w:rPr>
        <w:t>případně navrhne</w:t>
      </w:r>
      <w:r w:rsidR="00551EBA">
        <w:rPr>
          <w:lang w:eastAsia="cs-CZ"/>
        </w:rPr>
        <w:t xml:space="preserve"> nebo sám </w:t>
      </w:r>
      <w:r>
        <w:rPr>
          <w:lang w:eastAsia="cs-CZ"/>
        </w:rPr>
        <w:t>realizuje opatření k jejich vyloučení nebo zmírnění.</w:t>
      </w:r>
    </w:p>
    <w:p w:rsidR="00682EB5" w:rsidP="005042E8">
      <w:pPr>
        <w:pStyle w:val="ListParagraph"/>
        <w:numPr>
          <w:ilvl w:val="0"/>
          <w:numId w:val="52"/>
        </w:numPr>
        <w:rPr>
          <w:lang w:eastAsia="cs-CZ"/>
        </w:rPr>
      </w:pPr>
      <w:r>
        <w:rPr>
          <w:lang w:eastAsia="cs-CZ"/>
        </w:rPr>
        <w:t>Ověřovatel je oprávněn v záznamu o provedení předběžné řídicí kontroly stanovit omezující podmínky provedení majetkové operace.</w:t>
      </w:r>
    </w:p>
    <w:p w:rsidR="00682EB5" w:rsidP="005042E8">
      <w:pPr>
        <w:pStyle w:val="ListParagraph"/>
        <w:numPr>
          <w:ilvl w:val="0"/>
          <w:numId w:val="52"/>
        </w:numPr>
        <w:rPr>
          <w:lang w:eastAsia="cs-CZ"/>
        </w:rPr>
      </w:pPr>
      <w:r>
        <w:rPr>
          <w:lang w:eastAsia="cs-CZ"/>
        </w:rPr>
        <w:t>Při přípravě majetkové operace příkazce operace ověří</w:t>
      </w:r>
    </w:p>
    <w:p w:rsidR="00682EB5" w:rsidP="005042E8">
      <w:pPr>
        <w:pStyle w:val="ListParagraph"/>
        <w:numPr>
          <w:ilvl w:val="1"/>
          <w:numId w:val="52"/>
        </w:numPr>
        <w:rPr>
          <w:lang w:eastAsia="cs-CZ"/>
        </w:rPr>
      </w:pPr>
      <w:r>
        <w:rPr>
          <w:lang w:eastAsia="cs-CZ"/>
        </w:rPr>
        <w:t>soulad majetkové operace s právními předpisy,</w:t>
      </w:r>
    </w:p>
    <w:p w:rsidR="00682EB5" w:rsidP="005042E8">
      <w:pPr>
        <w:pStyle w:val="ListParagraph"/>
        <w:numPr>
          <w:ilvl w:val="1"/>
          <w:numId w:val="52"/>
        </w:numPr>
        <w:rPr>
          <w:lang w:eastAsia="cs-CZ"/>
        </w:rPr>
      </w:pPr>
      <w:r>
        <w:rPr>
          <w:lang w:eastAsia="cs-CZ"/>
        </w:rPr>
        <w:t xml:space="preserve">nezbytnost majetkové operace k zajištění úkolů, záměrů a cílů </w:t>
      </w:r>
      <w:r w:rsidR="00963E65">
        <w:rPr>
          <w:lang w:eastAsia="cs-CZ"/>
        </w:rPr>
        <w:t>orgánu veřejné správy</w:t>
      </w:r>
      <w:r>
        <w:rPr>
          <w:lang w:eastAsia="cs-CZ"/>
        </w:rPr>
        <w:t>,</w:t>
      </w:r>
    </w:p>
    <w:p w:rsidR="00682EB5" w:rsidP="005042E8">
      <w:pPr>
        <w:pStyle w:val="ListParagraph"/>
        <w:numPr>
          <w:ilvl w:val="1"/>
          <w:numId w:val="52"/>
        </w:numPr>
        <w:rPr>
          <w:lang w:eastAsia="cs-CZ"/>
        </w:rPr>
      </w:pPr>
      <w:r>
        <w:rPr>
          <w:lang w:eastAsia="cs-CZ"/>
        </w:rPr>
        <w:t>soulad majetkové operace se zásadou řádného finančního řízení,</w:t>
      </w:r>
    </w:p>
    <w:p w:rsidR="00682EB5" w:rsidP="005042E8">
      <w:pPr>
        <w:pStyle w:val="ListParagraph"/>
        <w:numPr>
          <w:ilvl w:val="1"/>
          <w:numId w:val="52"/>
        </w:numPr>
        <w:rPr>
          <w:lang w:eastAsia="cs-CZ"/>
        </w:rPr>
      </w:pPr>
      <w:r>
        <w:rPr>
          <w:lang w:eastAsia="cs-CZ"/>
        </w:rPr>
        <w:t xml:space="preserve">soulad majetkové operace se schváleným rozpočtem, programy, projekty, uzavřenými smlouvami </w:t>
      </w:r>
      <w:r w:rsidR="00551EBA">
        <w:rPr>
          <w:lang w:eastAsia="cs-CZ"/>
        </w:rPr>
        <w:t xml:space="preserve">nebo </w:t>
      </w:r>
      <w:r>
        <w:rPr>
          <w:lang w:eastAsia="cs-CZ"/>
        </w:rPr>
        <w:t>rozhodnutími o nakládání s veřejnými prostředky a</w:t>
      </w:r>
    </w:p>
    <w:p w:rsidR="00682EB5" w:rsidP="005042E8">
      <w:pPr>
        <w:pStyle w:val="ListParagraph"/>
        <w:numPr>
          <w:ilvl w:val="1"/>
          <w:numId w:val="52"/>
        </w:numPr>
        <w:rPr>
          <w:lang w:eastAsia="cs-CZ"/>
        </w:rPr>
      </w:pPr>
      <w:r>
        <w:rPr>
          <w:lang w:eastAsia="cs-CZ"/>
        </w:rPr>
        <w:t xml:space="preserve">soulad majetkové operace s pravidly pro financování činnosti </w:t>
      </w:r>
      <w:r w:rsidR="00963E65">
        <w:rPr>
          <w:lang w:eastAsia="cs-CZ"/>
        </w:rPr>
        <w:t>orgánu veřejné správy</w:t>
      </w:r>
      <w:r>
        <w:rPr>
          <w:lang w:eastAsia="cs-CZ"/>
        </w:rPr>
        <w:t>.</w:t>
      </w:r>
    </w:p>
    <w:p w:rsidR="00682EB5" w:rsidP="005042E8">
      <w:pPr>
        <w:pStyle w:val="ListParagraph"/>
        <w:numPr>
          <w:ilvl w:val="0"/>
          <w:numId w:val="52"/>
        </w:numPr>
        <w:rPr>
          <w:lang w:eastAsia="cs-CZ"/>
        </w:rPr>
      </w:pPr>
      <w:r>
        <w:rPr>
          <w:lang w:eastAsia="cs-CZ"/>
        </w:rPr>
        <w:t xml:space="preserve">Příkazce operace zjistí a posoudí rizika, </w:t>
      </w:r>
      <w:r w:rsidR="00551EBA">
        <w:rPr>
          <w:lang w:eastAsia="cs-CZ"/>
        </w:rPr>
        <w:t xml:space="preserve">která </w:t>
      </w:r>
      <w:r>
        <w:rPr>
          <w:lang w:eastAsia="cs-CZ"/>
        </w:rPr>
        <w:t>s připravovanou operací souvisí a navrhne</w:t>
      </w:r>
      <w:r w:rsidR="00551EBA">
        <w:rPr>
          <w:lang w:eastAsia="cs-CZ"/>
        </w:rPr>
        <w:t xml:space="preserve"> nebo </w:t>
      </w:r>
      <w:r>
        <w:rPr>
          <w:lang w:eastAsia="cs-CZ"/>
        </w:rPr>
        <w:t>realizuje opatření k jejich vyloučení nebo zmírnění</w:t>
      </w:r>
      <w:r w:rsidR="00BD6AA7">
        <w:rPr>
          <w:lang w:eastAsia="cs-CZ"/>
        </w:rPr>
        <w:t>.</w:t>
      </w:r>
    </w:p>
    <w:p w:rsidR="00682EB5" w:rsidP="005042E8">
      <w:pPr>
        <w:pStyle w:val="ListParagraph"/>
        <w:numPr>
          <w:ilvl w:val="0"/>
          <w:numId w:val="52"/>
        </w:numPr>
        <w:rPr>
          <w:lang w:eastAsia="cs-CZ"/>
        </w:rPr>
      </w:pPr>
      <w:r>
        <w:rPr>
          <w:lang w:eastAsia="cs-CZ"/>
        </w:rPr>
        <w:t>Příkazce operace ověří, že je operace doložena správnými a úplnými podklady.</w:t>
      </w:r>
    </w:p>
    <w:p w:rsidR="00682EB5" w:rsidP="005042E8">
      <w:pPr>
        <w:pStyle w:val="ListParagraph"/>
        <w:numPr>
          <w:ilvl w:val="0"/>
          <w:numId w:val="52"/>
        </w:numPr>
        <w:rPr>
          <w:lang w:eastAsia="cs-CZ"/>
        </w:rPr>
      </w:pPr>
      <w:r>
        <w:rPr>
          <w:lang w:eastAsia="cs-CZ"/>
        </w:rPr>
        <w:t>Příkazce operace na základě posouzení výše uvedených skutečností rozhodne o schválení (příp. neschválení) majetkové operace a vyhotoví o úkonech podle předchozího odstavce záznam.</w:t>
      </w:r>
    </w:p>
    <w:p w:rsidR="00682EB5" w:rsidP="005042E8">
      <w:pPr>
        <w:pStyle w:val="ListParagraph"/>
        <w:numPr>
          <w:ilvl w:val="0"/>
          <w:numId w:val="52"/>
        </w:numPr>
        <w:rPr>
          <w:lang w:eastAsia="cs-CZ"/>
        </w:rPr>
      </w:pPr>
      <w:r>
        <w:rPr>
          <w:lang w:eastAsia="cs-CZ"/>
        </w:rPr>
        <w:t>Vzor záznamu je uveden v příloze č. 7 této směrnice.</w:t>
      </w:r>
    </w:p>
    <w:p w:rsidR="00682EB5" w:rsidP="00D94ABF">
      <w:pPr>
        <w:spacing w:before="360"/>
        <w:jc w:val="center"/>
        <w:rPr>
          <w:lang w:eastAsia="cs-CZ"/>
        </w:rPr>
      </w:pPr>
      <w:r w:rsidRPr="00D94ABF">
        <w:rPr>
          <w:b/>
          <w:bCs/>
          <w:lang w:eastAsia="cs-CZ"/>
        </w:rPr>
        <w:t>NÁSLEDNÁ ŘÍDICÍ KONTROLA</w:t>
      </w:r>
    </w:p>
    <w:p w:rsidR="00682EB5" w:rsidP="00D94ABF">
      <w:pPr>
        <w:spacing w:before="240"/>
        <w:jc w:val="center"/>
        <w:rPr>
          <w:lang w:eastAsia="cs-CZ"/>
        </w:rPr>
      </w:pPr>
      <w:r>
        <w:rPr>
          <w:lang w:eastAsia="cs-CZ"/>
        </w:rPr>
        <w:t>Čl. XII</w:t>
      </w:r>
    </w:p>
    <w:p w:rsidR="00682EB5" w:rsidP="005042E8">
      <w:pPr>
        <w:pStyle w:val="ListParagraph"/>
        <w:numPr>
          <w:ilvl w:val="0"/>
          <w:numId w:val="53"/>
        </w:numPr>
        <w:rPr>
          <w:lang w:eastAsia="cs-CZ"/>
        </w:rPr>
      </w:pPr>
      <w:r>
        <w:rPr>
          <w:lang w:eastAsia="cs-CZ"/>
        </w:rPr>
        <w:t>Ověřovatel</w:t>
      </w:r>
      <w:r>
        <w:rPr>
          <w:rStyle w:val="FootnoteReference"/>
          <w:lang w:eastAsia="cs-CZ"/>
        </w:rPr>
        <w:footnoteReference w:id="25"/>
      </w:r>
      <w:r>
        <w:rPr>
          <w:lang w:eastAsia="cs-CZ"/>
        </w:rPr>
        <w:t xml:space="preserve"> provádí následnou řídicí kontrolu u vybraných příjmových, výdajových a majetkových operací. Ověřovatel vybírá ke kontrole operace s nejvyšší mírou rizika. Předmětem následné řídicí kontroly jsou vždy operace s hodnotou vyšší než 1 000 000 Kč</w:t>
      </w:r>
      <w:r>
        <w:rPr>
          <w:rStyle w:val="FootnoteReference"/>
          <w:lang w:eastAsia="cs-CZ"/>
        </w:rPr>
        <w:footnoteReference w:id="26"/>
      </w:r>
      <w:r>
        <w:rPr>
          <w:lang w:eastAsia="cs-CZ"/>
        </w:rPr>
        <w:t>.</w:t>
      </w:r>
    </w:p>
    <w:p w:rsidR="00682EB5" w:rsidP="005042E8">
      <w:pPr>
        <w:pStyle w:val="ListParagraph"/>
        <w:numPr>
          <w:ilvl w:val="0"/>
          <w:numId w:val="53"/>
        </w:numPr>
        <w:rPr>
          <w:lang w:eastAsia="cs-CZ"/>
        </w:rPr>
      </w:pPr>
      <w:r>
        <w:rPr>
          <w:lang w:eastAsia="cs-CZ"/>
        </w:rPr>
        <w:t>V rámci následné kontroly ověřovatel ověří</w:t>
      </w:r>
    </w:p>
    <w:p w:rsidR="00682EB5" w:rsidP="005042E8">
      <w:pPr>
        <w:pStyle w:val="ListParagraph"/>
        <w:numPr>
          <w:ilvl w:val="1"/>
          <w:numId w:val="53"/>
        </w:numPr>
        <w:rPr>
          <w:lang w:eastAsia="cs-CZ"/>
        </w:rPr>
      </w:pPr>
      <w:r>
        <w:rPr>
          <w:lang w:eastAsia="cs-CZ"/>
        </w:rPr>
        <w:t>soulad operace s právními předpisy,</w:t>
      </w:r>
    </w:p>
    <w:p w:rsidR="00682EB5" w:rsidP="005042E8">
      <w:pPr>
        <w:pStyle w:val="ListParagraph"/>
        <w:numPr>
          <w:ilvl w:val="1"/>
          <w:numId w:val="53"/>
        </w:numPr>
        <w:rPr>
          <w:lang w:eastAsia="cs-CZ"/>
        </w:rPr>
      </w:pPr>
      <w:r>
        <w:rPr>
          <w:lang w:eastAsia="cs-CZ"/>
        </w:rPr>
        <w:t>soulad s podmínkami, za kterých byla operace schválena,</w:t>
      </w:r>
    </w:p>
    <w:p w:rsidR="00682EB5" w:rsidP="005042E8">
      <w:pPr>
        <w:pStyle w:val="ListParagraph"/>
        <w:numPr>
          <w:ilvl w:val="1"/>
          <w:numId w:val="53"/>
        </w:numPr>
        <w:rPr>
          <w:lang w:eastAsia="cs-CZ"/>
        </w:rPr>
      </w:pPr>
      <w:r>
        <w:rPr>
          <w:lang w:eastAsia="cs-CZ"/>
        </w:rPr>
        <w:t>soulad operace se zásadou řádného finančního řízení,</w:t>
      </w:r>
    </w:p>
    <w:p w:rsidR="00682EB5" w:rsidP="005042E8">
      <w:pPr>
        <w:pStyle w:val="ListParagraph"/>
        <w:numPr>
          <w:ilvl w:val="1"/>
          <w:numId w:val="53"/>
        </w:numPr>
        <w:rPr>
          <w:lang w:eastAsia="cs-CZ"/>
        </w:rPr>
      </w:pPr>
      <w:r>
        <w:rPr>
          <w:lang w:eastAsia="cs-CZ"/>
        </w:rPr>
        <w:t>zda byla operace doložena správnými a úplnými podklady</w:t>
      </w:r>
      <w:r w:rsidR="00551EBA">
        <w:rPr>
          <w:lang w:eastAsia="cs-CZ"/>
        </w:rPr>
        <w:t>,</w:t>
      </w:r>
    </w:p>
    <w:p w:rsidR="00682EB5" w:rsidP="005042E8">
      <w:pPr>
        <w:pStyle w:val="ListParagraph"/>
        <w:numPr>
          <w:ilvl w:val="1"/>
          <w:numId w:val="53"/>
        </w:numPr>
        <w:rPr>
          <w:lang w:eastAsia="cs-CZ"/>
        </w:rPr>
      </w:pPr>
      <w:r>
        <w:rPr>
          <w:lang w:eastAsia="cs-CZ"/>
        </w:rPr>
        <w:t>zda byla řízena rizika</w:t>
      </w:r>
      <w:r>
        <w:rPr>
          <w:rStyle w:val="FootnoteReference"/>
          <w:lang w:eastAsia="cs-CZ"/>
        </w:rPr>
        <w:footnoteReference w:id="27"/>
      </w:r>
      <w:r>
        <w:rPr>
          <w:lang w:eastAsia="cs-CZ"/>
        </w:rPr>
        <w:t xml:space="preserve"> související s operací. </w:t>
      </w:r>
    </w:p>
    <w:p w:rsidR="00682EB5" w:rsidP="005042E8">
      <w:pPr>
        <w:pStyle w:val="ListParagraph"/>
        <w:numPr>
          <w:ilvl w:val="0"/>
          <w:numId w:val="53"/>
        </w:numPr>
        <w:rPr>
          <w:lang w:eastAsia="cs-CZ"/>
        </w:rPr>
      </w:pPr>
      <w:r>
        <w:rPr>
          <w:lang w:eastAsia="cs-CZ"/>
        </w:rPr>
        <w:t xml:space="preserve">O </w:t>
      </w:r>
      <w:r>
        <w:rPr>
          <w:lang w:eastAsia="cs-CZ"/>
        </w:rPr>
        <w:t xml:space="preserve">následné řídicí kontrole podle předchozího odstavce ověřovatel sepíše záznam. V případě, že </w:t>
      </w:r>
      <w:r>
        <w:rPr>
          <w:lang w:eastAsia="cs-CZ"/>
        </w:rPr>
        <w:t xml:space="preserve">ověřovatel </w:t>
      </w:r>
      <w:r>
        <w:rPr>
          <w:lang w:eastAsia="cs-CZ"/>
        </w:rPr>
        <w:t xml:space="preserve">identifikuje významná rizika nebo nedostatky, předá </w:t>
      </w:r>
      <w:r>
        <w:rPr>
          <w:lang w:eastAsia="cs-CZ"/>
        </w:rPr>
        <w:t xml:space="preserve">o nich </w:t>
      </w:r>
      <w:r>
        <w:rPr>
          <w:lang w:eastAsia="cs-CZ"/>
        </w:rPr>
        <w:t>záznam příkazci operace.</w:t>
      </w:r>
    </w:p>
    <w:p w:rsidR="00682EB5" w:rsidP="005042E8">
      <w:pPr>
        <w:pStyle w:val="ListParagraph"/>
        <w:numPr>
          <w:ilvl w:val="0"/>
          <w:numId w:val="53"/>
        </w:numPr>
        <w:rPr>
          <w:lang w:eastAsia="cs-CZ"/>
        </w:rPr>
      </w:pPr>
      <w:r>
        <w:rPr>
          <w:lang w:eastAsia="cs-CZ"/>
        </w:rPr>
        <w:t>Příkazce operace na základě podkladů od ověřovatele přijme opatření k eliminaci nebo zmírnění rizik a k odstranění nebo prevenci nedostatků.</w:t>
      </w:r>
    </w:p>
    <w:p w:rsidR="00682EB5" w:rsidP="005042E8">
      <w:pPr>
        <w:pStyle w:val="ListParagraph"/>
        <w:numPr>
          <w:ilvl w:val="0"/>
          <w:numId w:val="53"/>
        </w:numPr>
        <w:rPr>
          <w:lang w:eastAsia="cs-CZ"/>
        </w:rPr>
      </w:pPr>
      <w:r>
        <w:rPr>
          <w:lang w:eastAsia="cs-CZ"/>
        </w:rPr>
        <w:t>Vzor záznamu o následné řídicí kontrole je uveden v příloze č. 8 této směrnice.</w:t>
      </w:r>
    </w:p>
    <w:p w:rsidR="00682EB5" w:rsidRPr="00D94ABF" w:rsidP="00D94ABF">
      <w:pPr>
        <w:spacing w:before="360"/>
        <w:jc w:val="center"/>
        <w:rPr>
          <w:b/>
          <w:bCs/>
          <w:lang w:eastAsia="cs-CZ"/>
        </w:rPr>
      </w:pPr>
      <w:r w:rsidRPr="00D94ABF">
        <w:rPr>
          <w:b/>
          <w:bCs/>
          <w:lang w:eastAsia="cs-CZ"/>
        </w:rPr>
        <w:t>ČÁST TŘETÍ</w:t>
      </w:r>
    </w:p>
    <w:p w:rsidR="00682EB5" w:rsidRPr="00D94ABF" w:rsidP="00D94ABF">
      <w:pPr>
        <w:spacing w:before="0"/>
        <w:jc w:val="center"/>
        <w:rPr>
          <w:b/>
          <w:bCs/>
          <w:lang w:eastAsia="cs-CZ"/>
        </w:rPr>
      </w:pPr>
      <w:r w:rsidRPr="00D94ABF">
        <w:rPr>
          <w:b/>
          <w:bCs/>
          <w:lang w:eastAsia="cs-CZ"/>
        </w:rPr>
        <w:t>ZÁVĚREČNÁ USTANOVENÍ</w:t>
      </w:r>
    </w:p>
    <w:p w:rsidR="00682EB5" w:rsidP="00D94ABF">
      <w:pPr>
        <w:spacing w:before="240"/>
        <w:jc w:val="center"/>
        <w:rPr>
          <w:lang w:eastAsia="cs-CZ"/>
        </w:rPr>
      </w:pPr>
      <w:r>
        <w:rPr>
          <w:lang w:eastAsia="cs-CZ"/>
        </w:rPr>
        <w:t>Čl. XI</w:t>
      </w:r>
      <w:r w:rsidR="00942307">
        <w:rPr>
          <w:lang w:eastAsia="cs-CZ"/>
        </w:rPr>
        <w:t>II</w:t>
      </w:r>
    </w:p>
    <w:p w:rsidR="00682EB5" w:rsidP="005042E8">
      <w:pPr>
        <w:pStyle w:val="ListParagraph"/>
        <w:numPr>
          <w:ilvl w:val="0"/>
          <w:numId w:val="59"/>
        </w:numPr>
        <w:rPr>
          <w:lang w:eastAsia="cs-CZ"/>
        </w:rPr>
      </w:pPr>
      <w:r>
        <w:rPr>
          <w:lang w:eastAsia="cs-CZ"/>
        </w:rPr>
        <w:t>Nedílnou součástí této směrnice jsou její přílohy:</w:t>
      </w:r>
    </w:p>
    <w:p w:rsidR="00682EB5" w:rsidP="005042E8">
      <w:pPr>
        <w:pStyle w:val="ListParagraph"/>
        <w:numPr>
          <w:ilvl w:val="1"/>
          <w:numId w:val="60"/>
        </w:numPr>
        <w:rPr>
          <w:lang w:eastAsia="cs-CZ"/>
        </w:rPr>
      </w:pPr>
      <w:r>
        <w:rPr>
          <w:lang w:eastAsia="cs-CZ"/>
        </w:rPr>
        <w:t>Příloha č. 1: Vzor pověření k výkonu řídicí kontroly</w:t>
      </w:r>
    </w:p>
    <w:p w:rsidR="00682EB5" w:rsidP="005042E8">
      <w:pPr>
        <w:pStyle w:val="ListParagraph"/>
        <w:numPr>
          <w:ilvl w:val="1"/>
          <w:numId w:val="60"/>
        </w:numPr>
        <w:rPr>
          <w:lang w:eastAsia="cs-CZ"/>
        </w:rPr>
      </w:pPr>
      <w:r>
        <w:rPr>
          <w:lang w:eastAsia="cs-CZ"/>
        </w:rPr>
        <w:t xml:space="preserve">Příloha č. 2a: Vzor záznamu </w:t>
      </w:r>
      <w:r w:rsidR="00D94ABF">
        <w:rPr>
          <w:lang w:eastAsia="cs-CZ"/>
        </w:rPr>
        <w:t>–</w:t>
      </w:r>
      <w:r>
        <w:rPr>
          <w:lang w:eastAsia="cs-CZ"/>
        </w:rPr>
        <w:t xml:space="preserve"> předběžná řídicí kontrola před schválením příjmové operace</w:t>
      </w:r>
    </w:p>
    <w:p w:rsidR="00682EB5" w:rsidP="005042E8">
      <w:pPr>
        <w:pStyle w:val="ListParagraph"/>
        <w:numPr>
          <w:ilvl w:val="1"/>
          <w:numId w:val="60"/>
        </w:numPr>
        <w:rPr>
          <w:lang w:eastAsia="cs-CZ"/>
        </w:rPr>
      </w:pPr>
      <w:r>
        <w:rPr>
          <w:lang w:eastAsia="cs-CZ"/>
        </w:rPr>
        <w:t xml:space="preserve">Příloha č. 2b: Vzor ověřovacího razítka </w:t>
      </w:r>
      <w:r w:rsidR="00D94ABF">
        <w:rPr>
          <w:lang w:eastAsia="cs-CZ"/>
        </w:rPr>
        <w:t xml:space="preserve">– </w:t>
      </w:r>
      <w:r>
        <w:rPr>
          <w:lang w:eastAsia="cs-CZ"/>
        </w:rPr>
        <w:t>předběžná řídicí kontrola před schválením příjmové operace</w:t>
      </w:r>
    </w:p>
    <w:p w:rsidR="00682EB5" w:rsidP="005042E8">
      <w:pPr>
        <w:pStyle w:val="ListParagraph"/>
        <w:numPr>
          <w:ilvl w:val="1"/>
          <w:numId w:val="60"/>
        </w:numPr>
        <w:rPr>
          <w:lang w:eastAsia="cs-CZ"/>
        </w:rPr>
      </w:pPr>
      <w:r>
        <w:rPr>
          <w:lang w:eastAsia="cs-CZ"/>
        </w:rPr>
        <w:t>Příloha č. 3: Vzor záznamu – řídicí kontrola příjmové operace – neuhrazené pohledávky</w:t>
      </w:r>
    </w:p>
    <w:p w:rsidR="00682EB5" w:rsidP="005042E8">
      <w:pPr>
        <w:pStyle w:val="ListParagraph"/>
        <w:numPr>
          <w:ilvl w:val="1"/>
          <w:numId w:val="60"/>
        </w:numPr>
        <w:rPr>
          <w:lang w:eastAsia="cs-CZ"/>
        </w:rPr>
      </w:pPr>
      <w:r>
        <w:rPr>
          <w:lang w:eastAsia="cs-CZ"/>
        </w:rPr>
        <w:t xml:space="preserve">Příloha č. 4a Vzor záznamu </w:t>
      </w:r>
      <w:r w:rsidR="00D94ABF">
        <w:rPr>
          <w:lang w:eastAsia="cs-CZ"/>
        </w:rPr>
        <w:t xml:space="preserve">– </w:t>
      </w:r>
      <w:r>
        <w:rPr>
          <w:lang w:eastAsia="cs-CZ"/>
        </w:rPr>
        <w:t>předběžná řídicí kontrola před schválením výdajové operace</w:t>
      </w:r>
    </w:p>
    <w:p w:rsidR="00682EB5" w:rsidP="005042E8">
      <w:pPr>
        <w:pStyle w:val="ListParagraph"/>
        <w:numPr>
          <w:ilvl w:val="1"/>
          <w:numId w:val="60"/>
        </w:numPr>
        <w:rPr>
          <w:lang w:eastAsia="cs-CZ"/>
        </w:rPr>
      </w:pPr>
      <w:r>
        <w:rPr>
          <w:lang w:eastAsia="cs-CZ"/>
        </w:rPr>
        <w:t xml:space="preserve">Příloha č. 4b: Vzor ověřovacího razítka </w:t>
      </w:r>
      <w:r w:rsidR="00D94ABF">
        <w:rPr>
          <w:lang w:eastAsia="cs-CZ"/>
        </w:rPr>
        <w:t xml:space="preserve">– </w:t>
      </w:r>
      <w:r>
        <w:rPr>
          <w:lang w:eastAsia="cs-CZ"/>
        </w:rPr>
        <w:t>předběžná řídicí kontrola před schválením výdajové operace</w:t>
      </w:r>
    </w:p>
    <w:p w:rsidR="00682EB5" w:rsidP="005042E8">
      <w:pPr>
        <w:pStyle w:val="ListParagraph"/>
        <w:numPr>
          <w:ilvl w:val="1"/>
          <w:numId w:val="60"/>
        </w:numPr>
        <w:rPr>
          <w:lang w:eastAsia="cs-CZ"/>
        </w:rPr>
      </w:pPr>
      <w:r>
        <w:rPr>
          <w:lang w:eastAsia="cs-CZ"/>
        </w:rPr>
        <w:t>Příloha č. 5: Vzor záznamu – hromadné provedení předběžné řídicí kontroly před schválením výdajových operací</w:t>
      </w:r>
    </w:p>
    <w:p w:rsidR="00682EB5" w:rsidP="005042E8">
      <w:pPr>
        <w:pStyle w:val="ListParagraph"/>
        <w:numPr>
          <w:ilvl w:val="1"/>
          <w:numId w:val="60"/>
        </w:numPr>
        <w:rPr>
          <w:lang w:eastAsia="cs-CZ"/>
        </w:rPr>
      </w:pPr>
      <w:r>
        <w:rPr>
          <w:lang w:eastAsia="cs-CZ"/>
        </w:rPr>
        <w:t xml:space="preserve">Příloha č. 6a: Vzor záznamu </w:t>
      </w:r>
      <w:r w:rsidR="00D94ABF">
        <w:rPr>
          <w:lang w:eastAsia="cs-CZ"/>
        </w:rPr>
        <w:t xml:space="preserve">– </w:t>
      </w:r>
      <w:r>
        <w:rPr>
          <w:lang w:eastAsia="cs-CZ"/>
        </w:rPr>
        <w:t>předběžná řídicí kontrola před platbou</w:t>
      </w:r>
    </w:p>
    <w:p w:rsidR="00682EB5" w:rsidP="005042E8">
      <w:pPr>
        <w:pStyle w:val="ListParagraph"/>
        <w:numPr>
          <w:ilvl w:val="1"/>
          <w:numId w:val="60"/>
        </w:numPr>
        <w:rPr>
          <w:lang w:eastAsia="cs-CZ"/>
        </w:rPr>
      </w:pPr>
      <w:r>
        <w:rPr>
          <w:lang w:eastAsia="cs-CZ"/>
        </w:rPr>
        <w:t xml:space="preserve">Příloha č. 6b: Vzor ověřovacího razítka </w:t>
      </w:r>
      <w:r w:rsidR="00D94ABF">
        <w:rPr>
          <w:lang w:eastAsia="cs-CZ"/>
        </w:rPr>
        <w:t xml:space="preserve">– </w:t>
      </w:r>
      <w:r>
        <w:rPr>
          <w:lang w:eastAsia="cs-CZ"/>
        </w:rPr>
        <w:t>předběžná řídicí kontrola před platbou</w:t>
      </w:r>
    </w:p>
    <w:p w:rsidR="00682EB5" w:rsidP="005042E8">
      <w:pPr>
        <w:pStyle w:val="ListParagraph"/>
        <w:numPr>
          <w:ilvl w:val="1"/>
          <w:numId w:val="60"/>
        </w:numPr>
        <w:rPr>
          <w:lang w:eastAsia="cs-CZ"/>
        </w:rPr>
      </w:pPr>
      <w:r>
        <w:rPr>
          <w:lang w:eastAsia="cs-CZ"/>
        </w:rPr>
        <w:t>Příloha č. 7: Vzor záznamu – předběžná řídicí kontrola před schválením majetkové operace</w:t>
      </w:r>
    </w:p>
    <w:p w:rsidR="00682EB5" w:rsidP="005042E8">
      <w:pPr>
        <w:pStyle w:val="ListParagraph"/>
        <w:numPr>
          <w:ilvl w:val="1"/>
          <w:numId w:val="60"/>
        </w:numPr>
        <w:rPr>
          <w:lang w:eastAsia="cs-CZ"/>
        </w:rPr>
      </w:pPr>
      <w:r>
        <w:rPr>
          <w:lang w:eastAsia="cs-CZ"/>
        </w:rPr>
        <w:t>Příloha č. 8: Vzor záznamu – následná řídicí kontrola</w:t>
      </w:r>
    </w:p>
    <w:p w:rsidR="00682EB5" w:rsidRPr="008765E9" w:rsidP="005042E8">
      <w:pPr>
        <w:pStyle w:val="ListParagraph"/>
        <w:numPr>
          <w:ilvl w:val="0"/>
          <w:numId w:val="59"/>
        </w:numPr>
        <w:rPr>
          <w:lang w:eastAsia="cs-CZ"/>
        </w:rPr>
      </w:pPr>
      <w:r w:rsidRPr="00D94ABF">
        <w:rPr>
          <w:lang w:eastAsia="cs-CZ"/>
        </w:rPr>
        <w:t>Tato směrnice nabývá účinnosti dne ……………</w:t>
      </w:r>
      <w:r w:rsidRPr="00D94ABF">
        <w:rPr>
          <w:lang w:eastAsia="cs-CZ"/>
        </w:rPr>
        <w:t xml:space="preserve">… </w:t>
      </w:r>
      <w:r>
        <w:rPr>
          <w:lang w:eastAsia="cs-CZ"/>
        </w:rPr>
        <w:t>.</w:t>
      </w:r>
    </w:p>
    <w:p w:rsidR="00D93A36" w:rsidP="0014425B">
      <w:pPr>
        <w:spacing w:before="0" w:line="240" w:lineRule="auto"/>
        <w:jc w:val="left"/>
        <w:rPr>
          <w:rFonts w:ascii="Segoe UI Semibold" w:hAnsi="Segoe UI Semibold"/>
          <w:lang w:eastAsia="cs-CZ"/>
        </w:rPr>
      </w:pPr>
    </w:p>
    <w:p w:rsidR="00D93A36" w:rsidP="0014425B">
      <w:pPr>
        <w:spacing w:before="0" w:line="240" w:lineRule="auto"/>
        <w:jc w:val="left"/>
        <w:rPr>
          <w:rFonts w:ascii="Segoe UI Semibold" w:hAnsi="Segoe UI Semibold"/>
          <w:lang w:eastAsia="cs-CZ"/>
        </w:rPr>
        <w:sectPr w:rsidSect="00422D72">
          <w:headerReference w:type="default" r:id="rId9"/>
          <w:footerReference w:type="default" r:id="rId10"/>
          <w:pgSz w:w="11906" w:h="16838"/>
          <w:pgMar w:top="1418" w:right="1418" w:bottom="993" w:left="1418" w:header="709" w:footer="709" w:gutter="0"/>
          <w:pgNumType w:start="1"/>
          <w:cols w:space="708"/>
          <w:docGrid w:linePitch="360"/>
        </w:sectPr>
      </w:pPr>
    </w:p>
    <w:p w:rsidR="00693877" w:rsidRPr="00B17663" w:rsidP="00693877">
      <w:pPr>
        <w:spacing w:before="600" w:after="240"/>
        <w:jc w:val="center"/>
        <w:rPr>
          <w:rFonts w:asciiTheme="minorHAnsi" w:hAnsiTheme="minorHAnsi" w:cstheme="minorHAnsi"/>
          <w:b/>
          <w:bCs/>
          <w:sz w:val="24"/>
          <w:szCs w:val="24"/>
          <w:lang w:eastAsia="cs-CZ"/>
        </w:rPr>
      </w:pPr>
      <w:r w:rsidRPr="00B17663">
        <w:rPr>
          <w:rFonts w:asciiTheme="minorHAnsi" w:hAnsiTheme="minorHAnsi" w:cstheme="minorHAnsi"/>
          <w:b/>
          <w:bCs/>
          <w:sz w:val="24"/>
          <w:szCs w:val="24"/>
          <w:lang w:eastAsia="cs-CZ"/>
        </w:rPr>
        <w:t>POVĚŘENÍ</w:t>
      </w:r>
    </w:p>
    <w:p w:rsidR="005F6D70" w:rsidRPr="00B17663" w:rsidP="00693877">
      <w:pPr>
        <w:spacing w:before="240" w:after="600"/>
        <w:jc w:val="center"/>
        <w:rPr>
          <w:rFonts w:asciiTheme="minorHAnsi" w:hAnsiTheme="minorHAnsi" w:cstheme="minorHAnsi"/>
          <w:b/>
          <w:bCs/>
          <w:sz w:val="24"/>
          <w:szCs w:val="24"/>
          <w:lang w:eastAsia="cs-CZ"/>
        </w:rPr>
      </w:pPr>
      <w:r>
        <w:rPr>
          <w:rFonts w:asciiTheme="minorHAnsi" w:hAnsiTheme="minorHAnsi" w:cstheme="minorHAnsi"/>
          <w:b/>
          <w:bCs/>
          <w:sz w:val="24"/>
          <w:szCs w:val="24"/>
          <w:lang w:eastAsia="cs-CZ"/>
        </w:rPr>
        <w:t>VEDOUCÍHO ORGÁNU VEŘEJNÉ SPRÁVY</w:t>
      </w:r>
      <w:r w:rsidRPr="00B17663" w:rsidR="00693877">
        <w:rPr>
          <w:rFonts w:asciiTheme="minorHAnsi" w:hAnsiTheme="minorHAnsi" w:cstheme="minorHAnsi"/>
          <w:b/>
          <w:bCs/>
          <w:sz w:val="24"/>
          <w:szCs w:val="24"/>
          <w:lang w:eastAsia="cs-CZ"/>
        </w:rPr>
        <w:t xml:space="preserve"> ……………</w:t>
      </w:r>
      <w:r w:rsidR="00693877">
        <w:rPr>
          <w:rFonts w:asciiTheme="minorHAnsi" w:hAnsiTheme="minorHAnsi" w:cstheme="minorHAnsi"/>
          <w:b/>
          <w:bCs/>
          <w:sz w:val="24"/>
          <w:szCs w:val="24"/>
          <w:lang w:eastAsia="cs-CZ"/>
        </w:rPr>
        <w:t xml:space="preserve"> ze dne </w:t>
      </w:r>
      <w:r w:rsidRPr="00B17663" w:rsidR="00693877">
        <w:rPr>
          <w:rFonts w:asciiTheme="minorHAnsi" w:hAnsiTheme="minorHAnsi" w:cstheme="minorHAnsi"/>
          <w:b/>
          <w:bCs/>
          <w:sz w:val="24"/>
          <w:szCs w:val="24"/>
          <w:lang w:eastAsia="cs-CZ"/>
        </w:rPr>
        <w:t>……………</w:t>
      </w:r>
    </w:p>
    <w:p w:rsidR="005F6D70" w:rsidRPr="00B17663" w:rsidP="005F6D70">
      <w:pPr>
        <w:rPr>
          <w:rFonts w:asciiTheme="minorHAnsi" w:hAnsiTheme="minorHAnsi" w:cstheme="minorHAnsi"/>
          <w:lang w:eastAsia="cs-CZ"/>
        </w:rPr>
      </w:pPr>
      <w:r w:rsidRPr="00B17663">
        <w:rPr>
          <w:rFonts w:asciiTheme="minorHAnsi" w:hAnsiTheme="minorHAnsi" w:cstheme="minorHAnsi"/>
          <w:lang w:eastAsia="cs-CZ"/>
        </w:rPr>
        <w:t>V souladu se zákonem č. 231/2025 Sb., o řízení a kontrole veřejných financí a směrnicí č. …/… o řízení a kontrole veřejných financí, jako vedoucí orgánu veřejné správy</w:t>
      </w:r>
    </w:p>
    <w:p w:rsidR="005F6D70" w:rsidRPr="00473AA4" w:rsidP="005F6D70">
      <w:pPr>
        <w:spacing w:before="600" w:after="600"/>
        <w:jc w:val="center"/>
        <w:rPr>
          <w:rFonts w:asciiTheme="minorHAnsi" w:hAnsiTheme="minorHAnsi" w:cstheme="minorHAnsi"/>
          <w:i/>
          <w:iCs/>
          <w:spacing w:val="60"/>
          <w:sz w:val="24"/>
          <w:szCs w:val="24"/>
          <w:lang w:eastAsia="cs-CZ"/>
        </w:rPr>
      </w:pPr>
      <w:r w:rsidRPr="00473AA4">
        <w:rPr>
          <w:rFonts w:asciiTheme="minorHAnsi" w:hAnsiTheme="minorHAnsi" w:cstheme="minorHAnsi"/>
          <w:i/>
          <w:iCs/>
          <w:spacing w:val="60"/>
          <w:sz w:val="24"/>
          <w:szCs w:val="24"/>
          <w:lang w:eastAsia="cs-CZ"/>
        </w:rPr>
        <w:t>pověřuj</w:t>
      </w:r>
      <w:r w:rsidRPr="00473AA4" w:rsidR="00473AA4">
        <w:rPr>
          <w:rFonts w:asciiTheme="minorHAnsi" w:hAnsiTheme="minorHAnsi" w:cstheme="minorHAnsi"/>
          <w:i/>
          <w:iCs/>
          <w:spacing w:val="60"/>
          <w:sz w:val="24"/>
          <w:szCs w:val="24"/>
          <w:lang w:eastAsia="cs-CZ"/>
        </w:rPr>
        <w:t>i</w:t>
      </w:r>
    </w:p>
    <w:p w:rsidR="005F6D70" w:rsidRPr="00B17663" w:rsidP="005F6D70">
      <w:pPr>
        <w:rPr>
          <w:rFonts w:asciiTheme="minorHAnsi" w:hAnsiTheme="minorHAnsi" w:cstheme="minorHAnsi"/>
          <w:lang w:eastAsia="cs-CZ"/>
        </w:rPr>
      </w:pPr>
      <w:r w:rsidRPr="00B17663">
        <w:rPr>
          <w:rFonts w:asciiTheme="minorHAnsi" w:hAnsiTheme="minorHAnsi" w:cstheme="minorHAnsi"/>
          <w:lang w:eastAsia="cs-CZ"/>
        </w:rPr>
        <w:t xml:space="preserve">pana/paní……………………………………. (jméno, příjmení, titul a funkce nebo pracovní zařazení) funkcí </w:t>
      </w:r>
      <w:r w:rsidRPr="00B17663" w:rsidR="001229E5">
        <w:rPr>
          <w:rFonts w:asciiTheme="minorHAnsi" w:hAnsiTheme="minorHAnsi" w:cstheme="minorHAnsi"/>
          <w:lang w:eastAsia="cs-CZ"/>
        </w:rPr>
        <w:t xml:space="preserve">při výkonu </w:t>
      </w:r>
      <w:r w:rsidRPr="00FE7BEE" w:rsidR="001229E5">
        <w:rPr>
          <w:rFonts w:asciiTheme="minorHAnsi" w:hAnsiTheme="minorHAnsi" w:cstheme="minorHAnsi"/>
          <w:b/>
          <w:bCs/>
          <w:lang w:eastAsia="cs-CZ"/>
        </w:rPr>
        <w:t>řídicí kontroly</w:t>
      </w:r>
      <w:r w:rsidRPr="00B17663" w:rsidR="001229E5">
        <w:rPr>
          <w:rFonts w:asciiTheme="minorHAnsi" w:hAnsiTheme="minorHAnsi" w:cstheme="minorHAnsi"/>
          <w:lang w:eastAsia="cs-CZ"/>
        </w:rPr>
        <w:t xml:space="preserve"> </w:t>
      </w:r>
      <w:r w:rsidRPr="00B17663">
        <w:rPr>
          <w:rFonts w:asciiTheme="minorHAnsi" w:hAnsiTheme="minorHAnsi" w:cstheme="minorHAnsi"/>
          <w:lang w:eastAsia="cs-CZ"/>
        </w:rPr>
        <w:t>(hodící se zaškrtněte):</w:t>
      </w:r>
    </w:p>
    <w:p w:rsidR="005F6D70" w:rsidRPr="00B17663" w:rsidP="00B73F39">
      <w:pPr>
        <w:spacing w:before="240"/>
        <w:ind w:left="709"/>
        <w:rPr>
          <w:rFonts w:asciiTheme="minorHAnsi" w:hAnsiTheme="minorHAnsi" w:cstheme="minorHAnsi"/>
          <w:b/>
          <w:bCs/>
          <w:lang w:eastAsia="cs-CZ"/>
        </w:rPr>
      </w:pPr>
      <w:sdt>
        <w:sdtPr>
          <w:rPr>
            <w:rFonts w:eastAsia="MS Gothic" w:asciiTheme="minorHAnsi" w:hAnsiTheme="minorHAnsi" w:cstheme="minorHAnsi"/>
          </w:rPr>
          <w:id w:val="-709486351"/>
          <w14:checkbox>
            <w14:checked w14:val="0"/>
            <w14:checkedState w14:val="2612" w14:font="MS Gothic"/>
            <w14:uncheckedState w14:val="2610" w14:font="MS Gothic"/>
          </w14:checkbox>
        </w:sdtPr>
        <w:sdtContent>
          <w:r w:rsidR="001E4ECA">
            <w:rPr>
              <w:rFonts w:ascii="MS Gothic" w:eastAsia="MS Gothic" w:hAnsi="MS Gothic" w:cstheme="minorHAnsi" w:hint="eastAsia"/>
            </w:rPr>
            <w:t>☐</w:t>
          </w:r>
        </w:sdtContent>
      </w:sdt>
      <w:r w:rsidRPr="00B17663" w:rsidR="001229E5">
        <w:rPr>
          <w:rFonts w:asciiTheme="minorHAnsi" w:hAnsiTheme="minorHAnsi" w:cstheme="minorHAnsi"/>
          <w:b/>
          <w:bCs/>
          <w:lang w:eastAsia="cs-CZ"/>
        </w:rPr>
        <w:tab/>
      </w:r>
      <w:r w:rsidRPr="00B17663">
        <w:rPr>
          <w:rFonts w:asciiTheme="minorHAnsi" w:hAnsiTheme="minorHAnsi" w:cstheme="minorHAnsi"/>
          <w:b/>
          <w:bCs/>
          <w:lang w:eastAsia="cs-CZ"/>
        </w:rPr>
        <w:t>příkazce operace</w:t>
      </w:r>
    </w:p>
    <w:p w:rsidR="001229E5" w:rsidRPr="00B17663" w:rsidP="00B17663">
      <w:pPr>
        <w:spacing w:before="0" w:after="120"/>
        <w:ind w:left="709"/>
        <w:rPr>
          <w:rFonts w:asciiTheme="minorHAnsi" w:hAnsiTheme="minorHAnsi" w:cstheme="minorHAnsi"/>
          <w:lang w:eastAsia="cs-CZ"/>
        </w:rPr>
      </w:pPr>
      <w:r>
        <w:rPr>
          <w:rFonts w:asciiTheme="minorHAnsi" w:hAnsiTheme="minorHAnsi" w:cstheme="minorHAnsi"/>
          <w:b/>
          <w:bCs/>
          <w:lang w:eastAsia="cs-CZ"/>
        </w:rPr>
        <w:t>p</w:t>
      </w:r>
      <w:r w:rsidRPr="00B17663" w:rsidR="00B17663">
        <w:rPr>
          <w:rFonts w:asciiTheme="minorHAnsi" w:hAnsiTheme="minorHAnsi" w:cstheme="minorHAnsi"/>
          <w:b/>
          <w:bCs/>
          <w:lang w:eastAsia="cs-CZ"/>
        </w:rPr>
        <w:t>ro</w:t>
      </w:r>
      <w:r w:rsidR="00B73F39">
        <w:rPr>
          <w:rFonts w:asciiTheme="minorHAnsi" w:hAnsiTheme="minorHAnsi" w:cstheme="minorHAnsi"/>
          <w:b/>
          <w:bCs/>
          <w:lang w:eastAsia="cs-CZ"/>
        </w:rPr>
        <w:t xml:space="preserve"> </w:t>
      </w:r>
      <w:sdt>
        <w:sdtPr>
          <w:rPr>
            <w:rFonts w:asciiTheme="minorHAnsi" w:hAnsiTheme="minorHAnsi" w:cstheme="minorHAnsi"/>
            <w:i/>
            <w:iCs/>
            <w:color w:val="797979" w:themeColor="background2" w:themeShade="80"/>
          </w:rPr>
          <w:id w:val="-1858189436"/>
          <w:comboBox>
            <w:listItem w:value="tyto operace" w:displayText="tyto operace"/>
            <w:listItem w:value="všechny operace" w:displayText="všechny operace"/>
          </w:comboBox>
        </w:sdtPr>
        <w:sdtContent>
          <w:r w:rsidRPr="00B73F39" w:rsidR="00B73F39">
            <w:rPr>
              <w:rFonts w:asciiTheme="minorHAnsi" w:hAnsiTheme="minorHAnsi" w:cstheme="minorHAnsi"/>
              <w:i/>
              <w:iCs/>
              <w:color w:val="797979" w:themeColor="background2" w:themeShade="80"/>
            </w:rPr>
            <w:t>(</w:t>
          </w:r>
          <w:r w:rsidR="0060345B">
            <w:rPr>
              <w:rFonts w:asciiTheme="minorHAnsi" w:hAnsiTheme="minorHAnsi" w:cstheme="minorHAnsi"/>
              <w:i/>
              <w:iCs/>
              <w:color w:val="797979" w:themeColor="background2" w:themeShade="80"/>
            </w:rPr>
            <w:t>Z</w:t>
          </w:r>
          <w:r w:rsidRPr="00B73F39" w:rsidR="00B73F39">
            <w:rPr>
              <w:rFonts w:asciiTheme="minorHAnsi" w:hAnsiTheme="minorHAnsi" w:cstheme="minorHAnsi"/>
              <w:i/>
              <w:iCs/>
              <w:color w:val="797979" w:themeColor="background2" w:themeShade="80"/>
            </w:rPr>
            <w:t>volte položku)</w:t>
          </w:r>
        </w:sdtContent>
      </w:sdt>
      <w:r w:rsidR="00B73F39">
        <w:rPr>
          <w:rFonts w:asciiTheme="minorHAnsi" w:hAnsiTheme="minorHAnsi" w:cstheme="minorHAnsi"/>
          <w:i/>
          <w:iCs/>
        </w:rPr>
        <w:t xml:space="preserve"> </w:t>
      </w:r>
      <w:r w:rsidR="00D43C56">
        <w:rPr>
          <w:rFonts w:asciiTheme="minorHAnsi" w:hAnsiTheme="minorHAnsi" w:cstheme="minorHAnsi"/>
          <w:b/>
          <w:bCs/>
        </w:rPr>
        <w:t>……………………………………………………………</w:t>
      </w:r>
      <w:r w:rsidR="00B73F39">
        <w:rPr>
          <w:rFonts w:asciiTheme="minorHAnsi" w:hAnsiTheme="minorHAnsi" w:cstheme="minorHAnsi"/>
          <w:b/>
          <w:bCs/>
        </w:rPr>
        <w:t xml:space="preserve">, </w:t>
      </w:r>
      <w:r w:rsidRPr="008E5C33" w:rsidR="00D43C56">
        <w:rPr>
          <w:rFonts w:asciiTheme="minorHAnsi" w:hAnsiTheme="minorHAnsi" w:cstheme="minorHAnsi"/>
          <w:b/>
          <w:bCs/>
        </w:rPr>
        <w:t>s</w:t>
      </w:r>
      <w:r w:rsidR="00B73F39">
        <w:rPr>
          <w:rFonts w:asciiTheme="minorHAnsi" w:hAnsiTheme="minorHAnsi" w:cstheme="minorHAnsi"/>
          <w:b/>
          <w:bCs/>
        </w:rPr>
        <w:t> </w:t>
      </w:r>
      <w:r w:rsidRPr="008E5C33" w:rsidR="00D43C56">
        <w:rPr>
          <w:rFonts w:asciiTheme="minorHAnsi" w:hAnsiTheme="minorHAnsi" w:cstheme="minorHAnsi"/>
          <w:b/>
          <w:bCs/>
        </w:rPr>
        <w:t>výjimkou</w:t>
      </w:r>
      <w:r w:rsidR="00D43C56">
        <w:rPr>
          <w:rFonts w:asciiTheme="minorHAnsi" w:hAnsiTheme="minorHAnsi" w:cstheme="minorHAnsi"/>
          <w:b/>
          <w:bCs/>
        </w:rPr>
        <w:t xml:space="preserve"> ……………………………………</w:t>
      </w:r>
      <w:r w:rsidR="00D43C56">
        <w:rPr>
          <w:rFonts w:asciiTheme="minorHAnsi" w:hAnsiTheme="minorHAnsi" w:cstheme="minorHAnsi"/>
          <w:b/>
          <w:bCs/>
        </w:rPr>
        <w:t>……</w:t>
      </w:r>
      <w:r w:rsidR="00B73F39">
        <w:rPr>
          <w:rFonts w:asciiTheme="minorHAnsi" w:hAnsiTheme="minorHAnsi" w:cstheme="minorHAnsi"/>
          <w:b/>
          <w:bCs/>
        </w:rPr>
        <w:t>.</w:t>
      </w:r>
      <w:r w:rsidR="00B73F39">
        <w:rPr>
          <w:rFonts w:asciiTheme="minorHAnsi" w:hAnsiTheme="minorHAnsi" w:cstheme="minorHAnsi"/>
          <w:b/>
          <w:bCs/>
        </w:rPr>
        <w:t>.</w:t>
      </w:r>
    </w:p>
    <w:p w:rsidR="005F6D70" w:rsidRPr="00B17663" w:rsidP="00B73F39">
      <w:pPr>
        <w:spacing w:before="240"/>
        <w:ind w:left="709"/>
        <w:rPr>
          <w:rFonts w:asciiTheme="minorHAnsi" w:hAnsiTheme="minorHAnsi" w:cstheme="minorHAnsi"/>
          <w:b/>
          <w:bCs/>
          <w:lang w:eastAsia="cs-CZ"/>
        </w:rPr>
      </w:pPr>
      <w:sdt>
        <w:sdtPr>
          <w:rPr>
            <w:rFonts w:eastAsia="MS Gothic" w:asciiTheme="minorHAnsi" w:hAnsiTheme="minorHAnsi" w:cstheme="minorHAnsi"/>
          </w:rPr>
          <w:id w:val="617571947"/>
          <w14:checkbox>
            <w14:checked w14:val="0"/>
            <w14:checkedState w14:val="2612" w14:font="MS Gothic"/>
            <w14:uncheckedState w14:val="2610" w14:font="MS Gothic"/>
          </w14:checkbox>
        </w:sdtPr>
        <w:sdtContent>
          <w:r w:rsidRPr="00B17663" w:rsidR="001229E5">
            <w:rPr>
              <w:rFonts w:ascii="Segoe UI Symbol" w:eastAsia="MS Gothic" w:hAnsi="Segoe UI Symbol" w:cs="Segoe UI Symbol"/>
            </w:rPr>
            <w:t>☐</w:t>
          </w:r>
        </w:sdtContent>
      </w:sdt>
      <w:r w:rsidRPr="00B17663" w:rsidR="001229E5">
        <w:rPr>
          <w:rFonts w:asciiTheme="minorHAnsi" w:hAnsiTheme="minorHAnsi" w:cstheme="minorHAnsi"/>
          <w:b/>
          <w:bCs/>
          <w:lang w:eastAsia="cs-CZ"/>
        </w:rPr>
        <w:tab/>
        <w:t>správce rozpočtu</w:t>
      </w:r>
    </w:p>
    <w:p w:rsidR="001229E5" w:rsidRPr="00B73F39" w:rsidP="00B73F39">
      <w:pPr>
        <w:spacing w:before="0" w:after="120"/>
        <w:ind w:left="709"/>
        <w:rPr>
          <w:rFonts w:asciiTheme="minorHAnsi" w:hAnsiTheme="minorHAnsi" w:cstheme="minorHAnsi"/>
          <w:lang w:eastAsia="cs-CZ"/>
        </w:rPr>
      </w:pPr>
      <w:r>
        <w:rPr>
          <w:rFonts w:asciiTheme="minorHAnsi" w:hAnsiTheme="minorHAnsi" w:cstheme="minorHAnsi"/>
          <w:b/>
          <w:bCs/>
          <w:lang w:eastAsia="cs-CZ"/>
        </w:rPr>
        <w:t>p</w:t>
      </w:r>
      <w:r w:rsidRPr="00B17663">
        <w:rPr>
          <w:rFonts w:asciiTheme="minorHAnsi" w:hAnsiTheme="minorHAnsi" w:cstheme="minorHAnsi"/>
          <w:b/>
          <w:bCs/>
          <w:lang w:eastAsia="cs-CZ"/>
        </w:rPr>
        <w:t>ro</w:t>
      </w:r>
      <w:r>
        <w:rPr>
          <w:rFonts w:asciiTheme="minorHAnsi" w:hAnsiTheme="minorHAnsi" w:cstheme="minorHAnsi"/>
          <w:b/>
          <w:bCs/>
          <w:lang w:eastAsia="cs-CZ"/>
        </w:rPr>
        <w:t xml:space="preserve"> </w:t>
      </w:r>
      <w:sdt>
        <w:sdtPr>
          <w:rPr>
            <w:rFonts w:asciiTheme="minorHAnsi" w:hAnsiTheme="minorHAnsi" w:cstheme="minorHAnsi"/>
            <w:i/>
            <w:iCs/>
            <w:color w:val="797979" w:themeColor="background2" w:themeShade="80"/>
          </w:rPr>
          <w:id w:val="367727837"/>
          <w:comboBox>
            <w:listItem w:value="tyto operace" w:displayText="tyto operace"/>
            <w:listItem w:value="všechny operace" w:displayText="všechny operace"/>
          </w:comboBox>
        </w:sdtPr>
        <w:sdtContent>
          <w:r w:rsidRPr="00B73F39">
            <w:rPr>
              <w:rFonts w:asciiTheme="minorHAnsi" w:hAnsiTheme="minorHAnsi" w:cstheme="minorHAnsi"/>
              <w:i/>
              <w:iCs/>
              <w:color w:val="797979" w:themeColor="background2" w:themeShade="80"/>
            </w:rPr>
            <w:t>(</w:t>
          </w:r>
          <w:r w:rsidR="0060345B">
            <w:rPr>
              <w:rFonts w:asciiTheme="minorHAnsi" w:hAnsiTheme="minorHAnsi" w:cstheme="minorHAnsi"/>
              <w:i/>
              <w:iCs/>
              <w:color w:val="797979" w:themeColor="background2" w:themeShade="80"/>
            </w:rPr>
            <w:t>Z</w:t>
          </w:r>
          <w:r w:rsidRPr="00B73F39">
            <w:rPr>
              <w:rFonts w:asciiTheme="minorHAnsi" w:hAnsiTheme="minorHAnsi" w:cstheme="minorHAnsi"/>
              <w:i/>
              <w:iCs/>
              <w:color w:val="797979" w:themeColor="background2" w:themeShade="80"/>
            </w:rPr>
            <w:t>volte položku)</w:t>
          </w:r>
        </w:sdtContent>
      </w:sdt>
      <w:r>
        <w:rPr>
          <w:rFonts w:asciiTheme="minorHAnsi" w:hAnsiTheme="minorHAnsi" w:cstheme="minorHAnsi"/>
          <w:i/>
          <w:iCs/>
        </w:rPr>
        <w:t xml:space="preserve"> </w:t>
      </w:r>
      <w:r>
        <w:rPr>
          <w:rFonts w:asciiTheme="minorHAnsi" w:hAnsiTheme="minorHAnsi" w:cstheme="minorHAnsi"/>
          <w:b/>
          <w:bCs/>
        </w:rPr>
        <w:t xml:space="preserve">……………………………………………………………, </w:t>
      </w:r>
      <w:r w:rsidRPr="008E5C33">
        <w:rPr>
          <w:rFonts w:asciiTheme="minorHAnsi" w:hAnsiTheme="minorHAnsi" w:cstheme="minorHAnsi"/>
          <w:b/>
          <w:bCs/>
        </w:rPr>
        <w:t>s</w:t>
      </w:r>
      <w:r>
        <w:rPr>
          <w:rFonts w:asciiTheme="minorHAnsi" w:hAnsiTheme="minorHAnsi" w:cstheme="minorHAnsi"/>
          <w:b/>
          <w:bCs/>
        </w:rPr>
        <w:t> </w:t>
      </w:r>
      <w:r w:rsidRPr="008E5C33">
        <w:rPr>
          <w:rFonts w:asciiTheme="minorHAnsi" w:hAnsiTheme="minorHAnsi" w:cstheme="minorHAnsi"/>
          <w:b/>
          <w:bCs/>
        </w:rPr>
        <w:t>výjimkou</w:t>
      </w:r>
      <w:r>
        <w:rPr>
          <w:rFonts w:asciiTheme="minorHAnsi" w:hAnsiTheme="minorHAnsi" w:cstheme="minorHAnsi"/>
          <w:b/>
          <w:bCs/>
        </w:rPr>
        <w:t xml:space="preserve"> ……………………………………</w:t>
      </w:r>
      <w:r>
        <w:rPr>
          <w:rFonts w:asciiTheme="minorHAnsi" w:hAnsiTheme="minorHAnsi" w:cstheme="minorHAnsi"/>
          <w:b/>
          <w:bCs/>
        </w:rPr>
        <w:t>…….</w:t>
      </w:r>
      <w:r>
        <w:rPr>
          <w:rFonts w:asciiTheme="minorHAnsi" w:hAnsiTheme="minorHAnsi" w:cstheme="minorHAnsi"/>
          <w:b/>
          <w:bCs/>
        </w:rPr>
        <w:t>.</w:t>
      </w:r>
    </w:p>
    <w:p w:rsidR="001229E5" w:rsidRPr="00B17663" w:rsidP="00B73F39">
      <w:pPr>
        <w:spacing w:before="240"/>
        <w:ind w:left="709"/>
        <w:rPr>
          <w:rFonts w:asciiTheme="minorHAnsi" w:hAnsiTheme="minorHAnsi" w:cstheme="minorHAnsi"/>
          <w:b/>
          <w:bCs/>
          <w:lang w:eastAsia="cs-CZ"/>
        </w:rPr>
      </w:pPr>
      <w:sdt>
        <w:sdtPr>
          <w:rPr>
            <w:rFonts w:eastAsia="MS Gothic" w:asciiTheme="minorHAnsi" w:hAnsiTheme="minorHAnsi" w:cstheme="minorHAnsi"/>
          </w:rPr>
          <w:id w:val="-992253130"/>
          <w14:checkbox>
            <w14:checked w14:val="0"/>
            <w14:checkedState w14:val="2612" w14:font="MS Gothic"/>
            <w14:uncheckedState w14:val="2610" w14:font="MS Gothic"/>
          </w14:checkbox>
        </w:sdtPr>
        <w:sdtContent>
          <w:r w:rsidRPr="00B17663">
            <w:rPr>
              <w:rFonts w:ascii="Segoe UI Symbol" w:eastAsia="MS Gothic" w:hAnsi="Segoe UI Symbol" w:cs="Segoe UI Symbol"/>
            </w:rPr>
            <w:t>☐</w:t>
          </w:r>
        </w:sdtContent>
      </w:sdt>
      <w:r w:rsidRPr="00B17663">
        <w:rPr>
          <w:rFonts w:asciiTheme="minorHAnsi" w:hAnsiTheme="minorHAnsi" w:cstheme="minorHAnsi"/>
          <w:b/>
          <w:bCs/>
          <w:lang w:eastAsia="cs-CZ"/>
        </w:rPr>
        <w:tab/>
        <w:t>hlavní účetní</w:t>
      </w:r>
    </w:p>
    <w:p w:rsidR="001229E5" w:rsidRPr="00B17663" w:rsidP="00B73F39">
      <w:pPr>
        <w:spacing w:before="0" w:after="120"/>
        <w:ind w:left="709"/>
        <w:rPr>
          <w:rFonts w:asciiTheme="minorHAnsi" w:hAnsiTheme="minorHAnsi" w:cstheme="minorHAnsi"/>
          <w:lang w:eastAsia="cs-CZ"/>
        </w:rPr>
      </w:pPr>
      <w:r>
        <w:rPr>
          <w:rFonts w:asciiTheme="minorHAnsi" w:hAnsiTheme="minorHAnsi" w:cstheme="minorHAnsi"/>
          <w:b/>
          <w:bCs/>
          <w:lang w:eastAsia="cs-CZ"/>
        </w:rPr>
        <w:t>p</w:t>
      </w:r>
      <w:r w:rsidRPr="00B17663">
        <w:rPr>
          <w:rFonts w:asciiTheme="minorHAnsi" w:hAnsiTheme="minorHAnsi" w:cstheme="minorHAnsi"/>
          <w:b/>
          <w:bCs/>
          <w:lang w:eastAsia="cs-CZ"/>
        </w:rPr>
        <w:t>ro</w:t>
      </w:r>
      <w:r>
        <w:rPr>
          <w:rFonts w:asciiTheme="minorHAnsi" w:hAnsiTheme="minorHAnsi" w:cstheme="minorHAnsi"/>
          <w:b/>
          <w:bCs/>
          <w:lang w:eastAsia="cs-CZ"/>
        </w:rPr>
        <w:t xml:space="preserve"> </w:t>
      </w:r>
      <w:sdt>
        <w:sdtPr>
          <w:rPr>
            <w:rFonts w:asciiTheme="minorHAnsi" w:hAnsiTheme="minorHAnsi" w:cstheme="minorHAnsi"/>
            <w:i/>
            <w:iCs/>
            <w:color w:val="797979" w:themeColor="background2" w:themeShade="80"/>
          </w:rPr>
          <w:id w:val="-267696722"/>
          <w:comboBox>
            <w:listItem w:value="tyto operace" w:displayText="tyto operace"/>
            <w:listItem w:value="všechny operace" w:displayText="všechny operace"/>
          </w:comboBox>
        </w:sdtPr>
        <w:sdtContent>
          <w:r w:rsidRPr="00D52141">
            <w:rPr>
              <w:rFonts w:asciiTheme="minorHAnsi" w:hAnsiTheme="minorHAnsi" w:cstheme="minorHAnsi"/>
              <w:i/>
              <w:iCs/>
              <w:color w:val="797979" w:themeColor="background2" w:themeShade="80"/>
            </w:rPr>
            <w:t>(</w:t>
          </w:r>
          <w:r w:rsidRPr="00D52141" w:rsidR="0060345B">
            <w:rPr>
              <w:rFonts w:asciiTheme="minorHAnsi" w:hAnsiTheme="minorHAnsi" w:cstheme="minorHAnsi"/>
              <w:i/>
              <w:iCs/>
              <w:color w:val="797979" w:themeColor="background2" w:themeShade="80"/>
            </w:rPr>
            <w:t>Z</w:t>
          </w:r>
          <w:r w:rsidRPr="00D52141">
            <w:rPr>
              <w:rFonts w:asciiTheme="minorHAnsi" w:hAnsiTheme="minorHAnsi" w:cstheme="minorHAnsi"/>
              <w:i/>
              <w:iCs/>
              <w:color w:val="797979" w:themeColor="background2" w:themeShade="80"/>
            </w:rPr>
            <w:t>volte položku)</w:t>
          </w:r>
        </w:sdtContent>
      </w:sdt>
      <w:r>
        <w:rPr>
          <w:rFonts w:asciiTheme="minorHAnsi" w:hAnsiTheme="minorHAnsi" w:cstheme="minorHAnsi"/>
          <w:i/>
          <w:iCs/>
        </w:rPr>
        <w:t xml:space="preserve"> </w:t>
      </w:r>
      <w:r>
        <w:rPr>
          <w:rFonts w:asciiTheme="minorHAnsi" w:hAnsiTheme="minorHAnsi" w:cstheme="minorHAnsi"/>
          <w:b/>
          <w:bCs/>
        </w:rPr>
        <w:t xml:space="preserve">……………………………………………………………, </w:t>
      </w:r>
      <w:r w:rsidRPr="008E5C33">
        <w:rPr>
          <w:rFonts w:asciiTheme="minorHAnsi" w:hAnsiTheme="minorHAnsi" w:cstheme="minorHAnsi"/>
          <w:b/>
          <w:bCs/>
        </w:rPr>
        <w:t>s</w:t>
      </w:r>
      <w:r>
        <w:rPr>
          <w:rFonts w:asciiTheme="minorHAnsi" w:hAnsiTheme="minorHAnsi" w:cstheme="minorHAnsi"/>
          <w:b/>
          <w:bCs/>
        </w:rPr>
        <w:t> </w:t>
      </w:r>
      <w:r w:rsidRPr="008E5C33">
        <w:rPr>
          <w:rFonts w:asciiTheme="minorHAnsi" w:hAnsiTheme="minorHAnsi" w:cstheme="minorHAnsi"/>
          <w:b/>
          <w:bCs/>
        </w:rPr>
        <w:t>výjimkou</w:t>
      </w:r>
      <w:r>
        <w:rPr>
          <w:rFonts w:asciiTheme="minorHAnsi" w:hAnsiTheme="minorHAnsi" w:cstheme="minorHAnsi"/>
          <w:b/>
          <w:bCs/>
        </w:rPr>
        <w:t xml:space="preserve"> ……………………………………</w:t>
      </w:r>
      <w:r>
        <w:rPr>
          <w:rFonts w:asciiTheme="minorHAnsi" w:hAnsiTheme="minorHAnsi" w:cstheme="minorHAnsi"/>
          <w:b/>
          <w:bCs/>
        </w:rPr>
        <w:t>…….</w:t>
      </w:r>
      <w:r>
        <w:rPr>
          <w:rFonts w:asciiTheme="minorHAnsi" w:hAnsiTheme="minorHAnsi" w:cstheme="minorHAnsi"/>
          <w:b/>
          <w:bCs/>
        </w:rPr>
        <w:t>.</w:t>
      </w:r>
    </w:p>
    <w:p w:rsidR="001229E5" w:rsidRPr="00B17663" w:rsidP="00B73F39">
      <w:pPr>
        <w:spacing w:before="240"/>
        <w:ind w:left="709"/>
        <w:rPr>
          <w:rFonts w:asciiTheme="minorHAnsi" w:hAnsiTheme="minorHAnsi" w:cstheme="minorHAnsi"/>
          <w:b/>
          <w:bCs/>
          <w:lang w:eastAsia="cs-CZ"/>
        </w:rPr>
      </w:pPr>
      <w:sdt>
        <w:sdtPr>
          <w:rPr>
            <w:rFonts w:eastAsia="MS Gothic" w:asciiTheme="minorHAnsi" w:hAnsiTheme="minorHAnsi" w:cstheme="minorHAnsi"/>
          </w:rPr>
          <w:id w:val="1827246229"/>
          <w14:checkbox>
            <w14:checked w14:val="0"/>
            <w14:checkedState w14:val="2612" w14:font="MS Gothic"/>
            <w14:uncheckedState w14:val="2610" w14:font="MS Gothic"/>
          </w14:checkbox>
        </w:sdtPr>
        <w:sdtContent>
          <w:r w:rsidRPr="00B17663">
            <w:rPr>
              <w:rFonts w:ascii="Segoe UI Symbol" w:eastAsia="MS Gothic" w:hAnsi="Segoe UI Symbol" w:cs="Segoe UI Symbol"/>
            </w:rPr>
            <w:t>☐</w:t>
          </w:r>
        </w:sdtContent>
      </w:sdt>
      <w:r w:rsidRPr="00B17663">
        <w:rPr>
          <w:rFonts w:asciiTheme="minorHAnsi" w:hAnsiTheme="minorHAnsi" w:cstheme="minorHAnsi"/>
          <w:b/>
          <w:bCs/>
          <w:lang w:eastAsia="cs-CZ"/>
        </w:rPr>
        <w:tab/>
      </w:r>
      <w:r w:rsidR="00B73F39">
        <w:rPr>
          <w:rFonts w:asciiTheme="minorHAnsi" w:hAnsiTheme="minorHAnsi" w:cstheme="minorHAnsi"/>
          <w:b/>
          <w:bCs/>
        </w:rPr>
        <w:t>ověřovatel</w:t>
      </w:r>
    </w:p>
    <w:p w:rsidR="001229E5" w:rsidRPr="00B73F39" w:rsidP="00B73F39">
      <w:pPr>
        <w:spacing w:before="0" w:after="120"/>
        <w:ind w:left="709"/>
        <w:rPr>
          <w:rFonts w:asciiTheme="minorHAnsi" w:hAnsiTheme="minorHAnsi" w:cstheme="minorHAnsi"/>
          <w:lang w:eastAsia="cs-CZ"/>
        </w:rPr>
      </w:pPr>
      <w:r>
        <w:rPr>
          <w:rFonts w:asciiTheme="minorHAnsi" w:hAnsiTheme="minorHAnsi" w:cstheme="minorHAnsi"/>
          <w:b/>
          <w:bCs/>
          <w:lang w:eastAsia="cs-CZ"/>
        </w:rPr>
        <w:t>p</w:t>
      </w:r>
      <w:r w:rsidRPr="00B17663">
        <w:rPr>
          <w:rFonts w:asciiTheme="minorHAnsi" w:hAnsiTheme="minorHAnsi" w:cstheme="minorHAnsi"/>
          <w:b/>
          <w:bCs/>
          <w:lang w:eastAsia="cs-CZ"/>
        </w:rPr>
        <w:t>ro</w:t>
      </w:r>
      <w:r>
        <w:rPr>
          <w:rFonts w:asciiTheme="minorHAnsi" w:hAnsiTheme="minorHAnsi" w:cstheme="minorHAnsi"/>
          <w:b/>
          <w:bCs/>
          <w:lang w:eastAsia="cs-CZ"/>
        </w:rPr>
        <w:t xml:space="preserve"> </w:t>
      </w:r>
      <w:sdt>
        <w:sdtPr>
          <w:rPr>
            <w:rFonts w:asciiTheme="minorHAnsi" w:hAnsiTheme="minorHAnsi" w:cstheme="minorHAnsi"/>
            <w:i/>
            <w:iCs/>
            <w:color w:val="797979" w:themeColor="background2" w:themeShade="80"/>
          </w:rPr>
          <w:id w:val="-1512438506"/>
          <w:comboBox>
            <w:listItem w:value="tyto operace" w:displayText="tyto operace"/>
            <w:listItem w:value="všechny operace" w:displayText="všechny operace"/>
          </w:comboBox>
        </w:sdtPr>
        <w:sdtContent>
          <w:r w:rsidRPr="00D52141" w:rsidR="0060345B">
            <w:rPr>
              <w:rFonts w:asciiTheme="minorHAnsi" w:hAnsiTheme="minorHAnsi" w:cstheme="minorHAnsi"/>
              <w:i/>
              <w:iCs/>
              <w:color w:val="797979" w:themeColor="background2" w:themeShade="80"/>
            </w:rPr>
            <w:t>(Zvolte položku)</w:t>
          </w:r>
        </w:sdtContent>
      </w:sdt>
      <w:r>
        <w:rPr>
          <w:rFonts w:asciiTheme="minorHAnsi" w:hAnsiTheme="minorHAnsi" w:cstheme="minorHAnsi"/>
          <w:i/>
          <w:iCs/>
        </w:rPr>
        <w:t xml:space="preserve"> </w:t>
      </w:r>
      <w:r>
        <w:rPr>
          <w:rFonts w:asciiTheme="minorHAnsi" w:hAnsiTheme="minorHAnsi" w:cstheme="minorHAnsi"/>
          <w:b/>
          <w:bCs/>
        </w:rPr>
        <w:t xml:space="preserve">……………………………………………………………, </w:t>
      </w:r>
      <w:r w:rsidRPr="008E5C33">
        <w:rPr>
          <w:rFonts w:asciiTheme="minorHAnsi" w:hAnsiTheme="minorHAnsi" w:cstheme="minorHAnsi"/>
          <w:b/>
          <w:bCs/>
        </w:rPr>
        <w:t>s</w:t>
      </w:r>
      <w:r>
        <w:rPr>
          <w:rFonts w:asciiTheme="minorHAnsi" w:hAnsiTheme="minorHAnsi" w:cstheme="minorHAnsi"/>
          <w:b/>
          <w:bCs/>
        </w:rPr>
        <w:t> </w:t>
      </w:r>
      <w:r w:rsidRPr="008E5C33">
        <w:rPr>
          <w:rFonts w:asciiTheme="minorHAnsi" w:hAnsiTheme="minorHAnsi" w:cstheme="minorHAnsi"/>
          <w:b/>
          <w:bCs/>
        </w:rPr>
        <w:t>výjimkou</w:t>
      </w:r>
      <w:r>
        <w:rPr>
          <w:rFonts w:asciiTheme="minorHAnsi" w:hAnsiTheme="minorHAnsi" w:cstheme="minorHAnsi"/>
          <w:b/>
          <w:bCs/>
        </w:rPr>
        <w:t xml:space="preserve"> ……………………………………</w:t>
      </w:r>
      <w:r>
        <w:rPr>
          <w:rFonts w:asciiTheme="minorHAnsi" w:hAnsiTheme="minorHAnsi" w:cstheme="minorHAnsi"/>
          <w:b/>
          <w:bCs/>
        </w:rPr>
        <w:t>…….</w:t>
      </w:r>
      <w:r>
        <w:rPr>
          <w:rFonts w:asciiTheme="minorHAnsi" w:hAnsiTheme="minorHAnsi" w:cstheme="minorHAnsi"/>
          <w:b/>
          <w:bCs/>
        </w:rPr>
        <w:t>.</w:t>
      </w:r>
    </w:p>
    <w:p w:rsidR="009D252A" w:rsidRPr="00B17663" w:rsidP="009D252A">
      <w:pPr>
        <w:spacing w:before="600" w:after="600"/>
        <w:rPr>
          <w:rFonts w:asciiTheme="minorHAnsi" w:hAnsiTheme="minorHAnsi" w:cstheme="minorHAnsi"/>
          <w:lang w:eastAsia="cs-CZ"/>
        </w:rPr>
      </w:pPr>
      <w:r w:rsidRPr="00B17663">
        <w:rPr>
          <w:rFonts w:asciiTheme="minorHAnsi" w:hAnsiTheme="minorHAnsi" w:cstheme="minorHAnsi"/>
          <w:lang w:eastAsia="cs-CZ"/>
        </w:rPr>
        <w:t xml:space="preserve">Toto pověření nabývá účinnosti dnem podpisu </w:t>
      </w:r>
      <w:r w:rsidR="001E4ECA">
        <w:rPr>
          <w:rFonts w:asciiTheme="minorHAnsi" w:hAnsiTheme="minorHAnsi" w:cstheme="minorHAnsi"/>
          <w:lang w:eastAsia="cs-CZ"/>
        </w:rPr>
        <w:t>vedoucího orgánu veřejné správy</w:t>
      </w:r>
      <w:r w:rsidRPr="00B17663">
        <w:rPr>
          <w:rFonts w:asciiTheme="minorHAnsi" w:hAnsiTheme="minorHAnsi" w:cstheme="minorHAnsi"/>
          <w:lang w:eastAsia="cs-CZ"/>
        </w:rPr>
        <w:t xml:space="preserve"> a platí do odvolání. Pověření dříve vydaná pro výkon řídicí kontroly pozbývají platnosti podpisem tohoto pověření.</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RPr="001E4ECA" w:rsidP="00976C2B">
            <w:pPr>
              <w:spacing w:before="0" w:line="240" w:lineRule="auto"/>
              <w:jc w:val="center"/>
              <w:rPr>
                <w:rFonts w:asciiTheme="minorHAnsi" w:hAnsiTheme="minorHAnsi" w:cs="Andalus"/>
                <w:b/>
                <w:bCs/>
              </w:rPr>
            </w:pPr>
            <w:r w:rsidRPr="001E4ECA">
              <w:rPr>
                <w:rFonts w:cs="Andalus"/>
                <w:b/>
                <w:bCs/>
              </w:rPr>
              <w:t xml:space="preserve">vedoucí </w:t>
            </w:r>
            <w:r w:rsidRPr="001E4ECA">
              <w:rPr>
                <w:rFonts w:asciiTheme="minorHAnsi" w:hAnsiTheme="minorHAnsi" w:cstheme="minorHAnsi"/>
                <w:b/>
                <w:bCs/>
                <w:lang w:eastAsia="cs-CZ"/>
              </w:rPr>
              <w:t>orgánu veřejné správy</w:t>
            </w:r>
          </w:p>
        </w:tc>
      </w:tr>
      <w:tr w:rsidTr="00976C2B">
        <w:tblPrEx>
          <w:tblW w:w="0" w:type="auto"/>
          <w:jc w:val="right"/>
          <w:tblLook w:val="0600"/>
        </w:tblPrEx>
        <w:trPr>
          <w:trHeight w:val="227"/>
          <w:jc w:val="right"/>
        </w:trPr>
        <w:tc>
          <w:tcPr>
            <w:tcW w:w="2835" w:type="dxa"/>
            <w:vAlign w:val="center"/>
          </w:tcPr>
          <w:p w:rsidR="001D447F" w:rsidRPr="001D447F" w:rsidP="00976C2B">
            <w:pPr>
              <w:spacing w:before="0" w:line="240" w:lineRule="auto"/>
              <w:jc w:val="center"/>
              <w:rPr>
                <w:i/>
                <w:iCs/>
                <w:lang w:eastAsia="cs-CZ"/>
              </w:rPr>
            </w:pPr>
            <w:r w:rsidRPr="001D447F">
              <w:rPr>
                <w:i/>
                <w:iCs/>
                <w:lang w:eastAsia="cs-CZ"/>
              </w:rPr>
              <w:t>(jméno, příjmení)</w:t>
            </w:r>
          </w:p>
        </w:tc>
      </w:tr>
    </w:tbl>
    <w:p w:rsidR="009D252A" w:rsidRPr="00B17663" w:rsidP="009D252A">
      <w:pPr>
        <w:spacing w:before="600" w:after="600"/>
        <w:rPr>
          <w:rFonts w:asciiTheme="minorHAnsi" w:hAnsiTheme="minorHAnsi" w:cstheme="minorHAnsi"/>
          <w:lang w:eastAsia="cs-CZ"/>
        </w:rPr>
      </w:pPr>
      <w:r>
        <w:rPr>
          <w:rFonts w:asciiTheme="minorHAnsi" w:hAnsiTheme="minorHAnsi" w:cstheme="minorHAnsi"/>
          <w:lang w:eastAsia="cs-CZ"/>
        </w:rPr>
        <w:t>Pověřený stvrzuje</w:t>
      </w:r>
      <w:r w:rsidRPr="00B17663">
        <w:rPr>
          <w:rFonts w:asciiTheme="minorHAnsi" w:hAnsiTheme="minorHAnsi" w:cstheme="minorHAnsi"/>
          <w:lang w:eastAsia="cs-CZ"/>
        </w:rPr>
        <w:t>,</w:t>
      </w:r>
      <w:r w:rsidRPr="00B17663">
        <w:rPr>
          <w:rFonts w:asciiTheme="minorHAnsi" w:hAnsiTheme="minorHAnsi" w:cstheme="minorHAnsi"/>
          <w:lang w:eastAsia="cs-CZ"/>
        </w:rPr>
        <w:t xml:space="preserve"> že pověření převzal dne ………</w:t>
      </w:r>
      <w:r w:rsidRPr="00B17663">
        <w:rPr>
          <w:rFonts w:asciiTheme="minorHAnsi" w:hAnsiTheme="minorHAnsi" w:cstheme="minorHAnsi"/>
          <w:lang w:eastAsia="cs-CZ"/>
        </w:rPr>
        <w:t>…….</w:t>
      </w:r>
      <w:r w:rsidRPr="00B17663">
        <w:rPr>
          <w:rFonts w:asciiTheme="minorHAnsi" w:hAnsiTheme="minorHAnsi" w:cstheme="minorHAnsi"/>
          <w:lang w:eastAsia="cs-CZ"/>
        </w:rPr>
        <w:t xml:space="preserve">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pověřený</w:t>
            </w:r>
          </w:p>
        </w:tc>
      </w:tr>
      <w:tr w:rsidTr="00976C2B">
        <w:tblPrEx>
          <w:tblW w:w="0" w:type="auto"/>
          <w:jc w:val="right"/>
          <w:tblLook w:val="0600"/>
        </w:tblPrEx>
        <w:trPr>
          <w:trHeight w:val="227"/>
          <w:jc w:val="right"/>
        </w:trPr>
        <w:tc>
          <w:tcPr>
            <w:tcW w:w="2835" w:type="dxa"/>
            <w:vAlign w:val="center"/>
          </w:tcPr>
          <w:p w:rsidR="001D447F" w:rsidP="00976C2B">
            <w:pPr>
              <w:spacing w:before="0" w:line="240" w:lineRule="auto"/>
              <w:jc w:val="center"/>
              <w:rPr>
                <w:b/>
                <w:bCs/>
                <w:lang w:eastAsia="cs-CZ"/>
              </w:rPr>
            </w:pPr>
            <w:r w:rsidRPr="00C869E6">
              <w:rPr>
                <w:rFonts w:asciiTheme="minorHAnsi" w:hAnsiTheme="minorHAnsi" w:cs="Andalus"/>
                <w:i/>
                <w:iCs/>
              </w:rPr>
              <w:t>(jméno, příjmení)</w:t>
            </w:r>
          </w:p>
        </w:tc>
      </w:tr>
    </w:tbl>
    <w:p w:rsidR="005F6D70" w:rsidP="005F6D70">
      <w:pPr>
        <w:rPr>
          <w:lang w:eastAsia="cs-CZ"/>
        </w:rPr>
      </w:pPr>
    </w:p>
    <w:p w:rsidR="005F6D70" w:rsidP="005F6D70">
      <w:pPr>
        <w:rPr>
          <w:lang w:eastAsia="cs-CZ"/>
        </w:rPr>
        <w:sectPr w:rsidSect="005F6D70">
          <w:headerReference w:type="default" r:id="rId11"/>
          <w:pgSz w:w="11906" w:h="16838"/>
          <w:pgMar w:top="1418" w:right="1418" w:bottom="993" w:left="1418" w:header="709" w:footer="709" w:gutter="0"/>
          <w:cols w:space="708"/>
          <w:docGrid w:linePitch="360"/>
        </w:sectPr>
      </w:pPr>
    </w:p>
    <w:p w:rsidR="009D252A" w:rsidRPr="00576BA0" w:rsidP="009D252A">
      <w:pPr>
        <w:spacing w:before="0" w:after="120"/>
        <w:rPr>
          <w:rFonts w:asciiTheme="minorHAnsi" w:hAnsiTheme="minorHAnsi" w:cs="Andalus"/>
          <w:b/>
          <w:bCs/>
        </w:rPr>
      </w:pPr>
      <w:r w:rsidRPr="00576BA0">
        <w:rPr>
          <w:rFonts w:asciiTheme="minorHAnsi" w:hAnsiTheme="minorHAnsi" w:cs="Andalus"/>
          <w:b/>
          <w:bCs/>
        </w:rPr>
        <w:t>Identifikace příjmové operace:</w:t>
      </w:r>
    </w:p>
    <w:tbl>
      <w:tblPr>
        <w:tblStyle w:val="GridTable7Colorful"/>
        <w:tblW w:w="5000" w:type="pct"/>
        <w:tblLook w:val="0680"/>
      </w:tblPr>
      <w:tblGrid>
        <w:gridCol w:w="2455"/>
        <w:gridCol w:w="6610"/>
      </w:tblGrid>
      <w:tr w:rsidTr="00976C2B">
        <w:tblPrEx>
          <w:tblW w:w="5000" w:type="pct"/>
          <w:tblLook w:val="0680"/>
        </w:tblPrEx>
        <w:trPr>
          <w:trHeight w:val="340"/>
        </w:trPr>
        <w:tc>
          <w:tcPr>
            <w:tcW w:w="1354" w:type="pct"/>
          </w:tcPr>
          <w:p w:rsidR="009D252A" w:rsidRPr="00225209" w:rsidP="00976C2B">
            <w:pPr>
              <w:spacing w:before="0"/>
              <w:jc w:val="right"/>
              <w:rPr>
                <w:rFonts w:asciiTheme="minorHAnsi" w:hAnsiTheme="minorHAnsi" w:cs="Andalus"/>
              </w:rPr>
            </w:pPr>
            <w:r w:rsidRPr="00225209">
              <w:rPr>
                <w:rFonts w:asciiTheme="minorHAnsi" w:hAnsiTheme="minorHAnsi" w:cs="Andalus"/>
              </w:rPr>
              <w:t>Předmět</w:t>
            </w:r>
          </w:p>
        </w:tc>
        <w:tc>
          <w:tcPr>
            <w:tcW w:w="3646" w:type="pct"/>
          </w:tcPr>
          <w:p w:rsidR="009D252A" w:rsidRPr="00225209" w:rsidP="00976C2B">
            <w:pPr>
              <w:spacing w:before="0"/>
              <w:rPr>
                <w:rFonts w:asciiTheme="minorHAnsi" w:hAnsiTheme="minorHAnsi" w:cs="Andalus"/>
              </w:rPr>
            </w:pPr>
          </w:p>
        </w:tc>
      </w:tr>
      <w:tr w:rsidTr="00976C2B">
        <w:tblPrEx>
          <w:tblW w:w="5000" w:type="pct"/>
          <w:tblLook w:val="0680"/>
        </w:tblPrEx>
        <w:trPr>
          <w:trHeight w:val="340"/>
        </w:trPr>
        <w:tc>
          <w:tcPr>
            <w:tcW w:w="1354" w:type="pct"/>
          </w:tcPr>
          <w:p w:rsidR="009D252A" w:rsidRPr="00225209" w:rsidP="00976C2B">
            <w:pPr>
              <w:spacing w:before="0"/>
              <w:jc w:val="right"/>
              <w:rPr>
                <w:rFonts w:asciiTheme="minorHAnsi" w:hAnsiTheme="minorHAnsi" w:cs="Andalus"/>
              </w:rPr>
            </w:pPr>
            <w:r w:rsidRPr="00225209">
              <w:rPr>
                <w:rFonts w:asciiTheme="minorHAnsi" w:hAnsiTheme="minorHAnsi" w:cs="Andalus"/>
              </w:rPr>
              <w:t>Výše</w:t>
            </w:r>
          </w:p>
        </w:tc>
        <w:tc>
          <w:tcPr>
            <w:tcW w:w="3646" w:type="pct"/>
          </w:tcPr>
          <w:p w:rsidR="009D252A" w:rsidRPr="00225209" w:rsidP="00976C2B">
            <w:pPr>
              <w:spacing w:before="0"/>
              <w:rPr>
                <w:rFonts w:asciiTheme="minorHAnsi" w:hAnsiTheme="minorHAnsi" w:cs="Andalus"/>
              </w:rPr>
            </w:pPr>
          </w:p>
        </w:tc>
      </w:tr>
      <w:tr w:rsidTr="00976C2B">
        <w:tblPrEx>
          <w:tblW w:w="5000" w:type="pct"/>
          <w:tblLook w:val="0680"/>
        </w:tblPrEx>
        <w:trPr>
          <w:trHeight w:val="340"/>
        </w:trPr>
        <w:tc>
          <w:tcPr>
            <w:tcW w:w="1354" w:type="pct"/>
          </w:tcPr>
          <w:p w:rsidR="009D252A" w:rsidRPr="00225209" w:rsidP="00976C2B">
            <w:pPr>
              <w:spacing w:before="0"/>
              <w:jc w:val="right"/>
              <w:rPr>
                <w:rFonts w:asciiTheme="minorHAnsi" w:hAnsiTheme="minorHAnsi" w:cs="Andalus"/>
              </w:rPr>
            </w:pPr>
            <w:r w:rsidRPr="00225209">
              <w:rPr>
                <w:rFonts w:asciiTheme="minorHAnsi" w:hAnsiTheme="minorHAnsi" w:cs="Andalus"/>
              </w:rPr>
              <w:t>Druhá strana</w:t>
            </w:r>
          </w:p>
        </w:tc>
        <w:tc>
          <w:tcPr>
            <w:tcW w:w="3646" w:type="pct"/>
          </w:tcPr>
          <w:p w:rsidR="009D252A" w:rsidRPr="00225209" w:rsidP="00976C2B">
            <w:pPr>
              <w:spacing w:before="0"/>
              <w:rPr>
                <w:rFonts w:asciiTheme="minorHAnsi" w:hAnsiTheme="minorHAnsi" w:cs="Andalus"/>
              </w:rPr>
            </w:pPr>
          </w:p>
        </w:tc>
      </w:tr>
    </w:tbl>
    <w:p w:rsidR="009D252A" w:rsidRPr="00225209" w:rsidP="009D252A">
      <w:pPr>
        <w:spacing w:before="360"/>
        <w:rPr>
          <w:rFonts w:asciiTheme="minorHAnsi" w:hAnsiTheme="minorHAnsi" w:cs="Andalus"/>
        </w:rPr>
      </w:pPr>
      <w:r w:rsidRPr="00225209">
        <w:rPr>
          <w:rFonts w:asciiTheme="minorHAnsi" w:hAnsiTheme="minorHAnsi"/>
        </w:rPr>
        <w:t xml:space="preserve">Jako </w:t>
      </w:r>
      <w:r w:rsidRPr="00225209">
        <w:rPr>
          <w:rFonts w:asciiTheme="minorHAnsi" w:hAnsiTheme="minorHAnsi"/>
          <w:b/>
        </w:rPr>
        <w:t xml:space="preserve">správce rozpočtu </w:t>
      </w:r>
      <w:r w:rsidRPr="00225209">
        <w:rPr>
          <w:rFonts w:asciiTheme="minorHAnsi" w:hAnsiTheme="minorHAnsi" w:cs="Andalus"/>
        </w:rPr>
        <w:t>v rámci</w:t>
      </w:r>
      <w:r w:rsidRPr="00225209">
        <w:rPr>
          <w:rFonts w:asciiTheme="minorHAnsi" w:hAnsiTheme="minorHAnsi"/>
        </w:rPr>
        <w:t xml:space="preserve"> </w:t>
      </w:r>
      <w:r w:rsidRPr="00225209">
        <w:rPr>
          <w:rFonts w:asciiTheme="minorHAnsi" w:hAnsiTheme="minorHAnsi" w:cs="Andalus"/>
        </w:rPr>
        <w:t xml:space="preserve">předběžné řídicí kontroly před schválením </w:t>
      </w:r>
      <w:r>
        <w:rPr>
          <w:rFonts w:asciiTheme="minorHAnsi" w:hAnsiTheme="minorHAnsi" w:cs="Andalus"/>
        </w:rPr>
        <w:t>příjmové</w:t>
      </w:r>
      <w:r w:rsidRPr="00225209">
        <w:rPr>
          <w:rFonts w:asciiTheme="minorHAnsi" w:hAnsiTheme="minorHAnsi" w:cs="Andalus"/>
        </w:rPr>
        <w:t xml:space="preserve"> operace jsem v souladu s</w:t>
      </w:r>
      <w:r w:rsidR="00D92743">
        <w:rPr>
          <w:rFonts w:asciiTheme="minorHAnsi" w:hAnsiTheme="minorHAnsi" w:cs="Andalus"/>
        </w:rPr>
        <w:t> </w:t>
      </w:r>
      <w:r w:rsidRPr="00225209">
        <w:rPr>
          <w:rFonts w:asciiTheme="minorHAnsi" w:hAnsiTheme="minorHAnsi" w:cs="Andalus"/>
        </w:rPr>
        <w:t>čl.</w:t>
      </w:r>
      <w:r w:rsidR="00D92743">
        <w:rPr>
          <w:rFonts w:asciiTheme="minorHAnsi" w:hAnsiTheme="minorHAnsi" w:cs="Andalus"/>
        </w:rPr>
        <w:t> </w:t>
      </w:r>
      <w:r w:rsidRPr="00225209">
        <w:rPr>
          <w:rFonts w:asciiTheme="minorHAnsi" w:hAnsiTheme="minorHAnsi" w:cs="Andalus"/>
        </w:rPr>
        <w:t>V</w:t>
      </w:r>
      <w:r w:rsidR="00D92743">
        <w:rPr>
          <w:rFonts w:asciiTheme="minorHAnsi" w:hAnsiTheme="minorHAnsi" w:cs="Andalus"/>
        </w:rPr>
        <w:t> </w:t>
      </w:r>
      <w:r w:rsidRPr="00225209">
        <w:rPr>
          <w:rFonts w:asciiTheme="minorHAnsi" w:hAnsiTheme="minorHAnsi" w:cs="Andalus"/>
        </w:rPr>
        <w:t xml:space="preserve">odst. 1 směrnice č. …/… o řízení a kontrole veřejných financí u výše </w:t>
      </w:r>
      <w:r>
        <w:rPr>
          <w:rFonts w:asciiTheme="minorHAnsi" w:hAnsiTheme="minorHAnsi" w:cs="Andalus"/>
        </w:rPr>
        <w:t>nadepsané</w:t>
      </w:r>
      <w:r w:rsidRPr="00225209">
        <w:rPr>
          <w:rFonts w:asciiTheme="minorHAnsi" w:hAnsiTheme="minorHAnsi" w:cs="Andalus"/>
        </w:rPr>
        <w:t xml:space="preserve"> příjmové operace ověřil(a), že</w:t>
      </w:r>
      <w:r>
        <w:rPr>
          <w:rFonts w:asciiTheme="minorHAnsi" w:hAnsiTheme="minorHAnsi" w:cs="Andalus"/>
        </w:rPr>
        <w:t>:</w:t>
      </w:r>
    </w:p>
    <w:p w:rsidR="009D252A" w:rsidRPr="00225209" w:rsidP="009D252A">
      <w:pPr>
        <w:spacing w:before="0"/>
        <w:ind w:left="708"/>
        <w:rPr>
          <w:rFonts w:asciiTheme="minorHAnsi" w:hAnsiTheme="minorHAnsi" w:cs="Andalus"/>
        </w:rPr>
      </w:pPr>
      <w:sdt>
        <w:sdtPr>
          <w:rPr>
            <w:rFonts w:asciiTheme="minorHAnsi" w:hAnsiTheme="minorHAnsi" w:cs="Andalus"/>
          </w:rPr>
          <w:id w:val="-2099403702"/>
          <w14:checkbox>
            <w14:checked w14:val="0"/>
            <w14:checkedState w14:val="2612" w14:font="MS Gothic"/>
            <w14:uncheckedState w14:val="2610" w14:font="MS Gothic"/>
          </w14:checkbox>
        </w:sdtPr>
        <w:sdtContent>
          <w:r>
            <w:rPr>
              <w:rFonts w:ascii="MS Gothic" w:eastAsia="MS Gothic" w:hAnsi="MS Gothic" w:cs="Andalus" w:hint="eastAsia"/>
            </w:rPr>
            <w:t>☐</w:t>
          </w:r>
        </w:sdtContent>
      </w:sdt>
      <w:r>
        <w:rPr>
          <w:rFonts w:asciiTheme="minorHAnsi" w:hAnsiTheme="minorHAnsi" w:cs="Andalus"/>
        </w:rPr>
        <w:tab/>
        <w:t xml:space="preserve">je </w:t>
      </w:r>
      <w:r w:rsidRPr="00225209">
        <w:rPr>
          <w:rFonts w:asciiTheme="minorHAnsi" w:hAnsiTheme="minorHAnsi" w:cs="Andalus"/>
        </w:rPr>
        <w:t xml:space="preserve">v souladu </w:t>
      </w:r>
      <w:r w:rsidRPr="00225209">
        <w:rPr>
          <w:rFonts w:asciiTheme="minorHAnsi" w:hAnsiTheme="minorHAnsi"/>
        </w:rPr>
        <w:t xml:space="preserve">se schváleným rozpočtem </w:t>
      </w:r>
      <w:r w:rsidR="00E0074C">
        <w:rPr>
          <w:rFonts w:asciiTheme="minorHAnsi" w:hAnsiTheme="minorHAnsi" w:cstheme="minorHAnsi"/>
          <w:lang w:eastAsia="cs-CZ"/>
        </w:rPr>
        <w:t>orgánu veřejné správy</w:t>
      </w:r>
      <w:r w:rsidRPr="00225209">
        <w:rPr>
          <w:rFonts w:asciiTheme="minorHAnsi" w:hAnsiTheme="minorHAnsi"/>
        </w:rPr>
        <w:t>, programy, projekty, uzavřenými smlouvami nebo rozhodnutími o nakládání s veřejnými prostředky,</w:t>
      </w:r>
    </w:p>
    <w:p w:rsidR="009D252A" w:rsidP="009D252A">
      <w:pPr>
        <w:spacing w:before="0"/>
        <w:ind w:left="708"/>
        <w:rPr>
          <w:rFonts w:asciiTheme="minorHAnsi" w:hAnsiTheme="minorHAnsi"/>
        </w:rPr>
      </w:pPr>
      <w:sdt>
        <w:sdtPr>
          <w:rPr>
            <w:rFonts w:asciiTheme="minorHAnsi" w:hAnsiTheme="minorHAnsi" w:cs="Andalus"/>
          </w:rPr>
          <w:id w:val="-395505588"/>
          <w14:checkbox>
            <w14:checked w14:val="0"/>
            <w14:checkedState w14:val="2612" w14:font="MS Gothic"/>
            <w14:uncheckedState w14:val="2610" w14:font="MS Gothic"/>
          </w14:checkbox>
        </w:sdtPr>
        <w:sdtContent>
          <w:r>
            <w:rPr>
              <w:rFonts w:ascii="MS Gothic" w:eastAsia="MS Gothic" w:hAnsi="MS Gothic" w:cs="Andalus" w:hint="eastAsia"/>
            </w:rPr>
            <w:t>☐</w:t>
          </w:r>
        </w:sdtContent>
      </w:sdt>
      <w:r>
        <w:rPr>
          <w:rFonts w:asciiTheme="minorHAnsi" w:hAnsiTheme="minorHAnsi" w:cs="Andalus"/>
        </w:rPr>
        <w:tab/>
        <w:t xml:space="preserve">je </w:t>
      </w:r>
      <w:r w:rsidRPr="00225209">
        <w:rPr>
          <w:rFonts w:asciiTheme="minorHAnsi" w:hAnsiTheme="minorHAnsi"/>
        </w:rPr>
        <w:t xml:space="preserve">v souladu s pravidly pro financování činnosti </w:t>
      </w:r>
      <w:r w:rsidR="00E0074C">
        <w:rPr>
          <w:rFonts w:asciiTheme="minorHAnsi" w:hAnsiTheme="minorHAnsi" w:cstheme="minorHAnsi"/>
          <w:lang w:eastAsia="cs-CZ"/>
        </w:rPr>
        <w:t>orgánu veřejné správy</w:t>
      </w:r>
      <w:r>
        <w:rPr>
          <w:rFonts w:asciiTheme="minorHAnsi" w:hAnsiTheme="minorHAnsi"/>
        </w:rPr>
        <w:t xml:space="preserve"> a</w:t>
      </w:r>
    </w:p>
    <w:p w:rsidR="009D252A" w:rsidRPr="0020237C" w:rsidP="005F0136">
      <w:pPr>
        <w:rPr>
          <w:rFonts w:asciiTheme="minorHAnsi" w:hAnsiTheme="minorHAnsi" w:cs="Andalus"/>
        </w:rPr>
      </w:pPr>
      <w:r w:rsidRPr="0020237C">
        <w:rPr>
          <w:rFonts w:asciiTheme="minorHAnsi" w:hAnsiTheme="minorHAnsi"/>
        </w:rPr>
        <w:t>identifikoval(a) jsem</w:t>
      </w:r>
      <w:r>
        <w:rPr>
          <w:rFonts w:asciiTheme="minorHAnsi" w:hAnsiTheme="minorHAnsi"/>
        </w:rPr>
        <w:t xml:space="preserve"> následující</w:t>
      </w:r>
      <w:r w:rsidRPr="0020237C">
        <w:rPr>
          <w:rFonts w:asciiTheme="minorHAnsi" w:hAnsiTheme="minorHAnsi"/>
        </w:rPr>
        <w:t xml:space="preserve"> rozpočtová rizika:</w:t>
      </w:r>
    </w:p>
    <w:tbl>
      <w:tblPr>
        <w:tblStyle w:val="Styl2"/>
        <w:tblW w:w="5000" w:type="pct"/>
        <w:tblLook w:val="04A0"/>
      </w:tblPr>
      <w:tblGrid>
        <w:gridCol w:w="4111"/>
        <w:gridCol w:w="4959"/>
      </w:tblGrid>
      <w:tr w:rsidTr="00976C2B">
        <w:tblPrEx>
          <w:tblW w:w="5000" w:type="pct"/>
          <w:tblLook w:val="04A0"/>
        </w:tblPrEx>
        <w:trPr>
          <w:trHeight w:val="285"/>
        </w:trPr>
        <w:tc>
          <w:tcPr>
            <w:tcW w:w="2266" w:type="pct"/>
          </w:tcPr>
          <w:p w:rsidR="009D252A" w:rsidRPr="00225209" w:rsidP="00976C2B">
            <w:pPr>
              <w:rPr>
                <w:rFonts w:asciiTheme="minorHAnsi" w:hAnsiTheme="minorHAnsi" w:cs="Andalus"/>
              </w:rPr>
            </w:pPr>
            <w:r w:rsidRPr="00225209">
              <w:rPr>
                <w:rFonts w:asciiTheme="minorHAnsi" w:hAnsiTheme="minorHAnsi" w:cs="Andalus"/>
              </w:rPr>
              <w:t>Riziko</w:t>
            </w:r>
          </w:p>
        </w:tc>
        <w:tc>
          <w:tcPr>
            <w:tcW w:w="2734" w:type="pct"/>
          </w:tcPr>
          <w:p w:rsidR="009D252A" w:rsidRPr="00225209" w:rsidP="00976C2B">
            <w:pPr>
              <w:rPr>
                <w:rFonts w:asciiTheme="minorHAnsi" w:hAnsiTheme="minorHAnsi" w:cs="Andalus"/>
              </w:rPr>
            </w:pPr>
            <w:r w:rsidRPr="00225209">
              <w:rPr>
                <w:rFonts w:asciiTheme="minorHAnsi" w:hAnsiTheme="minorHAnsi" w:cs="Andalus"/>
              </w:rPr>
              <w:t>Opatření vedoucí k</w:t>
            </w:r>
            <w:r>
              <w:rPr>
                <w:rFonts w:asciiTheme="minorHAnsi" w:hAnsiTheme="minorHAnsi" w:cs="Andalus"/>
              </w:rPr>
              <w:t> vyloučení nebo k</w:t>
            </w:r>
            <w:r w:rsidRPr="00225209">
              <w:rPr>
                <w:rFonts w:asciiTheme="minorHAnsi" w:hAnsiTheme="minorHAnsi" w:cs="Andalus"/>
              </w:rPr>
              <w:t>e zmírnění rizika</w:t>
            </w:r>
          </w:p>
        </w:tc>
      </w:tr>
      <w:tr w:rsidTr="00976C2B">
        <w:tblPrEx>
          <w:tblW w:w="5000" w:type="pct"/>
          <w:tblLook w:val="04A0"/>
        </w:tblPrEx>
        <w:trPr>
          <w:trHeight w:val="227"/>
        </w:trPr>
        <w:tc>
          <w:tcPr>
            <w:tcW w:w="2266" w:type="pct"/>
          </w:tcPr>
          <w:p w:rsidR="009D252A" w:rsidRPr="00576BA0" w:rsidP="00976C2B">
            <w:pPr>
              <w:rPr>
                <w:rFonts w:asciiTheme="minorHAnsi" w:hAnsiTheme="minorHAnsi" w:cs="Andalus"/>
                <w:sz w:val="16"/>
                <w:szCs w:val="16"/>
              </w:rPr>
            </w:pPr>
          </w:p>
        </w:tc>
        <w:tc>
          <w:tcPr>
            <w:tcW w:w="2734" w:type="pct"/>
          </w:tcPr>
          <w:p w:rsidR="009D252A" w:rsidRPr="00576BA0" w:rsidP="00976C2B">
            <w:pPr>
              <w:rPr>
                <w:rFonts w:asciiTheme="minorHAnsi" w:hAnsiTheme="minorHAnsi" w:cs="Andalus"/>
                <w:sz w:val="16"/>
                <w:szCs w:val="16"/>
              </w:rPr>
            </w:pPr>
          </w:p>
        </w:tc>
      </w:tr>
      <w:tr w:rsidTr="00976C2B">
        <w:tblPrEx>
          <w:tblW w:w="5000" w:type="pct"/>
          <w:tblLook w:val="04A0"/>
        </w:tblPrEx>
        <w:trPr>
          <w:trHeight w:val="227"/>
        </w:trPr>
        <w:tc>
          <w:tcPr>
            <w:tcW w:w="2266" w:type="pct"/>
          </w:tcPr>
          <w:p w:rsidR="009D252A" w:rsidRPr="00576BA0" w:rsidP="00976C2B">
            <w:pPr>
              <w:rPr>
                <w:rFonts w:asciiTheme="minorHAnsi" w:hAnsiTheme="minorHAnsi" w:cs="Andalus"/>
                <w:sz w:val="16"/>
                <w:szCs w:val="16"/>
              </w:rPr>
            </w:pPr>
          </w:p>
        </w:tc>
        <w:tc>
          <w:tcPr>
            <w:tcW w:w="2734" w:type="pct"/>
          </w:tcPr>
          <w:p w:rsidR="009D252A" w:rsidRPr="00576BA0" w:rsidP="00976C2B">
            <w:pPr>
              <w:rPr>
                <w:rFonts w:asciiTheme="minorHAnsi" w:hAnsiTheme="minorHAnsi" w:cs="Andalus"/>
                <w:sz w:val="16"/>
                <w:szCs w:val="16"/>
              </w:rPr>
            </w:pPr>
          </w:p>
        </w:tc>
      </w:tr>
    </w:tbl>
    <w:p w:rsidR="009D252A" w:rsidRPr="00225209" w:rsidP="005F0136">
      <w:pPr>
        <w:rPr>
          <w:rFonts w:asciiTheme="minorHAnsi" w:hAnsiTheme="minorHAnsi" w:cs="Andalus"/>
        </w:rPr>
      </w:pPr>
      <w:r w:rsidRPr="00225209">
        <w:rPr>
          <w:rFonts w:asciiTheme="minorHAnsi" w:hAnsiTheme="minorHAnsi" w:cs="Andalus"/>
        </w:rPr>
        <w:t>Na základě výše uvedeného ověření stanovuji následující podmínky provedení příjmové operace:</w:t>
      </w:r>
    </w:p>
    <w:p w:rsidR="009D252A" w:rsidRPr="0022520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225209" w:rsidP="009D252A">
      <w:pPr>
        <w:spacing w:after="360"/>
        <w:rPr>
          <w:rFonts w:asciiTheme="minorHAnsi" w:hAnsiTheme="minorHAnsi" w:cs="Andalus"/>
        </w:rPr>
      </w:pPr>
      <w:r w:rsidRPr="0022520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sidRPr="00B817AD">
              <w:rPr>
                <w:b/>
                <w:bCs/>
                <w:lang w:eastAsia="cs-CZ"/>
              </w:rPr>
              <w:t>správce rozpočtu</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225209" w:rsidP="005F0136">
      <w:pPr>
        <w:spacing w:before="360"/>
        <w:rPr>
          <w:rFonts w:asciiTheme="minorHAnsi" w:hAnsiTheme="minorHAnsi" w:cs="Andalus"/>
        </w:rPr>
      </w:pPr>
      <w:r w:rsidRPr="00225209">
        <w:rPr>
          <w:rFonts w:asciiTheme="minorHAnsi" w:hAnsiTheme="minorHAnsi" w:cs="Andalus"/>
        </w:rPr>
        <w:t xml:space="preserve">Jako </w:t>
      </w:r>
      <w:r w:rsidRPr="00225209">
        <w:rPr>
          <w:rFonts w:asciiTheme="minorHAnsi" w:hAnsiTheme="minorHAnsi" w:cs="Andalus"/>
          <w:b/>
        </w:rPr>
        <w:t xml:space="preserve">příkazce operace </w:t>
      </w:r>
      <w:r w:rsidRPr="00225209">
        <w:rPr>
          <w:rFonts w:asciiTheme="minorHAnsi" w:hAnsiTheme="minorHAnsi" w:cs="Andalus"/>
        </w:rPr>
        <w:t>v rámci předběžné řídicí kontroly před schválením příjmové operace jsem v souladu s</w:t>
      </w:r>
      <w:r w:rsidR="00D92743">
        <w:rPr>
          <w:rFonts w:asciiTheme="minorHAnsi" w:hAnsiTheme="minorHAnsi" w:cs="Andalus"/>
        </w:rPr>
        <w:t> </w:t>
      </w:r>
      <w:r w:rsidRPr="00225209">
        <w:rPr>
          <w:rFonts w:asciiTheme="minorHAnsi" w:hAnsiTheme="minorHAnsi" w:cs="Andalus"/>
        </w:rPr>
        <w:t>čl.</w:t>
      </w:r>
      <w:r w:rsidR="00D92743">
        <w:rPr>
          <w:rFonts w:asciiTheme="minorHAnsi" w:hAnsiTheme="minorHAnsi" w:cs="Andalus"/>
        </w:rPr>
        <w:t> </w:t>
      </w:r>
      <w:r w:rsidRPr="00225209">
        <w:rPr>
          <w:rFonts w:asciiTheme="minorHAnsi" w:hAnsiTheme="minorHAnsi" w:cs="Andalus"/>
        </w:rPr>
        <w:t>V odst. 5 směrnice č. …/… o řízení a kontrole veřejných financí u výše nadepsané příjmové operace ověřil(a):</w:t>
      </w:r>
    </w:p>
    <w:p w:rsidR="009D252A" w:rsidRPr="00225209" w:rsidP="009D252A">
      <w:pPr>
        <w:spacing w:before="0"/>
        <w:ind w:left="709"/>
        <w:rPr>
          <w:rFonts w:asciiTheme="minorHAnsi" w:hAnsiTheme="minorHAnsi"/>
        </w:rPr>
      </w:pPr>
      <w:sdt>
        <w:sdtPr>
          <w:rPr>
            <w:rFonts w:asciiTheme="minorHAnsi" w:hAnsiTheme="minorHAnsi"/>
          </w:rPr>
          <w:id w:val="-188323559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soulad příjmové operace s právními předpisy,</w:t>
      </w:r>
    </w:p>
    <w:p w:rsidR="009D252A" w:rsidRPr="00225209" w:rsidP="009D252A">
      <w:pPr>
        <w:spacing w:before="0"/>
        <w:ind w:left="708"/>
        <w:rPr>
          <w:rFonts w:asciiTheme="minorHAnsi" w:hAnsiTheme="minorHAnsi"/>
        </w:rPr>
      </w:pPr>
      <w:sdt>
        <w:sdtPr>
          <w:rPr>
            <w:rFonts w:asciiTheme="minorHAnsi" w:hAnsiTheme="minorHAnsi"/>
          </w:rPr>
          <w:id w:val="-1384918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 xml:space="preserve">nezbytnost příjmové operace k zajištění úkolů, záměrů a cílů </w:t>
      </w:r>
      <w:r w:rsidR="00E0074C">
        <w:rPr>
          <w:rFonts w:asciiTheme="minorHAnsi" w:hAnsiTheme="minorHAnsi" w:cstheme="minorHAnsi"/>
          <w:lang w:eastAsia="cs-CZ"/>
        </w:rPr>
        <w:t>orgánu veřejné správy</w:t>
      </w:r>
      <w:r w:rsidRPr="00225209">
        <w:rPr>
          <w:rFonts w:asciiTheme="minorHAnsi" w:hAnsiTheme="minorHAnsi"/>
        </w:rPr>
        <w:t>,</w:t>
      </w:r>
    </w:p>
    <w:p w:rsidR="009D252A" w:rsidRPr="00B817AD" w:rsidP="009D252A">
      <w:pPr>
        <w:spacing w:before="0"/>
        <w:ind w:left="708"/>
        <w:rPr>
          <w:rFonts w:asciiTheme="minorHAnsi" w:hAnsiTheme="minorHAnsi"/>
        </w:rPr>
      </w:pPr>
      <w:sdt>
        <w:sdtPr>
          <w:rPr>
            <w:rFonts w:asciiTheme="minorHAnsi" w:hAnsiTheme="minorHAnsi"/>
          </w:rPr>
          <w:id w:val="-110217616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soulad příjmové operace se zásadou řádného finančního řízení,</w:t>
      </w:r>
    </w:p>
    <w:p w:rsidR="009D252A" w:rsidRPr="00225209" w:rsidP="009D252A">
      <w:pPr>
        <w:spacing w:before="0"/>
        <w:ind w:left="708"/>
        <w:rPr>
          <w:rFonts w:asciiTheme="minorHAnsi" w:hAnsiTheme="minorHAnsi"/>
        </w:rPr>
      </w:pPr>
      <w:sdt>
        <w:sdtPr>
          <w:rPr>
            <w:rFonts w:asciiTheme="minorHAnsi" w:hAnsiTheme="minorHAnsi"/>
          </w:rPr>
          <w:id w:val="180819624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 xml:space="preserve">soulad příjmové operace se schváleným rozpočtem, programy, projekty, uzavřenými smlouvami </w:t>
      </w:r>
      <w:r w:rsidR="00551EBA">
        <w:rPr>
          <w:rFonts w:asciiTheme="minorHAnsi" w:hAnsiTheme="minorHAnsi"/>
        </w:rPr>
        <w:t xml:space="preserve">nebo </w:t>
      </w:r>
      <w:r w:rsidRPr="00225209">
        <w:rPr>
          <w:rFonts w:asciiTheme="minorHAnsi" w:hAnsiTheme="minorHAnsi"/>
        </w:rPr>
        <w:t>rozhodnutími o nakládání s veřejnými prostředky,</w:t>
      </w:r>
    </w:p>
    <w:p w:rsidR="009D252A" w:rsidRPr="00225209" w:rsidP="009D252A">
      <w:pPr>
        <w:spacing w:before="0"/>
        <w:ind w:left="708"/>
        <w:rPr>
          <w:rFonts w:asciiTheme="minorHAnsi" w:hAnsiTheme="minorHAnsi"/>
        </w:rPr>
      </w:pPr>
      <w:sdt>
        <w:sdtPr>
          <w:rPr>
            <w:rFonts w:asciiTheme="minorHAnsi" w:hAnsiTheme="minorHAnsi"/>
          </w:rPr>
          <w:id w:val="31138271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 xml:space="preserve">soulad příjmové operace s pravidly pro financování činnosti </w:t>
      </w:r>
      <w:r w:rsidR="00E0074C">
        <w:rPr>
          <w:rFonts w:asciiTheme="minorHAnsi" w:hAnsiTheme="minorHAnsi" w:cstheme="minorHAnsi"/>
          <w:lang w:eastAsia="cs-CZ"/>
        </w:rPr>
        <w:t>orgánu veřejné správy</w:t>
      </w:r>
      <w:r w:rsidRPr="00225209">
        <w:rPr>
          <w:rFonts w:asciiTheme="minorHAnsi" w:hAnsiTheme="minorHAnsi"/>
        </w:rPr>
        <w:t>,</w:t>
      </w:r>
    </w:p>
    <w:p w:rsidR="009D252A" w:rsidP="009D252A">
      <w:pPr>
        <w:spacing w:before="0"/>
        <w:ind w:left="708"/>
        <w:rPr>
          <w:rFonts w:asciiTheme="minorHAnsi" w:hAnsiTheme="minorHAnsi"/>
        </w:rPr>
      </w:pPr>
      <w:sdt>
        <w:sdtPr>
          <w:rPr>
            <w:rFonts w:asciiTheme="minorHAnsi" w:hAnsiTheme="minorHAnsi"/>
          </w:rPr>
          <w:id w:val="207531358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B817AD">
        <w:rPr>
          <w:rFonts w:asciiTheme="minorHAnsi" w:hAnsiTheme="minorHAnsi"/>
        </w:rPr>
        <w:t>doložení příjmové operace správnými a úplnými podklady</w:t>
      </w:r>
      <w:r>
        <w:rPr>
          <w:rFonts w:asciiTheme="minorHAnsi" w:hAnsiTheme="minorHAnsi"/>
        </w:rPr>
        <w:t xml:space="preserve"> a</w:t>
      </w:r>
    </w:p>
    <w:p w:rsidR="009D252A" w:rsidRPr="0020237C" w:rsidP="005F0136">
      <w:pPr>
        <w:rPr>
          <w:rFonts w:asciiTheme="minorHAnsi" w:hAnsiTheme="minorHAnsi"/>
        </w:rPr>
      </w:pPr>
      <w:r w:rsidRPr="005F0136">
        <w:rPr>
          <w:rFonts w:asciiTheme="minorHAnsi" w:hAnsiTheme="minorHAnsi"/>
        </w:rPr>
        <w:t>identifikoval</w:t>
      </w:r>
      <w:r w:rsidRPr="0020237C">
        <w:rPr>
          <w:rFonts w:asciiTheme="minorHAnsi" w:hAnsiTheme="minorHAnsi" w:cs="Andalus"/>
        </w:rPr>
        <w:t>(a) jsem následující rizika:</w:t>
      </w:r>
    </w:p>
    <w:tbl>
      <w:tblPr>
        <w:tblStyle w:val="Styl2"/>
        <w:tblW w:w="5000" w:type="pct"/>
        <w:tblLook w:val="04A0"/>
      </w:tblPr>
      <w:tblGrid>
        <w:gridCol w:w="4111"/>
        <w:gridCol w:w="4959"/>
      </w:tblGrid>
      <w:tr w:rsidTr="00976C2B">
        <w:tblPrEx>
          <w:tblW w:w="5000" w:type="pct"/>
          <w:tblLook w:val="04A0"/>
        </w:tblPrEx>
        <w:trPr>
          <w:trHeight w:val="285"/>
        </w:trPr>
        <w:tc>
          <w:tcPr>
            <w:tcW w:w="2266" w:type="pct"/>
          </w:tcPr>
          <w:p w:rsidR="009D252A" w:rsidRPr="00225209" w:rsidP="00976C2B">
            <w:pPr>
              <w:rPr>
                <w:rFonts w:asciiTheme="minorHAnsi" w:hAnsiTheme="minorHAnsi" w:cs="Andalus"/>
              </w:rPr>
            </w:pPr>
            <w:r w:rsidRPr="00225209">
              <w:rPr>
                <w:rFonts w:asciiTheme="minorHAnsi" w:hAnsiTheme="minorHAnsi" w:cs="Andalus"/>
              </w:rPr>
              <w:t>Riziko</w:t>
            </w:r>
          </w:p>
        </w:tc>
        <w:tc>
          <w:tcPr>
            <w:tcW w:w="2734" w:type="pct"/>
          </w:tcPr>
          <w:p w:rsidR="009D252A" w:rsidRPr="00225209" w:rsidP="00976C2B">
            <w:pPr>
              <w:rPr>
                <w:rFonts w:asciiTheme="minorHAnsi" w:hAnsiTheme="minorHAnsi" w:cs="Andalus"/>
              </w:rPr>
            </w:pPr>
            <w:r w:rsidRPr="00225209">
              <w:rPr>
                <w:rFonts w:asciiTheme="minorHAnsi" w:hAnsiTheme="minorHAnsi" w:cs="Andalus"/>
              </w:rPr>
              <w:t>Opatření vedoucí</w:t>
            </w:r>
            <w:r>
              <w:rPr>
                <w:rFonts w:asciiTheme="minorHAnsi" w:hAnsiTheme="minorHAnsi" w:cs="Andalus"/>
              </w:rPr>
              <w:t xml:space="preserve"> k vyloučení nebo</w:t>
            </w:r>
            <w:r w:rsidRPr="00225209">
              <w:rPr>
                <w:rFonts w:asciiTheme="minorHAnsi" w:hAnsiTheme="minorHAnsi" w:cs="Andalus"/>
              </w:rPr>
              <w:t xml:space="preserve"> ke zmírnění rizika</w:t>
            </w:r>
          </w:p>
        </w:tc>
      </w:tr>
      <w:tr w:rsidTr="00976C2B">
        <w:tblPrEx>
          <w:tblW w:w="5000" w:type="pct"/>
          <w:tblLook w:val="04A0"/>
        </w:tblPrEx>
        <w:trPr>
          <w:trHeight w:val="227"/>
        </w:trPr>
        <w:tc>
          <w:tcPr>
            <w:tcW w:w="2266" w:type="pct"/>
          </w:tcPr>
          <w:p w:rsidR="009D252A" w:rsidRPr="00576BA0" w:rsidP="00976C2B">
            <w:pPr>
              <w:rPr>
                <w:rFonts w:asciiTheme="minorHAnsi" w:hAnsiTheme="minorHAnsi" w:cs="Andalus"/>
                <w:sz w:val="16"/>
                <w:szCs w:val="16"/>
              </w:rPr>
            </w:pPr>
          </w:p>
        </w:tc>
        <w:tc>
          <w:tcPr>
            <w:tcW w:w="2734" w:type="pct"/>
          </w:tcPr>
          <w:p w:rsidR="009D252A" w:rsidRPr="00576BA0" w:rsidP="00976C2B">
            <w:pPr>
              <w:rPr>
                <w:rFonts w:asciiTheme="minorHAnsi" w:hAnsiTheme="minorHAnsi" w:cs="Andalus"/>
                <w:sz w:val="16"/>
                <w:szCs w:val="16"/>
              </w:rPr>
            </w:pPr>
          </w:p>
        </w:tc>
      </w:tr>
      <w:tr w:rsidTr="00976C2B">
        <w:tblPrEx>
          <w:tblW w:w="5000" w:type="pct"/>
          <w:tblLook w:val="04A0"/>
        </w:tblPrEx>
        <w:trPr>
          <w:trHeight w:val="227"/>
        </w:trPr>
        <w:tc>
          <w:tcPr>
            <w:tcW w:w="2266" w:type="pct"/>
          </w:tcPr>
          <w:p w:rsidR="009D252A" w:rsidRPr="00576BA0" w:rsidP="00976C2B">
            <w:pPr>
              <w:rPr>
                <w:rFonts w:asciiTheme="minorHAnsi" w:hAnsiTheme="minorHAnsi" w:cs="Andalus"/>
                <w:sz w:val="16"/>
                <w:szCs w:val="16"/>
              </w:rPr>
            </w:pPr>
          </w:p>
        </w:tc>
        <w:tc>
          <w:tcPr>
            <w:tcW w:w="2734" w:type="pct"/>
          </w:tcPr>
          <w:p w:rsidR="009D252A" w:rsidRPr="00576BA0" w:rsidP="00976C2B">
            <w:pPr>
              <w:rPr>
                <w:rFonts w:asciiTheme="minorHAnsi" w:hAnsiTheme="minorHAnsi" w:cs="Andalus"/>
                <w:sz w:val="16"/>
                <w:szCs w:val="16"/>
              </w:rPr>
            </w:pPr>
          </w:p>
        </w:tc>
      </w:tr>
    </w:tbl>
    <w:p w:rsidR="009D252A" w:rsidRPr="00576BA0" w:rsidP="005F0136">
      <w:pPr>
        <w:spacing w:after="120"/>
        <w:rPr>
          <w:rFonts w:asciiTheme="minorHAnsi" w:hAnsiTheme="minorHAnsi" w:cs="Andalus"/>
          <w:b/>
          <w:bCs/>
        </w:rPr>
      </w:pPr>
      <w:r w:rsidRPr="00576BA0">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576BA0">
        <w:rPr>
          <w:rFonts w:asciiTheme="minorHAnsi" w:hAnsiTheme="minorHAnsi" w:cs="Andalus"/>
          <w:b/>
          <w:bCs/>
        </w:rPr>
        <w:t xml:space="preserve"> </w:t>
      </w:r>
      <w:r w:rsidRPr="00304B23">
        <w:rPr>
          <w:rFonts w:asciiTheme="minorHAnsi" w:hAnsiTheme="minorHAnsi" w:cs="Andalus"/>
        </w:rPr>
        <w:t>výše nadepsanou příjmovou operaci</w:t>
      </w:r>
      <w:r w:rsidRPr="00576BA0">
        <w:rPr>
          <w:rFonts w:asciiTheme="minorHAnsi" w:hAnsiTheme="minorHAnsi" w:cs="Andalus"/>
          <w:b/>
          <w:bCs/>
        </w:rPr>
        <w:t>.</w:t>
      </w:r>
    </w:p>
    <w:p w:rsidR="009D252A" w:rsidRPr="00225209" w:rsidP="009D252A">
      <w:pPr>
        <w:spacing w:after="360"/>
        <w:rPr>
          <w:rFonts w:asciiTheme="minorHAnsi" w:hAnsiTheme="minorHAnsi" w:cs="Andalus"/>
        </w:rPr>
      </w:pPr>
      <w:r w:rsidRPr="0022520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spacing w:before="0" w:line="240" w:lineRule="auto"/>
        <w:jc w:val="left"/>
        <w:rPr>
          <w:lang w:eastAsia="cs-CZ"/>
        </w:rPr>
      </w:pPr>
    </w:p>
    <w:p w:rsidR="009D252A" w:rsidP="009D252A">
      <w:pPr>
        <w:spacing w:before="0" w:line="240" w:lineRule="auto"/>
        <w:jc w:val="right"/>
        <w:rPr>
          <w:lang w:eastAsia="cs-CZ"/>
        </w:rPr>
        <w:sectPr w:rsidSect="009D252A">
          <w:headerReference w:type="default" r:id="rId12"/>
          <w:pgSz w:w="11906" w:h="16838"/>
          <w:pgMar w:top="1418" w:right="1418" w:bottom="993" w:left="1418" w:header="709" w:footer="709" w:gutter="0"/>
          <w:cols w:space="708"/>
          <w:docGrid w:linePitch="360"/>
        </w:sectPr>
      </w:pPr>
    </w:p>
    <w:p w:rsidR="009D252A" w:rsidP="009D252A">
      <w:pPr>
        <w:spacing w:before="0" w:line="240" w:lineRule="auto"/>
        <w:jc w:val="left"/>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9D252A"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schválením příjmové operace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9D252A"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9D252A" w:rsidRPr="009A127C" w:rsidP="00976C2B">
            <w:pPr>
              <w:spacing w:after="120"/>
              <w:rPr>
                <w:rFonts w:cs="Times New Roman"/>
                <w:color w:val="000000"/>
                <w:lang w:eastAsia="cs-CZ"/>
              </w:rPr>
            </w:pPr>
            <w:r>
              <w:rPr>
                <w:rFonts w:cs="Times New Roman"/>
                <w:color w:val="000000"/>
                <w:lang w:eastAsia="cs-CZ"/>
              </w:rPr>
              <w:t>správce rozpočtu</w:t>
            </w:r>
          </w:p>
        </w:tc>
        <w:tc>
          <w:tcPr>
            <w:tcW w:w="1701"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9D252A"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9D252A" w:rsidRPr="009A127C" w:rsidP="00976C2B">
            <w:pPr>
              <w:spacing w:after="120"/>
              <w:rPr>
                <w:rFonts w:cs="Times New Roman"/>
                <w:color w:val="000000"/>
                <w:lang w:eastAsia="cs-CZ"/>
              </w:rPr>
            </w:pPr>
            <w:r w:rsidRPr="009A127C">
              <w:rPr>
                <w:rFonts w:cs="Times New Roman"/>
                <w:color w:val="000000"/>
                <w:lang w:eastAsia="cs-CZ"/>
              </w:rPr>
              <w:t>příkazce operace</w:t>
            </w:r>
          </w:p>
        </w:tc>
        <w:tc>
          <w:tcPr>
            <w:tcW w:w="1701"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9D252A" w:rsidRPr="009A127C" w:rsidP="00976C2B">
            <w:pPr>
              <w:spacing w:after="120"/>
              <w:rPr>
                <w:rFonts w:cs="Times New Roman"/>
                <w:color w:val="000000"/>
                <w:lang w:eastAsia="cs-CZ"/>
              </w:rPr>
            </w:pPr>
          </w:p>
        </w:tc>
      </w:tr>
    </w:tbl>
    <w:p w:rsidR="009D252A" w:rsidP="009D252A">
      <w:pPr>
        <w:spacing w:before="0" w:line="240" w:lineRule="auto"/>
        <w:jc w:val="left"/>
        <w:rPr>
          <w:lang w:eastAsia="cs-CZ"/>
        </w:rPr>
      </w:pPr>
    </w:p>
    <w:p w:rsidR="009D252A" w:rsidP="009D252A">
      <w:pPr>
        <w:spacing w:before="0" w:line="240" w:lineRule="auto"/>
        <w:jc w:val="center"/>
        <w:rPr>
          <w:lang w:eastAsia="cs-CZ"/>
        </w:rPr>
        <w:sectPr w:rsidSect="009D252A">
          <w:headerReference w:type="default" r:id="rId13"/>
          <w:pgSz w:w="11906" w:h="16838"/>
          <w:pgMar w:top="1418" w:right="1418" w:bottom="993" w:left="1418" w:header="709" w:footer="709" w:gutter="0"/>
          <w:cols w:space="708"/>
          <w:docGrid w:linePitch="360"/>
        </w:sectPr>
      </w:pPr>
    </w:p>
    <w:p w:rsidR="009D252A" w:rsidRPr="00673A15" w:rsidP="009D252A">
      <w:pPr>
        <w:spacing w:before="0" w:after="120"/>
        <w:rPr>
          <w:rFonts w:asciiTheme="minorHAnsi" w:hAnsiTheme="minorHAnsi" w:cs="Andalus"/>
          <w:b/>
          <w:bCs/>
        </w:rPr>
      </w:pPr>
      <w:r w:rsidRPr="00673A15">
        <w:rPr>
          <w:rFonts w:asciiTheme="minorHAnsi" w:hAnsiTheme="minorHAnsi" w:cs="Andalus"/>
          <w:b/>
          <w:bCs/>
        </w:rPr>
        <w:t>Identifikace příjmové operace:</w:t>
      </w:r>
    </w:p>
    <w:tbl>
      <w:tblPr>
        <w:tblStyle w:val="GridTable7Colorful"/>
        <w:tblW w:w="4999" w:type="pct"/>
        <w:tblLook w:val="0680"/>
      </w:tblPr>
      <w:tblGrid>
        <w:gridCol w:w="2454"/>
        <w:gridCol w:w="6609"/>
      </w:tblGrid>
      <w:tr w:rsidTr="00976C2B">
        <w:tblPrEx>
          <w:tblW w:w="4999" w:type="pct"/>
          <w:tblLook w:val="0680"/>
        </w:tblPrEx>
        <w:trPr>
          <w:trHeight w:val="340"/>
        </w:trPr>
        <w:tc>
          <w:tcPr>
            <w:tcW w:w="1354" w:type="pct"/>
          </w:tcPr>
          <w:p w:rsidR="009D252A" w:rsidRPr="000458F9" w:rsidP="00976C2B">
            <w:pPr>
              <w:spacing w:before="0"/>
              <w:jc w:val="right"/>
              <w:rPr>
                <w:rFonts w:asciiTheme="minorHAnsi" w:hAnsiTheme="minorHAnsi" w:cs="Andalus"/>
              </w:rPr>
            </w:pPr>
            <w:r w:rsidRPr="000458F9">
              <w:rPr>
                <w:rFonts w:asciiTheme="minorHAnsi" w:hAnsiTheme="minorHAnsi" w:cs="Andalus"/>
              </w:rPr>
              <w:t>Předmět</w:t>
            </w:r>
          </w:p>
        </w:tc>
        <w:tc>
          <w:tcPr>
            <w:tcW w:w="3646" w:type="pct"/>
          </w:tcPr>
          <w:p w:rsidR="009D252A" w:rsidRPr="00673A15" w:rsidP="00976C2B">
            <w:pPr>
              <w:spacing w:before="0"/>
              <w:jc w:val="right"/>
              <w:rPr>
                <w:rFonts w:asciiTheme="minorHAnsi" w:hAnsiTheme="minorHAnsi" w:cs="Andalus"/>
                <w:i/>
                <w:iCs/>
              </w:rPr>
            </w:pPr>
          </w:p>
        </w:tc>
      </w:tr>
      <w:tr w:rsidTr="00976C2B">
        <w:tblPrEx>
          <w:tblW w:w="4999" w:type="pct"/>
          <w:tblLook w:val="0680"/>
        </w:tblPrEx>
        <w:trPr>
          <w:trHeight w:val="340"/>
        </w:trPr>
        <w:tc>
          <w:tcPr>
            <w:tcW w:w="1354" w:type="pct"/>
          </w:tcPr>
          <w:p w:rsidR="009D252A" w:rsidRPr="000458F9" w:rsidP="00976C2B">
            <w:pPr>
              <w:spacing w:before="0"/>
              <w:jc w:val="right"/>
              <w:rPr>
                <w:rFonts w:asciiTheme="minorHAnsi" w:hAnsiTheme="minorHAnsi" w:cs="Andalus"/>
              </w:rPr>
            </w:pPr>
            <w:r w:rsidRPr="000458F9">
              <w:rPr>
                <w:rFonts w:asciiTheme="minorHAnsi" w:hAnsiTheme="minorHAnsi" w:cs="Andalus"/>
              </w:rPr>
              <w:t>Výše</w:t>
            </w:r>
          </w:p>
        </w:tc>
        <w:tc>
          <w:tcPr>
            <w:tcW w:w="3646" w:type="pct"/>
          </w:tcPr>
          <w:p w:rsidR="009D252A" w:rsidRPr="00673A15" w:rsidP="00976C2B">
            <w:pPr>
              <w:spacing w:before="0"/>
              <w:jc w:val="right"/>
              <w:rPr>
                <w:rFonts w:asciiTheme="minorHAnsi" w:hAnsiTheme="minorHAnsi" w:cs="Andalus"/>
                <w:i/>
                <w:iCs/>
              </w:rPr>
            </w:pPr>
          </w:p>
        </w:tc>
      </w:tr>
      <w:tr w:rsidTr="00976C2B">
        <w:tblPrEx>
          <w:tblW w:w="4999" w:type="pct"/>
          <w:tblLook w:val="0680"/>
        </w:tblPrEx>
        <w:trPr>
          <w:trHeight w:val="340"/>
        </w:trPr>
        <w:tc>
          <w:tcPr>
            <w:tcW w:w="1354" w:type="pct"/>
          </w:tcPr>
          <w:p w:rsidR="009D252A" w:rsidRPr="000458F9" w:rsidP="00976C2B">
            <w:pPr>
              <w:spacing w:before="0"/>
              <w:jc w:val="right"/>
              <w:rPr>
                <w:rFonts w:asciiTheme="minorHAnsi" w:hAnsiTheme="minorHAnsi" w:cs="Andalus"/>
              </w:rPr>
            </w:pPr>
            <w:r w:rsidRPr="000458F9">
              <w:rPr>
                <w:rFonts w:asciiTheme="minorHAnsi" w:hAnsiTheme="minorHAnsi" w:cs="Andalus"/>
              </w:rPr>
              <w:t>Druhá strana (dlužník)</w:t>
            </w:r>
          </w:p>
        </w:tc>
        <w:tc>
          <w:tcPr>
            <w:tcW w:w="3646" w:type="pct"/>
          </w:tcPr>
          <w:p w:rsidR="009D252A" w:rsidRPr="00673A15" w:rsidP="00976C2B">
            <w:pPr>
              <w:spacing w:before="0"/>
              <w:jc w:val="right"/>
              <w:rPr>
                <w:rFonts w:asciiTheme="minorHAnsi" w:hAnsiTheme="minorHAnsi" w:cs="Andalus"/>
                <w:i/>
                <w:iCs/>
              </w:rPr>
            </w:pPr>
          </w:p>
        </w:tc>
      </w:tr>
      <w:tr w:rsidTr="00976C2B">
        <w:tblPrEx>
          <w:tblW w:w="4999" w:type="pct"/>
          <w:tblLook w:val="0680"/>
        </w:tblPrEx>
        <w:trPr>
          <w:trHeight w:val="340"/>
        </w:trPr>
        <w:tc>
          <w:tcPr>
            <w:tcW w:w="1354" w:type="pct"/>
          </w:tcPr>
          <w:p w:rsidR="009D252A" w:rsidRPr="000458F9" w:rsidP="00976C2B">
            <w:pPr>
              <w:spacing w:before="0"/>
              <w:jc w:val="right"/>
              <w:rPr>
                <w:rFonts w:asciiTheme="minorHAnsi" w:hAnsiTheme="minorHAnsi" w:cs="Andalus"/>
              </w:rPr>
            </w:pPr>
            <w:r w:rsidRPr="000458F9">
              <w:rPr>
                <w:rFonts w:asciiTheme="minorHAnsi" w:hAnsiTheme="minorHAnsi" w:cs="Andalus"/>
              </w:rPr>
              <w:t>Splatnost</w:t>
            </w:r>
          </w:p>
        </w:tc>
        <w:tc>
          <w:tcPr>
            <w:tcW w:w="3646" w:type="pct"/>
          </w:tcPr>
          <w:p w:rsidR="009D252A" w:rsidRPr="00673A15" w:rsidP="00976C2B">
            <w:pPr>
              <w:spacing w:before="0"/>
              <w:jc w:val="right"/>
              <w:rPr>
                <w:rFonts w:asciiTheme="minorHAnsi" w:hAnsiTheme="minorHAnsi" w:cs="Andalus"/>
                <w:i/>
                <w:iCs/>
              </w:rPr>
            </w:pPr>
          </w:p>
        </w:tc>
      </w:tr>
    </w:tbl>
    <w:p w:rsidR="009D252A" w:rsidRPr="00552FB9" w:rsidP="009D252A">
      <w:pPr>
        <w:spacing w:before="240"/>
        <w:rPr>
          <w:rFonts w:asciiTheme="minorHAnsi" w:hAnsiTheme="minorHAnsi" w:cs="Andalus"/>
        </w:rPr>
      </w:pPr>
      <w:r w:rsidRPr="00552FB9">
        <w:rPr>
          <w:rFonts w:asciiTheme="minorHAnsi" w:hAnsiTheme="minorHAnsi" w:cs="Andalus"/>
        </w:rPr>
        <w:t xml:space="preserve">Jako </w:t>
      </w:r>
      <w:r w:rsidR="00B05BFD">
        <w:rPr>
          <w:rFonts w:asciiTheme="minorHAnsi" w:hAnsiTheme="minorHAnsi" w:cs="Andalus"/>
          <w:b/>
        </w:rPr>
        <w:t>ověřovatel</w:t>
      </w:r>
      <w:r>
        <w:rPr>
          <w:rFonts w:asciiTheme="minorHAnsi" w:hAnsiTheme="minorHAnsi" w:cs="Andalus"/>
          <w:b/>
        </w:rPr>
        <w:t xml:space="preserve"> </w:t>
      </w:r>
      <w:r w:rsidRPr="00552FB9">
        <w:rPr>
          <w:rFonts w:asciiTheme="minorHAnsi" w:hAnsiTheme="minorHAnsi" w:cs="Andalus"/>
        </w:rPr>
        <w:t>jsem u příjmové operace v souladu s čl. VI odst. 3 směrnice č. …/… o řízení a</w:t>
      </w:r>
      <w:r>
        <w:rPr>
          <w:rFonts w:asciiTheme="minorHAnsi" w:hAnsiTheme="minorHAnsi" w:cs="Andalus"/>
        </w:rPr>
        <w:t> </w:t>
      </w:r>
      <w:r w:rsidRPr="00552FB9">
        <w:rPr>
          <w:rFonts w:asciiTheme="minorHAnsi" w:hAnsiTheme="minorHAnsi" w:cs="Andalus"/>
        </w:rPr>
        <w:t xml:space="preserve">kontrole veřejných financí zjistil(a), že výše nadepsaná příjmová operace </w:t>
      </w:r>
      <w:r>
        <w:rPr>
          <w:rFonts w:asciiTheme="minorHAnsi" w:hAnsiTheme="minorHAnsi" w:cs="Andalus"/>
        </w:rPr>
        <w:t>n</w:t>
      </w:r>
      <w:r w:rsidRPr="00552FB9">
        <w:rPr>
          <w:rFonts w:asciiTheme="minorHAnsi" w:hAnsiTheme="minorHAnsi" w:cs="Andalus"/>
        </w:rPr>
        <w:t xml:space="preserve">ebyla uhrazena </w:t>
      </w:r>
    </w:p>
    <w:p w:rsidR="009D252A" w:rsidRPr="00552FB9" w:rsidP="009D252A">
      <w:pPr>
        <w:spacing w:before="0"/>
        <w:ind w:left="708"/>
        <w:rPr>
          <w:rFonts w:asciiTheme="minorHAnsi" w:hAnsiTheme="minorHAnsi" w:cs="Andalus"/>
        </w:rPr>
      </w:pPr>
      <w:sdt>
        <w:sdtPr>
          <w:rPr>
            <w:rFonts w:asciiTheme="minorHAnsi" w:hAnsiTheme="minorHAnsi" w:cs="Andalus"/>
          </w:rPr>
          <w:id w:val="1468313764"/>
          <w14:checkbox>
            <w14:checked w14:val="0"/>
            <w14:checkedState w14:val="2612" w14:font="MS Gothic"/>
            <w14:uncheckedState w14:val="2610" w14:font="MS Gothic"/>
          </w14:checkbox>
        </w:sdtPr>
        <w:sdtContent>
          <w:r w:rsidRPr="00552FB9">
            <w:rPr>
              <w:rFonts w:ascii="Segoe UI Symbol" w:eastAsia="MS Gothic" w:hAnsi="Segoe UI Symbol" w:cs="Segoe UI Symbol"/>
            </w:rPr>
            <w:t>☐</w:t>
          </w:r>
        </w:sdtContent>
      </w:sdt>
      <w:r>
        <w:rPr>
          <w:rFonts w:asciiTheme="minorHAnsi" w:hAnsiTheme="minorHAnsi" w:cs="Andalus"/>
        </w:rPr>
        <w:tab/>
      </w:r>
      <w:r w:rsidRPr="00552FB9">
        <w:rPr>
          <w:rFonts w:asciiTheme="minorHAnsi" w:hAnsiTheme="minorHAnsi" w:cs="Andalus"/>
        </w:rPr>
        <w:t xml:space="preserve">včas </w:t>
      </w:r>
      <w:r>
        <w:rPr>
          <w:rFonts w:asciiTheme="minorHAnsi" w:hAnsiTheme="minorHAnsi" w:cs="Andalus"/>
        </w:rPr>
        <w:t>–</w:t>
      </w:r>
      <w:r w:rsidRPr="00552FB9">
        <w:rPr>
          <w:rFonts w:asciiTheme="minorHAnsi" w:hAnsiTheme="minorHAnsi" w:cs="Andalus"/>
        </w:rPr>
        <w:t xml:space="preserve"> počet dnů po splatnosti</w:t>
      </w:r>
      <w:r>
        <w:rPr>
          <w:rFonts w:asciiTheme="minorHAnsi" w:hAnsiTheme="minorHAnsi" w:cs="Andalus"/>
        </w:rPr>
        <w:t xml:space="preserve">: </w:t>
      </w:r>
      <w:r w:rsidRPr="00552FB9">
        <w:rPr>
          <w:rFonts w:asciiTheme="minorHAnsi" w:hAnsiTheme="minorHAnsi" w:cs="Andalus"/>
        </w:rPr>
        <w:t>…………</w:t>
      </w:r>
    </w:p>
    <w:p w:rsidR="009D252A" w:rsidRPr="00552FB9" w:rsidP="009D252A">
      <w:pPr>
        <w:spacing w:before="0"/>
        <w:ind w:left="708"/>
        <w:rPr>
          <w:rFonts w:asciiTheme="minorHAnsi" w:hAnsiTheme="minorHAnsi" w:cs="Andalus"/>
        </w:rPr>
      </w:pPr>
      <w:sdt>
        <w:sdtPr>
          <w:rPr>
            <w:rFonts w:asciiTheme="minorHAnsi" w:hAnsiTheme="minorHAnsi" w:cs="Andalus"/>
          </w:rPr>
          <w:id w:val="-335072160"/>
          <w14:checkbox>
            <w14:checked w14:val="0"/>
            <w14:checkedState w14:val="2612" w14:font="MS Gothic"/>
            <w14:uncheckedState w14:val="2610" w14:font="MS Gothic"/>
          </w14:checkbox>
        </w:sdtPr>
        <w:sdtContent>
          <w:r w:rsidRPr="00552FB9">
            <w:rPr>
              <w:rFonts w:ascii="Segoe UI Symbol" w:eastAsia="MS Gothic" w:hAnsi="Segoe UI Symbol" w:cs="Segoe UI Symbol"/>
            </w:rPr>
            <w:t>☐</w:t>
          </w:r>
        </w:sdtContent>
      </w:sdt>
      <w:r>
        <w:rPr>
          <w:rFonts w:asciiTheme="minorHAnsi" w:hAnsiTheme="minorHAnsi" w:cs="Andalus"/>
        </w:rPr>
        <w:tab/>
      </w:r>
      <w:r w:rsidRPr="00552FB9">
        <w:rPr>
          <w:rFonts w:asciiTheme="minorHAnsi" w:hAnsiTheme="minorHAnsi" w:cs="Andalus"/>
        </w:rPr>
        <w:t>ve správné výši;</w:t>
      </w:r>
    </w:p>
    <w:p w:rsidR="009D252A" w:rsidRPr="00552FB9" w:rsidP="005F0136">
      <w:pPr>
        <w:spacing w:after="120"/>
        <w:rPr>
          <w:rFonts w:asciiTheme="minorHAnsi" w:hAnsiTheme="minorHAnsi" w:cs="Andalus"/>
        </w:rPr>
      </w:pPr>
      <w:r w:rsidRPr="00552FB9">
        <w:rPr>
          <w:rFonts w:asciiTheme="minorHAnsi" w:hAnsiTheme="minorHAnsi" w:cs="Andalus"/>
        </w:rPr>
        <w:t>a následně jsem ověřil(a) existenci předmětné pohledávky, její výši a splatnost a identifikoval(a) jsem:</w:t>
      </w:r>
    </w:p>
    <w:p w:rsidR="009D252A" w:rsidRPr="00E62B4F" w:rsidP="005042E8">
      <w:pPr>
        <w:pStyle w:val="ListParagraph"/>
        <w:numPr>
          <w:ilvl w:val="0"/>
          <w:numId w:val="38"/>
        </w:numPr>
        <w:spacing w:after="0"/>
        <w:ind w:left="1066" w:hanging="357"/>
        <w:rPr>
          <w:rFonts w:cs="Andalus"/>
        </w:rPr>
      </w:pPr>
      <w:r w:rsidRPr="00E62B4F">
        <w:rPr>
          <w:rFonts w:asciiTheme="minorHAnsi" w:hAnsiTheme="minorHAnsi" w:cs="Andalus"/>
        </w:rPr>
        <w:t>následující</w:t>
      </w:r>
      <w:r w:rsidRPr="00E62B4F">
        <w:rPr>
          <w:rFonts w:cs="Andalus"/>
        </w:rPr>
        <w:t xml:space="preserve"> rizika:</w:t>
      </w:r>
    </w:p>
    <w:p w:rsidR="009D252A" w:rsidRPr="00E62B4F" w:rsidP="009D252A">
      <w:pPr>
        <w:pStyle w:val="ListParagraph"/>
        <w:spacing w:after="0"/>
        <w:ind w:left="1066"/>
        <w:rPr>
          <w:rFonts w:cs="Andalus"/>
        </w:rPr>
      </w:pPr>
      <w:r w:rsidRPr="00552FB9">
        <w:rPr>
          <w:rFonts w:cs="Andalus"/>
        </w:rPr>
        <w:t>……………………………………………………………………………………………….…………………………………………………………………………………………………….………………………………………………………………………………</w:t>
      </w:r>
    </w:p>
    <w:p w:rsidR="009D252A" w:rsidP="005042E8">
      <w:pPr>
        <w:pStyle w:val="ListParagraph"/>
        <w:numPr>
          <w:ilvl w:val="0"/>
          <w:numId w:val="38"/>
        </w:numPr>
        <w:spacing w:after="0"/>
        <w:ind w:left="1066" w:hanging="357"/>
        <w:rPr>
          <w:rFonts w:cs="Andalus"/>
        </w:rPr>
      </w:pPr>
      <w:r w:rsidRPr="00552FB9">
        <w:rPr>
          <w:rFonts w:cs="Andalus"/>
        </w:rPr>
        <w:t>následující nedostatky:</w:t>
      </w:r>
    </w:p>
    <w:p w:rsidR="009D252A" w:rsidP="009D252A">
      <w:pPr>
        <w:pStyle w:val="ListParagraph"/>
        <w:spacing w:after="0"/>
        <w:ind w:left="1066"/>
        <w:rPr>
          <w:rFonts w:cs="Andalus"/>
        </w:rPr>
      </w:pPr>
      <w:r w:rsidRPr="00552FB9">
        <w:rPr>
          <w:rFonts w:cs="Andalus"/>
        </w:rPr>
        <w:t>…………………………………………………………………………………………………….…………………………………………………………………………………………………….………………………………………………………………</w:t>
      </w:r>
      <w:r>
        <w:rPr>
          <w:rFonts w:cs="Andalus"/>
        </w:rPr>
        <w:t>…………</w:t>
      </w:r>
    </w:p>
    <w:p w:rsidR="009D252A" w:rsidRPr="00552FB9" w:rsidP="009D252A">
      <w:pPr>
        <w:spacing w:before="600" w:after="360"/>
        <w:rPr>
          <w:rFonts w:asciiTheme="minorHAnsi" w:hAnsiTheme="minorHAnsi" w:cs="Andalus"/>
        </w:rPr>
      </w:pPr>
      <w:r w:rsidRPr="00552FB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ověřovatel</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552FB9" w:rsidP="009D252A">
      <w:pPr>
        <w:spacing w:before="0" w:line="240" w:lineRule="auto"/>
        <w:jc w:val="right"/>
        <w:rPr>
          <w:rFonts w:asciiTheme="minorHAnsi" w:hAnsiTheme="minorHAnsi" w:cs="Andalus"/>
        </w:rPr>
      </w:pPr>
      <w:r>
        <w:rPr>
          <w:rFonts w:asciiTheme="minorHAnsi" w:hAnsiTheme="minorHAnsi" w:cs="Andalus"/>
        </w:rPr>
        <w:tab/>
      </w:r>
    </w:p>
    <w:p w:rsidR="009D252A" w:rsidP="009D252A">
      <w:pPr>
        <w:spacing w:before="600"/>
        <w:rPr>
          <w:rFonts w:asciiTheme="minorHAnsi" w:hAnsiTheme="minorHAnsi" w:cs="Andalus"/>
        </w:rPr>
      </w:pPr>
      <w:r w:rsidRPr="00552FB9">
        <w:rPr>
          <w:rFonts w:asciiTheme="minorHAnsi" w:hAnsiTheme="minorHAnsi" w:cs="Andalus"/>
        </w:rPr>
        <w:t xml:space="preserve">Jako </w:t>
      </w:r>
      <w:r w:rsidR="00B05BFD">
        <w:rPr>
          <w:rFonts w:asciiTheme="minorHAnsi" w:hAnsiTheme="minorHAnsi" w:cs="Andalus"/>
          <w:b/>
          <w:bCs/>
        </w:rPr>
        <w:t>příkazce operace</w:t>
      </w:r>
      <w:r w:rsidRPr="00552FB9">
        <w:rPr>
          <w:rFonts w:asciiTheme="minorHAnsi" w:hAnsiTheme="minorHAnsi" w:cs="Andalus"/>
        </w:rPr>
        <w:t xml:space="preserve"> stanovuji, že s výše nadepsanou pohledávkou bude naloženo takto:</w:t>
      </w:r>
    </w:p>
    <w:p w:rsidR="009D252A" w:rsidP="009D252A">
      <w:pPr>
        <w:spacing w:before="0"/>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P="009D252A">
      <w:pPr>
        <w:spacing w:before="0"/>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552FB9" w:rsidP="009D252A">
      <w:pPr>
        <w:spacing w:before="600"/>
        <w:rPr>
          <w:rFonts w:asciiTheme="minorHAnsi" w:hAnsiTheme="minorHAnsi" w:cs="Andalus"/>
        </w:rPr>
      </w:pPr>
      <w:r w:rsidRPr="00552FB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spacing w:before="0" w:line="240" w:lineRule="auto"/>
        <w:jc w:val="left"/>
        <w:rPr>
          <w:lang w:eastAsia="cs-CZ"/>
        </w:rPr>
      </w:pPr>
    </w:p>
    <w:p w:rsidR="009D252A" w:rsidP="009D252A">
      <w:pPr>
        <w:spacing w:before="0" w:line="240" w:lineRule="auto"/>
        <w:jc w:val="left"/>
        <w:rPr>
          <w:lang w:eastAsia="cs-CZ"/>
        </w:rPr>
        <w:sectPr w:rsidSect="009D252A">
          <w:headerReference w:type="default" r:id="rId14"/>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Identifikace výdajové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Předmět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Výše</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Druhá strana</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Splatnost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F20C26">
      <w:pPr>
        <w:spacing w:before="240"/>
        <w:rPr>
          <w:rFonts w:asciiTheme="minorHAnsi" w:hAnsiTheme="minorHAnsi" w:cs="Andalus"/>
        </w:rPr>
      </w:pPr>
      <w:r w:rsidRPr="00F55159">
        <w:rPr>
          <w:rFonts w:asciiTheme="minorHAnsi" w:hAnsiTheme="minorHAnsi"/>
        </w:rPr>
        <w:t xml:space="preserve">Jako </w:t>
      </w:r>
      <w:r w:rsidRPr="00F55159">
        <w:rPr>
          <w:rFonts w:asciiTheme="minorHAnsi" w:hAnsiTheme="minorHAnsi"/>
          <w:b/>
        </w:rPr>
        <w:t xml:space="preserve">správce rozpočtu </w:t>
      </w:r>
      <w:r w:rsidRPr="00F55159">
        <w:rPr>
          <w:rFonts w:asciiTheme="minorHAnsi" w:hAnsiTheme="minorHAnsi" w:cs="Andalus"/>
        </w:rPr>
        <w:t>v rámci</w:t>
      </w:r>
      <w:r w:rsidRPr="00F55159">
        <w:rPr>
          <w:rFonts w:asciiTheme="minorHAnsi" w:hAnsiTheme="minorHAnsi"/>
        </w:rPr>
        <w:t xml:space="preserve"> </w:t>
      </w:r>
      <w:r w:rsidRPr="00F55159">
        <w:rPr>
          <w:rFonts w:asciiTheme="minorHAnsi" w:hAnsiTheme="minorHAnsi" w:cs="Andalus"/>
        </w:rPr>
        <w:t>předběžné řídicí kontroly před schválením výdajové operace jsem v souladu s</w:t>
      </w:r>
      <w:r w:rsidR="00D92743">
        <w:rPr>
          <w:rFonts w:asciiTheme="minorHAnsi" w:hAnsiTheme="minorHAnsi" w:cs="Andalus"/>
        </w:rPr>
        <w:t> </w:t>
      </w:r>
      <w:r w:rsidRPr="00F55159">
        <w:rPr>
          <w:rFonts w:asciiTheme="minorHAnsi" w:hAnsiTheme="minorHAnsi" w:cs="Andalus"/>
        </w:rPr>
        <w:t>čl.</w:t>
      </w:r>
      <w:r w:rsidR="00D92743">
        <w:rPr>
          <w:rFonts w:asciiTheme="minorHAnsi" w:hAnsiTheme="minorHAnsi" w:cs="Andalus"/>
        </w:rPr>
        <w:t> </w:t>
      </w:r>
      <w:r w:rsidRPr="00F55159">
        <w:rPr>
          <w:rFonts w:asciiTheme="minorHAnsi" w:hAnsiTheme="minorHAnsi" w:cs="Andalus"/>
        </w:rPr>
        <w:t>VII odst. 2 směrnice č. …/… o řízení a</w:t>
      </w:r>
      <w:r>
        <w:rPr>
          <w:rFonts w:asciiTheme="minorHAnsi" w:hAnsiTheme="minorHAnsi" w:cs="Andalus"/>
        </w:rPr>
        <w:t> </w:t>
      </w:r>
      <w:r w:rsidRPr="00F55159">
        <w:rPr>
          <w:rFonts w:asciiTheme="minorHAnsi" w:hAnsiTheme="minorHAnsi" w:cs="Andalus"/>
        </w:rPr>
        <w:t>kontrole veřejných financí u výše nadepsané výdajové operace ověřil(a), že</w:t>
      </w:r>
      <w:r>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744712735"/>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F55159">
        <w:rPr>
          <w:rFonts w:asciiTheme="minorHAnsi" w:hAnsiTheme="minorHAnsi" w:cs="Andalus"/>
        </w:rPr>
        <w:t xml:space="preserve">v souladu </w:t>
      </w:r>
      <w:r w:rsidRPr="00F55159">
        <w:rPr>
          <w:rFonts w:asciiTheme="minorHAnsi" w:hAnsiTheme="minorHAnsi"/>
        </w:rPr>
        <w:t xml:space="preserve">se schváleným rozpočtem </w:t>
      </w:r>
      <w:r w:rsidR="001976F6">
        <w:rPr>
          <w:rFonts w:asciiTheme="minorHAnsi" w:hAnsiTheme="minorHAnsi" w:cstheme="minorHAnsi"/>
          <w:lang w:eastAsia="cs-CZ"/>
        </w:rPr>
        <w:t>orgánu veřejné správy</w:t>
      </w:r>
      <w:r w:rsidRPr="00F55159">
        <w:rPr>
          <w:rFonts w:asciiTheme="minorHAnsi" w:hAnsiTheme="minorHAnsi"/>
        </w:rPr>
        <w:t>, programy, projekty, uzavřenými smlouvami nebo rozhodnutími o nakládání s veřejnými prostředky,</w:t>
      </w:r>
    </w:p>
    <w:p w:rsidR="009D252A" w:rsidP="009D252A">
      <w:pPr>
        <w:spacing w:before="0"/>
        <w:ind w:left="708"/>
        <w:rPr>
          <w:rFonts w:asciiTheme="minorHAnsi" w:hAnsiTheme="minorHAnsi"/>
        </w:rPr>
      </w:pPr>
      <w:sdt>
        <w:sdtPr>
          <w:rPr>
            <w:rFonts w:asciiTheme="minorHAnsi" w:hAnsiTheme="minorHAnsi" w:cs="Andalus"/>
          </w:rPr>
          <w:id w:val="-705955101"/>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F55159">
        <w:rPr>
          <w:rFonts w:asciiTheme="minorHAnsi" w:hAnsiTheme="minorHAnsi"/>
        </w:rPr>
        <w:t>v </w:t>
      </w:r>
      <w:r w:rsidRPr="0071044F">
        <w:rPr>
          <w:rFonts w:asciiTheme="minorHAnsi" w:hAnsiTheme="minorHAnsi" w:cs="Andalus"/>
        </w:rPr>
        <w:t>souladu</w:t>
      </w:r>
      <w:r w:rsidRPr="00F55159">
        <w:rPr>
          <w:rFonts w:asciiTheme="minorHAnsi" w:hAnsiTheme="minorHAnsi"/>
        </w:rPr>
        <w:t xml:space="preserve"> s pravidly pro financování činnosti</w:t>
      </w:r>
      <w:r w:rsidRPr="001976F6" w:rsidR="001976F6">
        <w:rPr>
          <w:rFonts w:asciiTheme="minorHAnsi" w:hAnsiTheme="minorHAnsi" w:cstheme="minorHAnsi"/>
          <w:lang w:eastAsia="cs-CZ"/>
        </w:rPr>
        <w:t xml:space="preserve"> </w:t>
      </w:r>
      <w:r w:rsidR="001976F6">
        <w:rPr>
          <w:rFonts w:asciiTheme="minorHAnsi" w:hAnsiTheme="minorHAnsi" w:cstheme="minorHAnsi"/>
          <w:lang w:eastAsia="cs-CZ"/>
        </w:rPr>
        <w:t>orgánu veřejné správy a</w:t>
      </w:r>
    </w:p>
    <w:p w:rsidR="009D252A" w:rsidRPr="0020237C" w:rsidP="005F0136">
      <w:pPr>
        <w:rPr>
          <w:rFonts w:asciiTheme="minorHAnsi" w:hAnsiTheme="minorHAnsi"/>
        </w:rPr>
      </w:pPr>
      <w:r w:rsidRPr="0020237C">
        <w:rPr>
          <w:rFonts w:asciiTheme="minorHAnsi" w:hAnsiTheme="minorHAnsi"/>
        </w:rPr>
        <w:t>identifikoval(a)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sidRPr="00F55159">
        <w:rPr>
          <w:rFonts w:asciiTheme="minorHAnsi" w:hAnsiTheme="minorHAnsi" w:cs="Andalus"/>
        </w:rPr>
        <w:t>Na základě výše uvedeného ověření stanovuji následující podmínky provedení výdajové operace:</w:t>
      </w:r>
    </w:p>
    <w:p w:rsidR="009D252A" w:rsidRPr="00F5515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F55159" w:rsidP="00F20C26">
      <w:pPr>
        <w:spacing w:after="24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správce rozpočtu</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F20C2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F55159">
        <w:rPr>
          <w:rFonts w:asciiTheme="minorHAnsi" w:hAnsiTheme="minorHAnsi" w:cs="Andalus"/>
        </w:rPr>
        <w:t>v rámci předběžné řídicí kontroly před schválením výdajové operace jsem v souladu s</w:t>
      </w:r>
      <w:r w:rsidR="00D92743">
        <w:rPr>
          <w:rFonts w:asciiTheme="minorHAnsi" w:hAnsiTheme="minorHAnsi" w:cs="Andalus"/>
        </w:rPr>
        <w:t> </w:t>
      </w:r>
      <w:r w:rsidRPr="00F55159">
        <w:rPr>
          <w:rFonts w:asciiTheme="minorHAnsi" w:hAnsiTheme="minorHAnsi" w:cs="Andalus"/>
        </w:rPr>
        <w:t>čl.</w:t>
      </w:r>
      <w:r w:rsidR="00D92743">
        <w:rPr>
          <w:rFonts w:asciiTheme="minorHAnsi" w:hAnsiTheme="minorHAnsi" w:cs="Andalus"/>
        </w:rPr>
        <w:t> </w:t>
      </w:r>
      <w:r w:rsidRPr="00F55159">
        <w:rPr>
          <w:rFonts w:asciiTheme="minorHAnsi" w:hAnsiTheme="minorHAnsi" w:cs="Andalus"/>
        </w:rPr>
        <w:t>VII odst. 6 směrnice č. …/… o řízení a</w:t>
      </w:r>
      <w:r>
        <w:rPr>
          <w:rFonts w:asciiTheme="minorHAnsi" w:hAnsiTheme="minorHAnsi" w:cs="Andalus"/>
        </w:rPr>
        <w:t> </w:t>
      </w:r>
      <w:r w:rsidRPr="00F55159">
        <w:rPr>
          <w:rFonts w:asciiTheme="minorHAnsi" w:hAnsiTheme="minorHAnsi" w:cs="Andalus"/>
        </w:rPr>
        <w:t>kontrole veřejných financí u výše nadepsané výdajové operace ověřil(a):</w:t>
      </w:r>
    </w:p>
    <w:p w:rsidR="009D252A" w:rsidRPr="000072A7" w:rsidP="009D252A">
      <w:pPr>
        <w:spacing w:before="0"/>
        <w:ind w:left="708"/>
        <w:rPr>
          <w:rFonts w:asciiTheme="minorHAnsi" w:hAnsiTheme="minorHAnsi" w:cs="Andalus"/>
        </w:rPr>
      </w:pPr>
      <w:sdt>
        <w:sdtPr>
          <w:rPr>
            <w:rFonts w:asciiTheme="minorHAnsi" w:hAnsiTheme="minorHAnsi" w:cs="Andalus"/>
          </w:rPr>
          <w:id w:val="127953583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F55159">
        <w:rPr>
          <w:rFonts w:asciiTheme="minorHAnsi" w:hAnsiTheme="minorHAnsi"/>
        </w:rPr>
        <w:t>soulad s </w:t>
      </w:r>
      <w:r w:rsidRPr="000072A7">
        <w:rPr>
          <w:rFonts w:asciiTheme="minorHAnsi" w:hAnsiTheme="minorHAnsi" w:cs="Andalus"/>
        </w:rPr>
        <w:t>právními předpisy,</w:t>
      </w:r>
    </w:p>
    <w:p w:rsidR="009D252A" w:rsidRPr="000072A7" w:rsidP="009D252A">
      <w:pPr>
        <w:spacing w:before="0"/>
        <w:ind w:left="708"/>
        <w:rPr>
          <w:rFonts w:asciiTheme="minorHAnsi" w:hAnsiTheme="minorHAnsi" w:cs="Andalus"/>
        </w:rPr>
      </w:pPr>
      <w:sdt>
        <w:sdtPr>
          <w:rPr>
            <w:rFonts w:asciiTheme="minorHAnsi" w:hAnsiTheme="minorHAnsi" w:cs="Andalus"/>
          </w:rPr>
          <w:id w:val="-201745059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 xml:space="preserve">nezbytnost k zajištění úkolů, záměrů a cílů </w:t>
      </w:r>
      <w:r w:rsidR="000A2122">
        <w:rPr>
          <w:rFonts w:asciiTheme="minorHAnsi" w:hAnsiTheme="minorHAnsi" w:cstheme="minorHAnsi"/>
          <w:lang w:eastAsia="cs-CZ"/>
        </w:rPr>
        <w:t>orgánu veřejné správy,</w:t>
      </w:r>
    </w:p>
    <w:p w:rsidR="009D252A" w:rsidRPr="00F55159" w:rsidP="009D252A">
      <w:pPr>
        <w:spacing w:before="0"/>
        <w:ind w:left="708"/>
        <w:rPr>
          <w:rFonts w:asciiTheme="minorHAnsi" w:hAnsiTheme="minorHAnsi" w:cs="Andalus"/>
        </w:rPr>
      </w:pPr>
      <w:sdt>
        <w:sdtPr>
          <w:rPr>
            <w:rFonts w:asciiTheme="minorHAnsi" w:hAnsiTheme="minorHAnsi" w:cs="Andalus"/>
          </w:rPr>
          <w:id w:val="-1335447931"/>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soulad se zásadou řádného finančního řízení,</w:t>
      </w:r>
    </w:p>
    <w:p w:rsidR="009D252A" w:rsidRPr="000072A7" w:rsidP="009D252A">
      <w:pPr>
        <w:spacing w:before="0"/>
        <w:ind w:left="708"/>
        <w:rPr>
          <w:rFonts w:asciiTheme="minorHAnsi" w:hAnsiTheme="minorHAnsi" w:cs="Andalus"/>
        </w:rPr>
      </w:pPr>
      <w:sdt>
        <w:sdtPr>
          <w:rPr>
            <w:rFonts w:asciiTheme="minorHAnsi" w:hAnsiTheme="minorHAnsi" w:cs="Andalus"/>
          </w:rPr>
          <w:id w:val="-1903427355"/>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 xml:space="preserve">soulad se schváleným rozpočtem, programy, projekty, uzavřenými smlouvami </w:t>
      </w:r>
      <w:r w:rsidR="00551EBA">
        <w:rPr>
          <w:rFonts w:asciiTheme="minorHAnsi" w:hAnsiTheme="minorHAnsi" w:cs="Andalus"/>
        </w:rPr>
        <w:t xml:space="preserve">nebo </w:t>
      </w:r>
      <w:r w:rsidRPr="000072A7">
        <w:rPr>
          <w:rFonts w:asciiTheme="minorHAnsi" w:hAnsiTheme="minorHAnsi" w:cs="Andalus"/>
        </w:rPr>
        <w:t>rozhodnutími o</w:t>
      </w:r>
      <w:r>
        <w:rPr>
          <w:rFonts w:asciiTheme="minorHAnsi" w:hAnsiTheme="minorHAnsi" w:cs="Andalus"/>
        </w:rPr>
        <w:t> </w:t>
      </w:r>
      <w:r w:rsidRPr="000072A7">
        <w:rPr>
          <w:rFonts w:asciiTheme="minorHAnsi" w:hAnsiTheme="minorHAnsi" w:cs="Andalus"/>
        </w:rPr>
        <w:t>nakládání s veřejnými prostředky,</w:t>
      </w:r>
    </w:p>
    <w:p w:rsidR="009D252A" w:rsidRPr="000072A7" w:rsidP="009D252A">
      <w:pPr>
        <w:spacing w:before="0"/>
        <w:ind w:left="708"/>
        <w:rPr>
          <w:rFonts w:asciiTheme="minorHAnsi" w:hAnsiTheme="minorHAnsi" w:cs="Andalus"/>
        </w:rPr>
      </w:pPr>
      <w:sdt>
        <w:sdtPr>
          <w:rPr>
            <w:rFonts w:asciiTheme="minorHAnsi" w:hAnsiTheme="minorHAnsi" w:cs="Andalus"/>
          </w:rPr>
          <w:id w:val="-172798463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 xml:space="preserve">soulad s pravidly pro financování činnosti </w:t>
      </w:r>
      <w:r w:rsidR="000A2122">
        <w:rPr>
          <w:rFonts w:asciiTheme="minorHAnsi" w:hAnsiTheme="minorHAnsi" w:cstheme="minorHAnsi"/>
          <w:lang w:eastAsia="cs-CZ"/>
        </w:rPr>
        <w:t>orgánu veřejné správy</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209396949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F55159">
        <w:rPr>
          <w:rFonts w:asciiTheme="minorHAnsi" w:hAnsiTheme="minorHAnsi" w:cs="Andalus"/>
        </w:rPr>
        <w:t>doložení správnými a úplnými podklady</w:t>
      </w:r>
      <w:r>
        <w:rPr>
          <w:rFonts w:asciiTheme="minorHAnsi" w:hAnsiTheme="minorHAnsi" w:cs="Andalus"/>
        </w:rPr>
        <w:t xml:space="preserve"> </w:t>
      </w:r>
      <w:r w:rsidRPr="00F55159">
        <w:rPr>
          <w:rFonts w:asciiTheme="minorHAnsi" w:hAnsiTheme="minorHAnsi" w:cs="Andalus"/>
        </w:rPr>
        <w:t>a</w:t>
      </w:r>
    </w:p>
    <w:p w:rsidR="009D252A" w:rsidRPr="0020237C" w:rsidP="005F0136">
      <w:pPr>
        <w:rPr>
          <w:rFonts w:asciiTheme="minorHAnsi" w:hAnsiTheme="minorHAnsi"/>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D92743">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304B23">
        <w:rPr>
          <w:rFonts w:asciiTheme="minorHAnsi" w:hAnsiTheme="minorHAnsi" w:cs="Andalus"/>
        </w:rPr>
        <w:t>výše nadepsanou výdajovou operaci</w:t>
      </w:r>
      <w:r w:rsidRPr="00F55159">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rPr>
          <w:lang w:eastAsia="cs-CZ"/>
        </w:rPr>
        <w:sectPr w:rsidSect="009D252A">
          <w:headerReference w:type="default" r:id="rId15"/>
          <w:pgSz w:w="11906" w:h="16838"/>
          <w:pgMar w:top="1418" w:right="1418" w:bottom="993" w:left="1418" w:header="709" w:footer="709" w:gutter="0"/>
          <w:cols w:space="708"/>
          <w:docGrid w:linePitch="360"/>
        </w:sectPr>
      </w:pPr>
    </w:p>
    <w:p w:rsidR="009D252A" w:rsidP="009D252A">
      <w:pPr>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9D252A"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schválením výdajové operace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9D252A"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9D252A" w:rsidRPr="009A127C" w:rsidP="00976C2B">
            <w:pPr>
              <w:spacing w:after="120"/>
              <w:rPr>
                <w:rFonts w:cs="Times New Roman"/>
                <w:color w:val="000000"/>
                <w:lang w:eastAsia="cs-CZ"/>
              </w:rPr>
            </w:pPr>
            <w:r>
              <w:rPr>
                <w:rFonts w:cs="Times New Roman"/>
                <w:color w:val="000000"/>
                <w:lang w:eastAsia="cs-CZ"/>
              </w:rPr>
              <w:t>správce rozpočtu</w:t>
            </w:r>
          </w:p>
        </w:tc>
        <w:tc>
          <w:tcPr>
            <w:tcW w:w="1701"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9D252A"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9D252A" w:rsidRPr="009A127C" w:rsidP="00976C2B">
            <w:pPr>
              <w:spacing w:after="120"/>
              <w:rPr>
                <w:rFonts w:cs="Times New Roman"/>
                <w:color w:val="000000"/>
                <w:lang w:eastAsia="cs-CZ"/>
              </w:rPr>
            </w:pPr>
            <w:r w:rsidRPr="009A127C">
              <w:rPr>
                <w:rFonts w:cs="Times New Roman"/>
                <w:color w:val="000000"/>
                <w:lang w:eastAsia="cs-CZ"/>
              </w:rPr>
              <w:t>příkazce operace</w:t>
            </w:r>
          </w:p>
        </w:tc>
        <w:tc>
          <w:tcPr>
            <w:tcW w:w="1701"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9D252A" w:rsidRPr="009A127C" w:rsidP="00976C2B">
            <w:pPr>
              <w:spacing w:after="120"/>
              <w:rPr>
                <w:rFonts w:cs="Times New Roman"/>
                <w:color w:val="000000"/>
                <w:lang w:eastAsia="cs-CZ"/>
              </w:rPr>
            </w:pPr>
          </w:p>
        </w:tc>
      </w:tr>
    </w:tbl>
    <w:p w:rsidR="009D252A" w:rsidP="009D252A">
      <w:pPr>
        <w:rPr>
          <w:lang w:eastAsia="cs-CZ"/>
        </w:rPr>
      </w:pPr>
    </w:p>
    <w:p w:rsidR="009D252A" w:rsidP="009D252A">
      <w:pPr>
        <w:rPr>
          <w:lang w:eastAsia="cs-CZ"/>
        </w:rPr>
        <w:sectPr w:rsidSect="009D252A">
          <w:headerReference w:type="default" r:id="rId16"/>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Identifikace výdajov</w:t>
      </w:r>
      <w:r>
        <w:rPr>
          <w:rFonts w:asciiTheme="minorHAnsi" w:hAnsiTheme="minorHAnsi" w:cs="Andalus"/>
          <w:b/>
          <w:bCs/>
        </w:rPr>
        <w:t>ých</w:t>
      </w:r>
      <w:r w:rsidRPr="0077182A">
        <w:rPr>
          <w:rFonts w:asciiTheme="minorHAnsi" w:hAnsiTheme="minorHAnsi" w:cs="Andalus"/>
          <w:b/>
          <w:bCs/>
        </w:rPr>
        <w:t xml:space="preserve"> operac</w:t>
      </w:r>
      <w:r>
        <w:rPr>
          <w:rFonts w:asciiTheme="minorHAnsi" w:hAnsiTheme="minorHAnsi" w:cs="Andalus"/>
          <w:b/>
          <w:bCs/>
        </w:rPr>
        <w:t>í</w:t>
      </w:r>
      <w:r w:rsidRPr="0077182A">
        <w:rPr>
          <w:rFonts w:asciiTheme="minorHAnsi" w:hAnsiTheme="minorHAnsi" w:cs="Andalus"/>
          <w:b/>
          <w:bCs/>
        </w:rPr>
        <w:t>:</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Osoba oprávněná nakládat s veřejnými prostředky</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Předmět výdajů</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Limit výdajů</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Období, ve kterém můžou být výdaje realizovány</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9D252A">
      <w:pPr>
        <w:spacing w:before="360"/>
        <w:rPr>
          <w:rFonts w:asciiTheme="minorHAnsi" w:hAnsiTheme="minorHAnsi" w:cs="Andalus"/>
        </w:rPr>
      </w:pPr>
      <w:r w:rsidRPr="00F55159">
        <w:rPr>
          <w:rFonts w:asciiTheme="minorHAnsi" w:hAnsiTheme="minorHAnsi"/>
        </w:rPr>
        <w:t xml:space="preserve">Jako </w:t>
      </w:r>
      <w:r w:rsidRPr="00F55159">
        <w:rPr>
          <w:rFonts w:asciiTheme="minorHAnsi" w:hAnsiTheme="minorHAnsi"/>
          <w:b/>
        </w:rPr>
        <w:t xml:space="preserve">správce rozpočtu </w:t>
      </w:r>
      <w:r w:rsidRPr="000458F9">
        <w:rPr>
          <w:rFonts w:asciiTheme="minorHAnsi" w:hAnsiTheme="minorHAnsi" w:cs="Andalus"/>
        </w:rPr>
        <w:t>v rámci předběžné řídicí kontroly před schválením výdajové operace jsem v souladu s</w:t>
      </w:r>
      <w:r w:rsidR="00D92743">
        <w:rPr>
          <w:rFonts w:asciiTheme="minorHAnsi" w:hAnsiTheme="minorHAnsi" w:cs="Andalus"/>
        </w:rPr>
        <w:t> </w:t>
      </w:r>
      <w:r w:rsidRPr="000458F9">
        <w:rPr>
          <w:rFonts w:asciiTheme="minorHAnsi" w:hAnsiTheme="minorHAnsi" w:cs="Andalus"/>
        </w:rPr>
        <w:t>čl.</w:t>
      </w:r>
      <w:r w:rsidR="00D92743">
        <w:rPr>
          <w:rFonts w:asciiTheme="minorHAnsi" w:hAnsiTheme="minorHAnsi" w:cs="Andalus"/>
        </w:rPr>
        <w:t> </w:t>
      </w:r>
      <w:r w:rsidRPr="000458F9">
        <w:rPr>
          <w:rFonts w:asciiTheme="minorHAnsi" w:hAnsiTheme="minorHAnsi" w:cs="Andalus"/>
        </w:rPr>
        <w:t>VII odst. 2 směrnice č. …/… o řízení a kontrole veřejných financí u výše nadepsaných výdajových operací ověřil(a), že</w:t>
      </w:r>
      <w:r>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41589780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jsou </w:t>
      </w:r>
      <w:r w:rsidRPr="000458F9">
        <w:rPr>
          <w:rFonts w:asciiTheme="minorHAnsi" w:hAnsiTheme="minorHAnsi" w:cs="Andalus"/>
        </w:rPr>
        <w:t xml:space="preserve">v souladu se schváleným rozpočtem </w:t>
      </w:r>
      <w:r w:rsidR="002E49D6">
        <w:rPr>
          <w:rFonts w:asciiTheme="minorHAnsi" w:hAnsiTheme="minorHAnsi" w:cstheme="minorHAnsi"/>
          <w:lang w:eastAsia="cs-CZ"/>
        </w:rPr>
        <w:t>orgánu veřejné správy</w:t>
      </w:r>
      <w:r w:rsidRPr="000458F9">
        <w:rPr>
          <w:rFonts w:asciiTheme="minorHAnsi" w:hAnsiTheme="minorHAnsi" w:cs="Andalus"/>
        </w:rPr>
        <w:t>, programy, projekty, uzavřenými smlouvami nebo rozhodnutími o nakládání s veřejnými prostředky</w:t>
      </w:r>
      <w:r w:rsidRPr="00F55159">
        <w:rPr>
          <w:rFonts w:asciiTheme="minorHAnsi" w:hAnsiTheme="minorHAnsi"/>
        </w:rPr>
        <w:t>,</w:t>
      </w:r>
    </w:p>
    <w:p w:rsidR="009D252A" w:rsidP="009D252A">
      <w:pPr>
        <w:spacing w:before="0"/>
        <w:ind w:left="708"/>
        <w:rPr>
          <w:rFonts w:asciiTheme="minorHAnsi" w:hAnsiTheme="minorHAnsi"/>
        </w:rPr>
      </w:pPr>
      <w:sdt>
        <w:sdtPr>
          <w:rPr>
            <w:rFonts w:asciiTheme="minorHAnsi" w:hAnsiTheme="minorHAnsi" w:cs="Andalus"/>
          </w:rPr>
          <w:id w:val="162673915"/>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jsou </w:t>
      </w:r>
      <w:r w:rsidRPr="000458F9">
        <w:rPr>
          <w:rFonts w:asciiTheme="minorHAnsi" w:hAnsiTheme="minorHAnsi"/>
        </w:rPr>
        <w:t xml:space="preserve">v souladu s pravidly pro financování činnosti </w:t>
      </w:r>
      <w:r w:rsidR="002E49D6">
        <w:rPr>
          <w:rFonts w:asciiTheme="minorHAnsi" w:hAnsiTheme="minorHAnsi" w:cstheme="minorHAnsi"/>
          <w:lang w:eastAsia="cs-CZ"/>
        </w:rPr>
        <w:t>orgánu veřejné správy</w:t>
      </w:r>
      <w:r>
        <w:rPr>
          <w:rFonts w:asciiTheme="minorHAnsi" w:hAnsiTheme="minorHAnsi"/>
        </w:rPr>
        <w:t xml:space="preserve"> a</w:t>
      </w:r>
    </w:p>
    <w:p w:rsidR="009D252A" w:rsidRPr="0020237C" w:rsidP="005F0136">
      <w:pPr>
        <w:rPr>
          <w:rFonts w:asciiTheme="minorHAnsi" w:hAnsiTheme="minorHAnsi"/>
        </w:rPr>
      </w:pPr>
      <w:r w:rsidRPr="0020237C">
        <w:rPr>
          <w:rFonts w:asciiTheme="minorHAnsi" w:hAnsiTheme="minorHAnsi"/>
        </w:rPr>
        <w:t>identifikoval(a)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sidRPr="000458F9">
        <w:rPr>
          <w:rFonts w:asciiTheme="minorHAnsi" w:hAnsiTheme="minorHAnsi" w:cs="Andalus"/>
        </w:rPr>
        <w:t>Na základě výše uvedeného ověření stanovuji následující podmínky provedení výdajových operací</w:t>
      </w:r>
      <w:r w:rsidRPr="00F55159">
        <w:rPr>
          <w:rFonts w:asciiTheme="minorHAnsi" w:hAnsiTheme="minorHAnsi" w:cs="Andalus"/>
        </w:rPr>
        <w:t>:</w:t>
      </w:r>
    </w:p>
    <w:p w:rsidR="009D252A" w:rsidRPr="00F5515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správce rozpočtu</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F20C2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BF44B0">
        <w:rPr>
          <w:rFonts w:asciiTheme="minorHAnsi" w:hAnsiTheme="minorHAnsi" w:cs="Andalus"/>
        </w:rPr>
        <w:t>v rámci předběžné řídicí kontroly před schválením výdajové operace jsem v souladu s čl.</w:t>
      </w:r>
      <w:r w:rsidR="00D92743">
        <w:rPr>
          <w:rFonts w:asciiTheme="minorHAnsi" w:hAnsiTheme="minorHAnsi" w:cs="Andalus"/>
        </w:rPr>
        <w:t> </w:t>
      </w:r>
      <w:r w:rsidRPr="00BF44B0">
        <w:rPr>
          <w:rFonts w:asciiTheme="minorHAnsi" w:hAnsiTheme="minorHAnsi" w:cs="Andalus"/>
        </w:rPr>
        <w:t>VII odst. 6 směrnice č. …/… o řízení a</w:t>
      </w:r>
      <w:r>
        <w:rPr>
          <w:rFonts w:asciiTheme="minorHAnsi" w:hAnsiTheme="minorHAnsi" w:cs="Andalus"/>
        </w:rPr>
        <w:t> </w:t>
      </w:r>
      <w:r w:rsidRPr="00BF44B0">
        <w:rPr>
          <w:rFonts w:asciiTheme="minorHAnsi" w:hAnsiTheme="minorHAnsi" w:cs="Andalus"/>
        </w:rPr>
        <w:t>kontrole veřejných financí u výše nadepsaných výdajových operací ověřil(a),</w:t>
      </w:r>
      <w:r>
        <w:rPr>
          <w:rFonts w:asciiTheme="minorHAnsi" w:hAnsiTheme="minorHAnsi" w:cs="Andalus"/>
        </w:rPr>
        <w:t xml:space="preserve"> </w:t>
      </w:r>
      <w:r w:rsidRPr="00BF44B0">
        <w:rPr>
          <w:rFonts w:asciiTheme="minorHAnsi" w:hAnsiTheme="minorHAnsi" w:cs="Andalus"/>
        </w:rPr>
        <w:t>že</w:t>
      </w:r>
      <w:r w:rsidRPr="00F55159">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04551830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C52F47">
        <w:rPr>
          <w:rFonts w:asciiTheme="minorHAnsi" w:hAnsiTheme="minorHAnsi"/>
        </w:rPr>
        <w:t xml:space="preserve">slouží k zajištění provozních potřeb, které vyplývají z běžné činnosti </w:t>
      </w:r>
      <w:r w:rsidR="00D825AE">
        <w:rPr>
          <w:rFonts w:asciiTheme="minorHAnsi" w:hAnsiTheme="minorHAnsi" w:cstheme="minorHAnsi"/>
          <w:lang w:eastAsia="cs-CZ"/>
        </w:rPr>
        <w:t>orgánu veřejné správy</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21939500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 xml:space="preserve">je účelné je pro zajištění potřeb </w:t>
      </w:r>
      <w:r w:rsidR="00D825AE">
        <w:rPr>
          <w:rFonts w:asciiTheme="minorHAnsi" w:hAnsiTheme="minorHAnsi" w:cstheme="minorHAnsi"/>
          <w:lang w:eastAsia="cs-CZ"/>
        </w:rPr>
        <w:t>orgánu veřejné správy</w:t>
      </w:r>
      <w:r w:rsidRPr="00C52F47">
        <w:rPr>
          <w:rFonts w:asciiTheme="minorHAnsi" w:hAnsiTheme="minorHAnsi" w:cs="Andalus"/>
        </w:rPr>
        <w:t xml:space="preserve"> schválit souhrnně</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78209556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jsou v souladu s právními předpisy</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1869722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 xml:space="preserve">jsou nezbytné k zajištění úkolů, záměrů a cílů </w:t>
      </w:r>
      <w:r w:rsidR="00D825AE">
        <w:rPr>
          <w:rFonts w:asciiTheme="minorHAnsi" w:hAnsiTheme="minorHAnsi" w:cstheme="minorHAnsi"/>
          <w:lang w:eastAsia="cs-CZ"/>
        </w:rPr>
        <w:t>orgánu veřejné správy</w:t>
      </w:r>
      <w:r w:rsidRPr="000072A7">
        <w:rPr>
          <w:rFonts w:asciiTheme="minorHAnsi" w:hAnsiTheme="minorHAnsi" w:cs="Andalus"/>
        </w:rPr>
        <w:t>,</w:t>
      </w:r>
    </w:p>
    <w:p w:rsidR="009D252A" w:rsidP="009D252A">
      <w:pPr>
        <w:spacing w:before="0"/>
        <w:ind w:left="708"/>
        <w:rPr>
          <w:rFonts w:asciiTheme="minorHAnsi" w:hAnsiTheme="minorHAnsi" w:cs="Andalus"/>
        </w:rPr>
      </w:pPr>
      <w:sdt>
        <w:sdtPr>
          <w:rPr>
            <w:rFonts w:asciiTheme="minorHAnsi" w:hAnsiTheme="minorHAnsi" w:cs="Andalus"/>
          </w:rPr>
          <w:id w:val="77112706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BF44B0">
        <w:rPr>
          <w:rFonts w:asciiTheme="minorHAnsi" w:hAnsiTheme="minorHAnsi"/>
        </w:rPr>
        <w:t>jsou v souladu se zásadou řádného finančního řízení,</w:t>
      </w:r>
    </w:p>
    <w:p w:rsidR="009D252A" w:rsidP="009D252A">
      <w:pPr>
        <w:spacing w:before="0"/>
        <w:ind w:left="708"/>
        <w:rPr>
          <w:rFonts w:asciiTheme="minorHAnsi" w:hAnsiTheme="minorHAnsi" w:cs="Andalus"/>
        </w:rPr>
      </w:pPr>
      <w:sdt>
        <w:sdtPr>
          <w:rPr>
            <w:rFonts w:asciiTheme="minorHAnsi" w:hAnsiTheme="minorHAnsi" w:cs="Andalus"/>
          </w:rPr>
          <w:id w:val="46957043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BF44B0">
        <w:rPr>
          <w:rFonts w:asciiTheme="minorHAnsi" w:hAnsiTheme="minorHAnsi" w:cs="Andalus"/>
        </w:rPr>
        <w:t xml:space="preserve">jsou v </w:t>
      </w:r>
      <w:r w:rsidRPr="00BF44B0">
        <w:rPr>
          <w:rFonts w:asciiTheme="minorHAnsi" w:hAnsiTheme="minorHAnsi"/>
        </w:rPr>
        <w:t xml:space="preserve">souladu se schváleným rozpočtem, programy, projekty, uzavřenými smlouvami </w:t>
      </w:r>
      <w:r w:rsidR="00551EBA">
        <w:rPr>
          <w:rFonts w:asciiTheme="minorHAnsi" w:hAnsiTheme="minorHAnsi"/>
        </w:rPr>
        <w:t xml:space="preserve">nebo </w:t>
      </w:r>
      <w:r w:rsidRPr="00BF44B0">
        <w:rPr>
          <w:rFonts w:asciiTheme="minorHAnsi" w:hAnsiTheme="minorHAnsi"/>
        </w:rPr>
        <w:t>rozhodnutími o nakládání s veřejnými prostředky,</w:t>
      </w:r>
    </w:p>
    <w:p w:rsidR="009D252A" w:rsidP="009D252A">
      <w:pPr>
        <w:spacing w:before="0"/>
        <w:ind w:left="708"/>
        <w:rPr>
          <w:rFonts w:asciiTheme="minorHAnsi" w:hAnsiTheme="minorHAnsi" w:cs="Andalus"/>
        </w:rPr>
      </w:pPr>
      <w:sdt>
        <w:sdtPr>
          <w:rPr>
            <w:rFonts w:asciiTheme="minorHAnsi" w:hAnsiTheme="minorHAnsi" w:cs="Andalus"/>
          </w:rPr>
          <w:id w:val="29024503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 xml:space="preserve">jsou v souladu s pravidly pro financování činnosti </w:t>
      </w:r>
      <w:r w:rsidR="00D825AE">
        <w:rPr>
          <w:rFonts w:asciiTheme="minorHAnsi" w:hAnsiTheme="minorHAnsi" w:cs="Andalus"/>
        </w:rPr>
        <w:t>o</w:t>
      </w:r>
      <w:r w:rsidR="00D825AE">
        <w:rPr>
          <w:rFonts w:asciiTheme="minorHAnsi" w:hAnsiTheme="minorHAnsi" w:cstheme="minorHAnsi"/>
          <w:lang w:eastAsia="cs-CZ"/>
        </w:rPr>
        <w:t>rgánu veřejné správy</w:t>
      </w:r>
      <w:r w:rsidRPr="00C52F47">
        <w:rPr>
          <w:rFonts w:asciiTheme="minorHAnsi" w:hAnsiTheme="minorHAnsi" w:cs="Andalus"/>
        </w:rPr>
        <w:t>,</w:t>
      </w:r>
    </w:p>
    <w:p w:rsidR="009D252A" w:rsidP="009D252A">
      <w:pPr>
        <w:spacing w:before="0"/>
        <w:ind w:left="708"/>
        <w:rPr>
          <w:rFonts w:asciiTheme="minorHAnsi" w:hAnsiTheme="minorHAnsi" w:cs="Andalus"/>
        </w:rPr>
      </w:pPr>
      <w:sdt>
        <w:sdtPr>
          <w:rPr>
            <w:rFonts w:asciiTheme="minorHAnsi" w:hAnsiTheme="minorHAnsi" w:cs="Andalus"/>
          </w:rPr>
          <w:id w:val="129611314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jsou doložené správnými a úplnými podklady</w:t>
      </w:r>
      <w:r>
        <w:rPr>
          <w:rFonts w:asciiTheme="minorHAnsi" w:hAnsiTheme="minorHAnsi" w:cs="Andalus"/>
        </w:rPr>
        <w:t xml:space="preserve"> a</w:t>
      </w:r>
    </w:p>
    <w:p w:rsidR="009D252A" w:rsidRPr="00C52F47" w:rsidP="005F0136">
      <w:pPr>
        <w:rPr>
          <w:rFonts w:asciiTheme="minorHAnsi" w:hAnsiTheme="minorHAnsi" w:cs="Andalus"/>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P="009D252A">
      <w:pPr>
        <w:spacing w:before="240"/>
        <w:rPr>
          <w:rFonts w:asciiTheme="minorHAnsi" w:hAnsiTheme="minorHAnsi" w:cs="Andalus"/>
        </w:rPr>
      </w:pPr>
    </w:p>
    <w:p w:rsidR="009D252A" w:rsidRPr="00F55159" w:rsidP="00F20C2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C52F47">
        <w:rPr>
          <w:rFonts w:asciiTheme="minorHAnsi" w:hAnsiTheme="minorHAnsi" w:cs="Andalus"/>
        </w:rPr>
        <w:t>výše nadepsané výdajové operace</w:t>
      </w:r>
      <w:r w:rsidRPr="00F55159">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9D252A">
      <w:pPr>
        <w:spacing w:before="600"/>
        <w:rPr>
          <w:rFonts w:asciiTheme="minorHAnsi" w:hAnsiTheme="minorHAnsi" w:cs="Andalus"/>
        </w:rPr>
      </w:pPr>
      <w:r w:rsidRPr="00304B23">
        <w:rPr>
          <w:rFonts w:asciiTheme="minorHAnsi" w:hAnsiTheme="minorHAnsi" w:cs="Andalus"/>
        </w:rPr>
        <w:t xml:space="preserve">Prohlašuji, že jako </w:t>
      </w:r>
      <w:r w:rsidRPr="00304B23">
        <w:rPr>
          <w:rFonts w:asciiTheme="minorHAnsi" w:hAnsiTheme="minorHAnsi" w:cs="Andalus"/>
          <w:b/>
          <w:bCs/>
        </w:rPr>
        <w:t>osoba oprávněná nakládat s veřejnými prostředky</w:t>
      </w:r>
      <w:r w:rsidRPr="00304B23">
        <w:rPr>
          <w:rFonts w:asciiTheme="minorHAnsi" w:hAnsiTheme="minorHAnsi" w:cs="Andalus"/>
        </w:rPr>
        <w:t xml:space="preserve"> budu při vynakládání výdajů ve výše stanoveném limitu postupovat v souladu s výše uvedenými podmínkam</w:t>
      </w:r>
      <w:r>
        <w:rPr>
          <w:rFonts w:asciiTheme="minorHAnsi" w:hAnsiTheme="minorHAnsi" w:cs="Andalus"/>
        </w:rPr>
        <w:t>i.</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osoba oprávněná nakládat s veřejnými prostředky</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rPr>
          <w:lang w:eastAsia="cs-CZ"/>
        </w:rPr>
      </w:pPr>
    </w:p>
    <w:p w:rsidR="009D252A" w:rsidP="009D252A">
      <w:pPr>
        <w:rPr>
          <w:lang w:eastAsia="cs-CZ"/>
        </w:rPr>
        <w:sectPr w:rsidSect="009D252A">
          <w:headerReference w:type="default" r:id="rId17"/>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Identifikace výdajové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Předmět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762CA">
              <w:rPr>
                <w:rFonts w:asciiTheme="minorHAnsi" w:hAnsiTheme="minorHAnsi" w:cs="Andalus"/>
              </w:rPr>
              <w:t>Přepokládaná výše</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Druhá strana</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Splatnost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9D252A">
      <w:pPr>
        <w:spacing w:before="360"/>
        <w:rPr>
          <w:rFonts w:asciiTheme="minorHAnsi" w:hAnsiTheme="minorHAnsi" w:cs="Andalus"/>
        </w:rPr>
      </w:pPr>
      <w:r w:rsidRPr="00F55159">
        <w:rPr>
          <w:rFonts w:asciiTheme="minorHAnsi" w:hAnsiTheme="minorHAnsi"/>
        </w:rPr>
        <w:t xml:space="preserve">Jako </w:t>
      </w:r>
      <w:r w:rsidRPr="000762CA">
        <w:rPr>
          <w:rFonts w:asciiTheme="minorHAnsi" w:hAnsiTheme="minorHAnsi"/>
          <w:b/>
          <w:bCs/>
        </w:rPr>
        <w:t>hlavní</w:t>
      </w:r>
      <w:r>
        <w:rPr>
          <w:rFonts w:asciiTheme="minorHAnsi" w:hAnsiTheme="minorHAnsi"/>
        </w:rPr>
        <w:t xml:space="preserve"> </w:t>
      </w:r>
      <w:r w:rsidRPr="000762CA">
        <w:rPr>
          <w:rFonts w:asciiTheme="minorHAnsi" w:hAnsiTheme="minorHAnsi"/>
          <w:b/>
          <w:bCs/>
        </w:rPr>
        <w:t xml:space="preserve">účetní </w:t>
      </w:r>
      <w:r w:rsidRPr="002C4A82">
        <w:rPr>
          <w:rFonts w:asciiTheme="minorHAnsi" w:hAnsiTheme="minorHAnsi" w:cs="Andalus"/>
        </w:rPr>
        <w:t>v rámci předběžné řídicí kontroly před platbou jsem v souladu s čl. IX odst. 1 směrnice č. …/… o řízení a kontrole veřejných financí u výše popsané výdajové operace ověřil(a) údaje o věřiteli, výši a splatnosti vzniklého závazku.</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hlavní účetní</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F20C2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0762CA">
        <w:rPr>
          <w:rFonts w:asciiTheme="minorHAnsi" w:hAnsiTheme="minorHAnsi" w:cs="Andalus"/>
        </w:rPr>
        <w:t>v rámci předběžné řídicí kontroly před platbou jsem v souladu s čl. IX odst. 3 směrnice č.</w:t>
      </w:r>
      <w:r>
        <w:rPr>
          <w:rFonts w:asciiTheme="minorHAnsi" w:hAnsiTheme="minorHAnsi" w:cs="Andalus"/>
        </w:rPr>
        <w:t> </w:t>
      </w:r>
      <w:r w:rsidRPr="000762CA">
        <w:rPr>
          <w:rFonts w:asciiTheme="minorHAnsi" w:hAnsiTheme="minorHAnsi" w:cs="Andalus"/>
        </w:rPr>
        <w:t>…/… o řízení a kontrole veřejných financí u výše nadepsané výdajové operace ověřil(a)</w:t>
      </w:r>
      <w:r w:rsidRPr="00F55159">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406221802"/>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0762CA">
        <w:rPr>
          <w:rFonts w:asciiTheme="minorHAnsi" w:hAnsiTheme="minorHAnsi"/>
        </w:rPr>
        <w:t>správnost určení věřitele</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897626561"/>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Pr>
          <w:rFonts w:asciiTheme="minorHAnsi" w:hAnsiTheme="minorHAnsi" w:cs="Andalus"/>
        </w:rPr>
        <w:t>výši vzniklého závazku</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816562809"/>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Pr>
          <w:rFonts w:asciiTheme="minorHAnsi" w:hAnsiTheme="minorHAnsi" w:cs="Andalus"/>
        </w:rPr>
        <w:t>splatnost vzniklého závazku</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430384735"/>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Pr>
          <w:rFonts w:asciiTheme="minorHAnsi" w:hAnsiTheme="minorHAnsi" w:cs="Andalus"/>
        </w:rPr>
        <w:t>soulad s podmínkami, za kterých byla výdajový operace schválena</w:t>
      </w:r>
      <w:r>
        <w:rPr>
          <w:rFonts w:asciiTheme="minorHAnsi" w:hAnsiTheme="minorHAnsi" w:cs="Andalus"/>
        </w:rPr>
        <w:t xml:space="preserve"> a</w:t>
      </w:r>
    </w:p>
    <w:p w:rsidR="009D252A" w:rsidRPr="0020237C" w:rsidP="005F0136">
      <w:pPr>
        <w:rPr>
          <w:rFonts w:asciiTheme="minorHAnsi" w:hAnsiTheme="minorHAnsi"/>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Pr>
          <w:rFonts w:asciiTheme="minorHAnsi" w:hAnsiTheme="minorHAnsi" w:cs="Andalus"/>
        </w:rPr>
        <w:t>S ohledem na výše</w:t>
      </w:r>
      <w:r w:rsidRPr="00F55159">
        <w:rPr>
          <w:rFonts w:asciiTheme="minorHAnsi" w:hAnsiTheme="minorHAnsi" w:cs="Andalus"/>
        </w:rPr>
        <w:t xml:space="preserve"> uveden</w:t>
      </w:r>
      <w:r>
        <w:rPr>
          <w:rFonts w:asciiTheme="minorHAnsi" w:hAnsiTheme="minorHAnsi" w:cs="Andalus"/>
        </w:rPr>
        <w:t>é</w:t>
      </w:r>
      <w:r w:rsidRPr="00F55159">
        <w:rPr>
          <w:rFonts w:asciiTheme="minorHAnsi" w:hAnsiTheme="minorHAnsi" w:cs="Andalus"/>
        </w:rPr>
        <w:t xml:space="preserve"> skutečnost</w:t>
      </w:r>
      <w:r>
        <w:rPr>
          <w:rFonts w:asciiTheme="minorHAnsi" w:hAnsiTheme="minorHAnsi" w:cs="Andalus"/>
        </w:rPr>
        <w:t>i</w:t>
      </w:r>
      <w:r w:rsidRPr="00F55159">
        <w:rPr>
          <w:rFonts w:asciiTheme="minorHAnsi" w:hAnsiTheme="minorHAnsi" w:cs="Andalus"/>
        </w:rPr>
        <w:t xml:space="preserve"> </w:t>
      </w:r>
      <w:r>
        <w:rPr>
          <w:rFonts w:asciiTheme="minorHAnsi" w:hAnsiTheme="minorHAnsi" w:cs="Andalus"/>
          <w:b/>
          <w:bCs/>
          <w:u w:val="single"/>
        </w:rPr>
        <w:t>s</w:t>
      </w:r>
      <w:r w:rsidRPr="00FE7BEE">
        <w:rPr>
          <w:rFonts w:asciiTheme="minorHAnsi" w:hAnsiTheme="minorHAnsi" w:cs="Andalus"/>
          <w:b/>
          <w:bCs/>
          <w:u w:val="single"/>
        </w:rPr>
        <w:t>tvrzuji</w:t>
      </w:r>
      <w:r>
        <w:rPr>
          <w:rFonts w:asciiTheme="minorHAnsi" w:hAnsiTheme="minorHAnsi" w:cs="Andalus"/>
        </w:rPr>
        <w:t xml:space="preserve">, </w:t>
      </w:r>
      <w:r w:rsidRPr="009265BD">
        <w:rPr>
          <w:rFonts w:asciiTheme="minorHAnsi" w:hAnsiTheme="minorHAnsi" w:cs="Andalus"/>
        </w:rPr>
        <w:t>že platba</w:t>
      </w:r>
      <w:r>
        <w:rPr>
          <w:rFonts w:asciiTheme="minorHAnsi" w:hAnsiTheme="minorHAnsi" w:cs="Andalus"/>
        </w:rPr>
        <w:t xml:space="preserve"> k výše nadepsané</w:t>
      </w:r>
      <w:r w:rsidRPr="009265BD">
        <w:rPr>
          <w:rFonts w:asciiTheme="minorHAnsi" w:hAnsiTheme="minorHAnsi" w:cs="Andalus"/>
        </w:rPr>
        <w:t xml:space="preserve"> </w:t>
      </w:r>
      <w:r w:rsidRPr="00304B23">
        <w:rPr>
          <w:rFonts w:asciiTheme="minorHAnsi" w:hAnsiTheme="minorHAnsi" w:cs="Andalus"/>
        </w:rPr>
        <w:t>výdajov</w:t>
      </w:r>
      <w:r>
        <w:rPr>
          <w:rFonts w:asciiTheme="minorHAnsi" w:hAnsiTheme="minorHAnsi" w:cs="Andalus"/>
        </w:rPr>
        <w:t>é</w:t>
      </w:r>
      <w:r w:rsidRPr="00304B23">
        <w:rPr>
          <w:rFonts w:asciiTheme="minorHAnsi" w:hAnsiTheme="minorHAnsi" w:cs="Andalus"/>
        </w:rPr>
        <w:t xml:space="preserve"> operaci</w:t>
      </w:r>
      <w:r>
        <w:rPr>
          <w:rFonts w:asciiTheme="minorHAnsi" w:hAnsiTheme="minorHAnsi" w:cs="Andalus"/>
        </w:rPr>
        <w:t xml:space="preserve"> m</w:t>
      </w:r>
      <w:r w:rsidR="00FE7BEE">
        <w:rPr>
          <w:rFonts w:asciiTheme="minorHAnsi" w:hAnsiTheme="minorHAnsi" w:cs="Andalus"/>
        </w:rPr>
        <w:t>á</w:t>
      </w:r>
      <w:r>
        <w:rPr>
          <w:rFonts w:asciiTheme="minorHAnsi" w:hAnsiTheme="minorHAnsi" w:cs="Andalus"/>
        </w:rPr>
        <w:t xml:space="preserve"> být uskutečněna.</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spacing w:before="0" w:line="240" w:lineRule="auto"/>
        <w:jc w:val="left"/>
        <w:rPr>
          <w:lang w:eastAsia="cs-CZ"/>
        </w:rPr>
      </w:pPr>
    </w:p>
    <w:p w:rsidR="009D252A" w:rsidP="009D252A">
      <w:pPr>
        <w:rPr>
          <w:lang w:eastAsia="cs-CZ"/>
        </w:rPr>
        <w:sectPr w:rsidSect="009D252A">
          <w:headerReference w:type="default" r:id="rId18"/>
          <w:pgSz w:w="11906" w:h="16838"/>
          <w:pgMar w:top="1418" w:right="1418" w:bottom="993" w:left="1418" w:header="709" w:footer="709" w:gutter="0"/>
          <w:cols w:space="708"/>
          <w:docGrid w:linePitch="360"/>
        </w:sectPr>
      </w:pPr>
    </w:p>
    <w:p w:rsidR="009D252A" w:rsidP="009D252A">
      <w:pPr>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9D252A"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platbou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9D252A"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9D252A" w:rsidRPr="009A127C" w:rsidP="00976C2B">
            <w:pPr>
              <w:spacing w:after="120"/>
              <w:rPr>
                <w:rFonts w:cs="Times New Roman"/>
                <w:color w:val="000000"/>
                <w:lang w:eastAsia="cs-CZ"/>
              </w:rPr>
            </w:pPr>
            <w:r>
              <w:rPr>
                <w:rFonts w:cs="Times New Roman"/>
                <w:color w:val="000000"/>
                <w:lang w:eastAsia="cs-CZ"/>
              </w:rPr>
              <w:t>hlavní účetní</w:t>
            </w:r>
          </w:p>
        </w:tc>
        <w:tc>
          <w:tcPr>
            <w:tcW w:w="1701"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9D252A"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9D252A" w:rsidRPr="009A127C" w:rsidP="00976C2B">
            <w:pPr>
              <w:spacing w:after="120"/>
              <w:rPr>
                <w:rFonts w:cs="Times New Roman"/>
                <w:color w:val="000000"/>
                <w:lang w:eastAsia="cs-CZ"/>
              </w:rPr>
            </w:pPr>
            <w:r w:rsidRPr="009A127C">
              <w:rPr>
                <w:rFonts w:cs="Times New Roman"/>
                <w:color w:val="000000"/>
                <w:lang w:eastAsia="cs-CZ"/>
              </w:rPr>
              <w:t>příkazce operace</w:t>
            </w:r>
          </w:p>
        </w:tc>
        <w:tc>
          <w:tcPr>
            <w:tcW w:w="1701"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9D252A" w:rsidRPr="009A127C" w:rsidP="00976C2B">
            <w:pPr>
              <w:spacing w:after="120"/>
              <w:rPr>
                <w:rFonts w:cs="Times New Roman"/>
                <w:color w:val="000000"/>
                <w:lang w:eastAsia="cs-CZ"/>
              </w:rPr>
            </w:pPr>
          </w:p>
        </w:tc>
      </w:tr>
    </w:tbl>
    <w:p w:rsidR="009D252A" w:rsidP="009D252A">
      <w:pPr>
        <w:rPr>
          <w:lang w:eastAsia="cs-CZ"/>
        </w:rPr>
      </w:pPr>
    </w:p>
    <w:p w:rsidR="009D252A" w:rsidP="009D252A">
      <w:pPr>
        <w:pStyle w:val="ListParagraph"/>
        <w:ind w:left="360"/>
        <w:rPr>
          <w:lang w:eastAsia="cs-CZ"/>
        </w:rPr>
        <w:sectPr w:rsidSect="009D252A">
          <w:headerReference w:type="default" r:id="rId19"/>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 xml:space="preserve">Identifikace </w:t>
      </w:r>
      <w:r>
        <w:rPr>
          <w:rFonts w:asciiTheme="minorHAnsi" w:hAnsiTheme="minorHAnsi" w:cs="Andalus"/>
          <w:b/>
          <w:bCs/>
        </w:rPr>
        <w:t>majetkové</w:t>
      </w:r>
      <w:r w:rsidRPr="0077182A">
        <w:rPr>
          <w:rFonts w:asciiTheme="minorHAnsi" w:hAnsiTheme="minorHAnsi" w:cs="Andalus"/>
          <w:b/>
          <w:bCs/>
        </w:rPr>
        <w:t xml:space="preserve">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Předmět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Druhá strana</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9D252A">
      <w:pPr>
        <w:spacing w:before="360"/>
        <w:rPr>
          <w:rFonts w:asciiTheme="minorHAnsi" w:hAnsiTheme="minorHAnsi" w:cs="Andalus"/>
        </w:rPr>
      </w:pPr>
      <w:r w:rsidRPr="003652CC">
        <w:rPr>
          <w:rFonts w:asciiTheme="minorHAnsi" w:hAnsiTheme="minorHAnsi"/>
        </w:rPr>
        <w:t xml:space="preserve">Jako </w:t>
      </w:r>
      <w:r w:rsidR="00B71159">
        <w:rPr>
          <w:rFonts w:asciiTheme="minorHAnsi" w:hAnsiTheme="minorHAnsi"/>
          <w:b/>
          <w:bCs/>
        </w:rPr>
        <w:t>ověřovatel</w:t>
      </w:r>
      <w:r w:rsidRPr="003652CC">
        <w:rPr>
          <w:rFonts w:asciiTheme="minorHAnsi" w:hAnsiTheme="minorHAnsi"/>
        </w:rPr>
        <w:t xml:space="preserve"> v rámci předběžné řídicí kontroly před schválením majetkové operace jsem v souladu s</w:t>
      </w:r>
      <w:r w:rsidR="00D92743">
        <w:rPr>
          <w:rFonts w:asciiTheme="minorHAnsi" w:hAnsiTheme="minorHAnsi"/>
        </w:rPr>
        <w:t> </w:t>
      </w:r>
      <w:r w:rsidRPr="003652CC">
        <w:rPr>
          <w:rFonts w:asciiTheme="minorHAnsi" w:hAnsiTheme="minorHAnsi"/>
        </w:rPr>
        <w:t>čl.</w:t>
      </w:r>
      <w:r w:rsidR="00D92743">
        <w:rPr>
          <w:rFonts w:asciiTheme="minorHAnsi" w:hAnsiTheme="minorHAnsi"/>
        </w:rPr>
        <w:t> </w:t>
      </w:r>
      <w:r w:rsidRPr="003652CC">
        <w:rPr>
          <w:rFonts w:asciiTheme="minorHAnsi" w:hAnsiTheme="minorHAnsi"/>
        </w:rPr>
        <w:t>XI</w:t>
      </w:r>
      <w:r w:rsidR="00D92743">
        <w:rPr>
          <w:rFonts w:asciiTheme="minorHAnsi" w:hAnsiTheme="minorHAnsi"/>
        </w:rPr>
        <w:t> </w:t>
      </w:r>
      <w:r w:rsidRPr="003652CC">
        <w:rPr>
          <w:rFonts w:asciiTheme="minorHAnsi" w:hAnsiTheme="minorHAnsi"/>
        </w:rPr>
        <w:t>odst. 1 směrnice č. …/… o řízení a kontrole veřejných financí u výše nadepsané majetkové operace ověřil(a), že</w:t>
      </w:r>
      <w:r>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68882891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3652CC">
        <w:rPr>
          <w:rFonts w:asciiTheme="minorHAnsi" w:hAnsiTheme="minorHAnsi" w:cs="Andalus"/>
        </w:rPr>
        <w:t xml:space="preserve">v souladu se schváleným rozpočtem </w:t>
      </w:r>
      <w:r w:rsidR="000C2602">
        <w:rPr>
          <w:rFonts w:asciiTheme="minorHAnsi" w:hAnsiTheme="minorHAnsi" w:cstheme="minorHAnsi"/>
          <w:lang w:eastAsia="cs-CZ"/>
        </w:rPr>
        <w:t>orgánu veřejné správy,</w:t>
      </w:r>
      <w:r w:rsidRPr="003652CC" w:rsidR="000C2602">
        <w:rPr>
          <w:rFonts w:asciiTheme="minorHAnsi" w:hAnsiTheme="minorHAnsi" w:cs="Andalus"/>
        </w:rPr>
        <w:t xml:space="preserve"> </w:t>
      </w:r>
      <w:r w:rsidRPr="003652CC">
        <w:rPr>
          <w:rFonts w:asciiTheme="minorHAnsi" w:hAnsiTheme="minorHAnsi" w:cs="Andalus"/>
        </w:rPr>
        <w:t>programy, projekty, uzavřenými smlouvami nebo rozhodnutími o nakládání s veřejnými prostředky</w:t>
      </w:r>
      <w:r w:rsidRPr="00F55159">
        <w:rPr>
          <w:rFonts w:asciiTheme="minorHAnsi" w:hAnsiTheme="minorHAnsi"/>
        </w:rPr>
        <w:t>,</w:t>
      </w:r>
    </w:p>
    <w:p w:rsidR="009D252A" w:rsidP="009D252A">
      <w:pPr>
        <w:spacing w:before="0"/>
        <w:ind w:left="708"/>
        <w:rPr>
          <w:rFonts w:asciiTheme="minorHAnsi" w:hAnsiTheme="minorHAnsi"/>
        </w:rPr>
      </w:pPr>
      <w:sdt>
        <w:sdtPr>
          <w:rPr>
            <w:rFonts w:asciiTheme="minorHAnsi" w:hAnsiTheme="minorHAnsi" w:cs="Andalus"/>
          </w:rPr>
          <w:id w:val="-2118512723"/>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3652CC">
        <w:rPr>
          <w:rFonts w:asciiTheme="minorHAnsi" w:hAnsiTheme="minorHAnsi"/>
        </w:rPr>
        <w:t xml:space="preserve">v souladu s pravidly pro financování činnosti </w:t>
      </w:r>
      <w:r w:rsidR="000C2602">
        <w:rPr>
          <w:rFonts w:asciiTheme="minorHAnsi" w:hAnsiTheme="minorHAnsi" w:cstheme="minorHAnsi"/>
          <w:lang w:eastAsia="cs-CZ"/>
        </w:rPr>
        <w:t>orgánu veřejné správy</w:t>
      </w:r>
      <w:r w:rsidRPr="003652CC">
        <w:rPr>
          <w:rFonts w:asciiTheme="minorHAnsi" w:hAnsiTheme="minorHAnsi"/>
        </w:rPr>
        <w:t xml:space="preserve"> a</w:t>
      </w:r>
    </w:p>
    <w:p w:rsidR="009D252A" w:rsidRPr="0020237C" w:rsidP="005F0136">
      <w:pPr>
        <w:rPr>
          <w:rFonts w:asciiTheme="minorHAnsi" w:hAnsiTheme="minorHAnsi"/>
        </w:rPr>
      </w:pPr>
      <w:r w:rsidRPr="0020237C">
        <w:rPr>
          <w:rFonts w:asciiTheme="minorHAnsi" w:hAnsiTheme="minorHAnsi"/>
        </w:rPr>
        <w:t>identifikoval(a)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sidRPr="000458F9">
        <w:rPr>
          <w:rFonts w:asciiTheme="minorHAnsi" w:hAnsiTheme="minorHAnsi" w:cs="Andalus"/>
        </w:rPr>
        <w:t xml:space="preserve">Na základě výše uvedeného ověření stanovuji následující podmínky provedení </w:t>
      </w:r>
      <w:r>
        <w:rPr>
          <w:rFonts w:asciiTheme="minorHAnsi" w:hAnsiTheme="minorHAnsi" w:cs="Andalus"/>
        </w:rPr>
        <w:t>majetkové</w:t>
      </w:r>
      <w:r w:rsidRPr="000458F9">
        <w:rPr>
          <w:rFonts w:asciiTheme="minorHAnsi" w:hAnsiTheme="minorHAnsi" w:cs="Andalus"/>
        </w:rPr>
        <w:t xml:space="preserve"> operac</w:t>
      </w:r>
      <w:r>
        <w:rPr>
          <w:rFonts w:asciiTheme="minorHAnsi" w:hAnsiTheme="minorHAnsi" w:cs="Andalus"/>
        </w:rPr>
        <w:t>e</w:t>
      </w:r>
      <w:r w:rsidRPr="00F55159">
        <w:rPr>
          <w:rFonts w:asciiTheme="minorHAnsi" w:hAnsiTheme="minorHAnsi" w:cs="Andalus"/>
        </w:rPr>
        <w:t>:</w:t>
      </w:r>
    </w:p>
    <w:p w:rsidR="009D252A" w:rsidRPr="00F5515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ověřovatel</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F20C26">
      <w:pPr>
        <w:spacing w:before="360"/>
        <w:rPr>
          <w:rFonts w:asciiTheme="minorHAnsi" w:hAnsiTheme="minorHAnsi" w:cs="Andalus"/>
        </w:rPr>
      </w:pPr>
      <w:r w:rsidRPr="00CD2248">
        <w:rPr>
          <w:rFonts w:asciiTheme="minorHAnsi" w:hAnsiTheme="minorHAnsi" w:cs="Andalus"/>
        </w:rPr>
        <w:t xml:space="preserve">Jako </w:t>
      </w:r>
      <w:r w:rsidRPr="00DF5CC3">
        <w:rPr>
          <w:rFonts w:asciiTheme="minorHAnsi" w:hAnsiTheme="minorHAnsi" w:cs="Andalus"/>
          <w:b/>
          <w:bCs/>
        </w:rPr>
        <w:t>příkazce operace</w:t>
      </w:r>
      <w:r w:rsidRPr="00CD2248">
        <w:rPr>
          <w:rFonts w:asciiTheme="minorHAnsi" w:hAnsiTheme="minorHAnsi" w:cs="Andalus"/>
        </w:rPr>
        <w:t xml:space="preserve"> v rámci předběžné řídicí kontroly před schválením majetkové operace jsem v souladu s čl. XI odst. 5 směrnice č. …/… o řízení a kontrole veřejných financí u výše nadepsané majetkové operace ověřil(a)</w:t>
      </w:r>
      <w:r w:rsidRPr="00F55159">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453401360"/>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CD2248">
        <w:rPr>
          <w:rFonts w:asciiTheme="minorHAnsi" w:hAnsiTheme="minorHAnsi"/>
        </w:rPr>
        <w:t>soulad s právními předpisy</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209940387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 xml:space="preserve">nezbytnost k zajištění úkolů, záměrů a cílů </w:t>
      </w:r>
      <w:r w:rsidR="000C2602">
        <w:rPr>
          <w:rFonts w:asciiTheme="minorHAnsi" w:hAnsiTheme="minorHAnsi" w:cstheme="minorHAnsi"/>
          <w:lang w:eastAsia="cs-CZ"/>
        </w:rPr>
        <w:t>orgánu veřejné správy</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07943344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soulad se zásadou řádného finančního řízení</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27092031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 xml:space="preserve">soulad se schváleným rozpočtem, programy, projekty, uzavřenými smlouvami </w:t>
      </w:r>
      <w:r w:rsidR="00551EBA">
        <w:rPr>
          <w:rFonts w:asciiTheme="minorHAnsi" w:hAnsiTheme="minorHAnsi" w:cs="Andalus"/>
        </w:rPr>
        <w:t xml:space="preserve">nebo </w:t>
      </w:r>
      <w:r w:rsidRPr="00CD2248">
        <w:rPr>
          <w:rFonts w:asciiTheme="minorHAnsi" w:hAnsiTheme="minorHAnsi" w:cs="Andalus"/>
        </w:rPr>
        <w:t>rozhodnutími o</w:t>
      </w:r>
      <w:r>
        <w:rPr>
          <w:rFonts w:asciiTheme="minorHAnsi" w:hAnsiTheme="minorHAnsi" w:cs="Andalus"/>
        </w:rPr>
        <w:t> </w:t>
      </w:r>
      <w:r w:rsidRPr="00CD2248">
        <w:rPr>
          <w:rFonts w:asciiTheme="minorHAnsi" w:hAnsiTheme="minorHAnsi" w:cs="Andalus"/>
        </w:rPr>
        <w:t>nakládání s veřejnými prostředky</w:t>
      </w:r>
      <w:r w:rsidRPr="000072A7">
        <w:rPr>
          <w:rFonts w:asciiTheme="minorHAnsi" w:hAnsiTheme="minorHAnsi" w:cs="Andalus"/>
        </w:rPr>
        <w:t>,</w:t>
      </w:r>
    </w:p>
    <w:p w:rsidR="009D252A" w:rsidP="009D252A">
      <w:pPr>
        <w:spacing w:before="0"/>
        <w:ind w:left="708"/>
        <w:rPr>
          <w:rFonts w:asciiTheme="minorHAnsi" w:hAnsiTheme="minorHAnsi" w:cs="Andalus"/>
        </w:rPr>
      </w:pPr>
      <w:sdt>
        <w:sdtPr>
          <w:rPr>
            <w:rFonts w:asciiTheme="minorHAnsi" w:hAnsiTheme="minorHAnsi" w:cs="Andalus"/>
          </w:rPr>
          <w:id w:val="-1374766119"/>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rPr>
        <w:t xml:space="preserve">soulad s pravidly pro financování činnosti </w:t>
      </w:r>
      <w:r w:rsidR="000C2602">
        <w:rPr>
          <w:rFonts w:asciiTheme="minorHAnsi" w:hAnsiTheme="minorHAnsi" w:cstheme="minorHAnsi"/>
          <w:lang w:eastAsia="cs-CZ"/>
        </w:rPr>
        <w:t>orgánu veřejné správy</w:t>
      </w:r>
      <w:r w:rsidRPr="00BF44B0">
        <w:rPr>
          <w:rFonts w:asciiTheme="minorHAnsi" w:hAnsiTheme="minorHAnsi"/>
        </w:rPr>
        <w:t>,</w:t>
      </w:r>
    </w:p>
    <w:p w:rsidR="009D252A" w:rsidP="009D252A">
      <w:pPr>
        <w:spacing w:before="0"/>
        <w:ind w:left="708"/>
        <w:rPr>
          <w:rFonts w:asciiTheme="minorHAnsi" w:hAnsiTheme="minorHAnsi" w:cs="Andalus"/>
        </w:rPr>
      </w:pPr>
      <w:sdt>
        <w:sdtPr>
          <w:rPr>
            <w:rFonts w:asciiTheme="minorHAnsi" w:hAnsiTheme="minorHAnsi" w:cs="Andalus"/>
          </w:rPr>
          <w:id w:val="-52756950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doložení správnými a úplnými podklady</w:t>
      </w:r>
      <w:r>
        <w:rPr>
          <w:rFonts w:asciiTheme="minorHAnsi" w:hAnsiTheme="minorHAnsi"/>
        </w:rPr>
        <w:t xml:space="preserve"> a</w:t>
      </w:r>
    </w:p>
    <w:p w:rsidR="009D252A" w:rsidRPr="00C52F47" w:rsidP="005F0136">
      <w:pPr>
        <w:rPr>
          <w:rFonts w:asciiTheme="minorHAnsi" w:hAnsiTheme="minorHAnsi" w:cs="Andalus"/>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C52F47">
        <w:rPr>
          <w:rFonts w:asciiTheme="minorHAnsi" w:hAnsiTheme="minorHAnsi" w:cs="Andalus"/>
        </w:rPr>
        <w:t xml:space="preserve">výše nadepsané </w:t>
      </w:r>
      <w:r>
        <w:rPr>
          <w:rFonts w:asciiTheme="minorHAnsi" w:hAnsiTheme="minorHAnsi" w:cs="Andalus"/>
        </w:rPr>
        <w:t>majetkovou</w:t>
      </w:r>
      <w:r w:rsidRPr="00C52F47">
        <w:rPr>
          <w:rFonts w:asciiTheme="minorHAnsi" w:hAnsiTheme="minorHAnsi" w:cs="Andalus"/>
        </w:rPr>
        <w:t xml:space="preserve"> operac</w:t>
      </w:r>
      <w:r>
        <w:rPr>
          <w:rFonts w:asciiTheme="minorHAnsi" w:hAnsiTheme="minorHAnsi" w:cs="Andalus"/>
        </w:rPr>
        <w:t>i</w:t>
      </w:r>
      <w:r w:rsidRPr="00F55159">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rPr>
          <w:lang w:eastAsia="cs-CZ"/>
        </w:rPr>
        <w:sectPr w:rsidSect="009D252A">
          <w:headerReference w:type="default" r:id="rId20"/>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Identifikace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Předmět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Výše</w:t>
            </w:r>
            <w:r w:rsidRPr="000458F9">
              <w:rPr>
                <w:rFonts w:asciiTheme="minorHAnsi" w:hAnsiTheme="minorHAnsi" w:cs="Andalus"/>
              </w:rPr>
              <w:t xml:space="preserve"> </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Druhá strana</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9D252A">
      <w:pPr>
        <w:spacing w:before="360"/>
        <w:rPr>
          <w:rFonts w:asciiTheme="minorHAnsi" w:hAnsiTheme="minorHAnsi" w:cs="Andalus"/>
        </w:rPr>
      </w:pPr>
      <w:r w:rsidRPr="00265A58">
        <w:rPr>
          <w:rFonts w:asciiTheme="minorHAnsi" w:hAnsiTheme="minorHAnsi"/>
        </w:rPr>
        <w:t>V rámci následné řídicí kontroly jsem v souladu s čl. XII směrnice č. …/… o řízení a kontrole veřejných financí u</w:t>
      </w:r>
      <w:r>
        <w:rPr>
          <w:rFonts w:asciiTheme="minorHAnsi" w:hAnsiTheme="minorHAnsi"/>
        </w:rPr>
        <w:t> </w:t>
      </w:r>
      <w:r w:rsidRPr="00265A58">
        <w:rPr>
          <w:rFonts w:asciiTheme="minorHAnsi" w:hAnsiTheme="minorHAnsi"/>
        </w:rPr>
        <w:t>výše nadepsané operace ověřil(a)</w:t>
      </w:r>
      <w:r>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707183589"/>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cs="Andalus"/>
        </w:rPr>
        <w:t>soulad s právními předpisy</w:t>
      </w:r>
      <w:r w:rsidRPr="00F55159">
        <w:rPr>
          <w:rFonts w:asciiTheme="minorHAnsi" w:hAnsiTheme="minorHAnsi"/>
        </w:rPr>
        <w:t>,</w:t>
      </w:r>
    </w:p>
    <w:p w:rsidR="009D252A" w:rsidP="009D252A">
      <w:pPr>
        <w:spacing w:before="0"/>
        <w:ind w:left="708"/>
        <w:rPr>
          <w:rFonts w:asciiTheme="minorHAnsi" w:hAnsiTheme="minorHAnsi"/>
        </w:rPr>
      </w:pPr>
      <w:sdt>
        <w:sdtPr>
          <w:rPr>
            <w:rFonts w:asciiTheme="minorHAnsi" w:hAnsiTheme="minorHAnsi" w:cs="Andalus"/>
          </w:rPr>
          <w:id w:val="666826631"/>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soulad s podmínkami, za kterých byla operace schválena</w:t>
      </w:r>
      <w:r>
        <w:rPr>
          <w:rFonts w:asciiTheme="minorHAnsi" w:hAnsiTheme="minorHAnsi"/>
        </w:rPr>
        <w:t>,</w:t>
      </w:r>
    </w:p>
    <w:p w:rsidR="009D252A" w:rsidP="009D252A">
      <w:pPr>
        <w:spacing w:before="0"/>
        <w:ind w:left="708"/>
        <w:rPr>
          <w:rFonts w:asciiTheme="minorHAnsi" w:hAnsiTheme="minorHAnsi"/>
        </w:rPr>
      </w:pPr>
      <w:sdt>
        <w:sdtPr>
          <w:rPr>
            <w:rFonts w:asciiTheme="minorHAnsi" w:hAnsiTheme="minorHAnsi" w:cs="Andalus"/>
          </w:rPr>
          <w:id w:val="1960677588"/>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soulad se zásadou řádného finančního řízení,</w:t>
      </w:r>
    </w:p>
    <w:p w:rsidR="009D252A" w:rsidP="009D252A">
      <w:pPr>
        <w:spacing w:before="0"/>
        <w:ind w:left="708"/>
        <w:rPr>
          <w:rFonts w:asciiTheme="minorHAnsi" w:hAnsiTheme="minorHAnsi"/>
        </w:rPr>
      </w:pPr>
      <w:sdt>
        <w:sdtPr>
          <w:rPr>
            <w:rFonts w:asciiTheme="minorHAnsi" w:hAnsiTheme="minorHAnsi" w:cs="Andalus"/>
          </w:rPr>
          <w:id w:val="-2070797901"/>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doložení správnými a úplnými podklady,</w:t>
      </w:r>
    </w:p>
    <w:p w:rsidR="009D252A" w:rsidP="009D252A">
      <w:pPr>
        <w:spacing w:before="0"/>
        <w:ind w:left="708"/>
        <w:rPr>
          <w:rFonts w:asciiTheme="minorHAnsi" w:hAnsiTheme="minorHAnsi"/>
        </w:rPr>
      </w:pPr>
      <w:sdt>
        <w:sdtPr>
          <w:rPr>
            <w:rFonts w:asciiTheme="minorHAnsi" w:hAnsiTheme="minorHAnsi" w:cs="Andalus"/>
          </w:rPr>
          <w:id w:val="76033708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cs="Andalus"/>
        </w:rPr>
        <w:t xml:space="preserve">zda byla řízena rizika související s operací </w:t>
      </w:r>
      <w:r>
        <w:rPr>
          <w:rFonts w:asciiTheme="minorHAnsi" w:hAnsiTheme="minorHAnsi"/>
        </w:rPr>
        <w:t>a</w:t>
      </w:r>
    </w:p>
    <w:p w:rsidR="009D252A" w:rsidP="009D252A">
      <w:pPr>
        <w:spacing w:before="0"/>
        <w:ind w:left="567" w:firstLine="567"/>
        <w:rPr>
          <w:rFonts w:asciiTheme="minorHAnsi" w:hAnsiTheme="minorHAnsi"/>
        </w:rPr>
      </w:pPr>
      <w:r w:rsidRPr="0020237C">
        <w:rPr>
          <w:rFonts w:asciiTheme="minorHAnsi" w:hAnsiTheme="minorHAnsi"/>
        </w:rPr>
        <w:t>identifikoval(a) jse</w:t>
      </w:r>
      <w:r>
        <w:rPr>
          <w:rFonts w:asciiTheme="minorHAnsi" w:hAnsiTheme="minorHAnsi"/>
        </w:rPr>
        <w:t>m</w:t>
      </w:r>
    </w:p>
    <w:p w:rsidR="009D252A" w:rsidRPr="00E62B4F" w:rsidP="005042E8">
      <w:pPr>
        <w:pStyle w:val="ListParagraph"/>
        <w:numPr>
          <w:ilvl w:val="0"/>
          <w:numId w:val="38"/>
        </w:numPr>
        <w:spacing w:after="0"/>
        <w:ind w:left="1066" w:hanging="357"/>
        <w:rPr>
          <w:rFonts w:cs="Andalus"/>
        </w:rPr>
      </w:pPr>
      <w:r w:rsidRPr="00E62B4F">
        <w:rPr>
          <w:rFonts w:asciiTheme="minorHAnsi" w:hAnsiTheme="minorHAnsi" w:cs="Andalus"/>
        </w:rPr>
        <w:t>následující</w:t>
      </w:r>
      <w:r w:rsidRPr="00E62B4F">
        <w:rPr>
          <w:rFonts w:cs="Andalus"/>
        </w:rPr>
        <w:t xml:space="preserve"> rizika:</w:t>
      </w:r>
    </w:p>
    <w:p w:rsidR="009D252A" w:rsidRPr="00E62B4F" w:rsidP="009D252A">
      <w:pPr>
        <w:pStyle w:val="ListParagraph"/>
        <w:spacing w:after="0"/>
        <w:ind w:left="1066"/>
        <w:rPr>
          <w:rFonts w:cs="Andalus"/>
        </w:rPr>
      </w:pPr>
      <w:r w:rsidRPr="00552FB9">
        <w:rPr>
          <w:rFonts w:cs="Andalus"/>
        </w:rPr>
        <w:t>……………………………………………………………………………………………….…………………………………………………………………………………………………….………………………………………………………………………………</w:t>
      </w:r>
    </w:p>
    <w:p w:rsidR="009D252A" w:rsidP="005042E8">
      <w:pPr>
        <w:pStyle w:val="ListParagraph"/>
        <w:numPr>
          <w:ilvl w:val="0"/>
          <w:numId w:val="38"/>
        </w:numPr>
        <w:spacing w:after="0"/>
        <w:ind w:left="1066" w:hanging="357"/>
        <w:rPr>
          <w:rFonts w:cs="Andalus"/>
        </w:rPr>
      </w:pPr>
      <w:r w:rsidRPr="00552FB9">
        <w:rPr>
          <w:rFonts w:cs="Andalus"/>
        </w:rPr>
        <w:t>následující nedostatky:</w:t>
      </w:r>
    </w:p>
    <w:p w:rsidR="009D252A" w:rsidP="009D252A">
      <w:pPr>
        <w:pStyle w:val="ListParagraph"/>
        <w:spacing w:after="0"/>
        <w:ind w:left="1066"/>
        <w:rPr>
          <w:rFonts w:cs="Andalus"/>
        </w:rPr>
      </w:pPr>
      <w:r w:rsidRPr="00552FB9">
        <w:rPr>
          <w:rFonts w:cs="Andalus"/>
        </w:rPr>
        <w:t>…………………………………………………………………………………………………….…………………………………………………………………………………………………….………………………………………………………………</w:t>
      </w:r>
      <w:r>
        <w:rPr>
          <w:rFonts w:cs="Andalus"/>
        </w:rPr>
        <w:t>…………</w:t>
      </w:r>
    </w:p>
    <w:p w:rsidR="009D252A" w:rsidRPr="00F55159" w:rsidP="009D252A">
      <w:pPr>
        <w:spacing w:before="360"/>
        <w:rPr>
          <w:rFonts w:asciiTheme="minorHAnsi" w:hAnsiTheme="minorHAnsi" w:cs="Andalus"/>
        </w:rPr>
      </w:pPr>
      <w:r>
        <w:rPr>
          <w:rFonts w:asciiTheme="minorHAnsi" w:hAnsiTheme="minorHAnsi" w:cs="Andalus"/>
        </w:rPr>
        <w:t>Stanovení dalšího postupu</w:t>
      </w:r>
      <w:r w:rsidRPr="00F55159">
        <w:rPr>
          <w:rFonts w:asciiTheme="minorHAnsi" w:hAnsiTheme="minorHAnsi" w:cs="Andalus"/>
        </w:rPr>
        <w:t>:</w:t>
      </w:r>
    </w:p>
    <w:p w:rsidR="009D252A" w:rsidRPr="00F5515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ověřovatel</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B71159" w:rsidP="00B71159">
      <w:pPr>
        <w:spacing w:before="360"/>
        <w:rPr>
          <w:rFonts w:asciiTheme="minorHAnsi" w:hAnsiTheme="minorHAnsi" w:cs="Andalus"/>
        </w:rPr>
      </w:pPr>
      <w:r w:rsidRPr="00A83AAA">
        <w:rPr>
          <w:rFonts w:asciiTheme="minorHAnsi" w:hAnsiTheme="minorHAnsi" w:cs="Andalus"/>
        </w:rPr>
        <w:t xml:space="preserve">Jako </w:t>
      </w:r>
      <w:r w:rsidRPr="00B71159">
        <w:rPr>
          <w:rFonts w:asciiTheme="minorHAnsi" w:hAnsiTheme="minorHAnsi" w:cs="Andalus"/>
          <w:b/>
        </w:rPr>
        <w:t>příkazce operace</w:t>
      </w:r>
      <w:r w:rsidRPr="00A83AAA">
        <w:rPr>
          <w:rFonts w:asciiTheme="minorHAnsi" w:hAnsiTheme="minorHAnsi" w:cs="Andalus"/>
        </w:rPr>
        <w:t xml:space="preserve"> v souladu s čl. XII odst. 4 směrnice č. …/… o </w:t>
      </w:r>
      <w:r>
        <w:rPr>
          <w:rFonts w:cs="Andalus"/>
        </w:rPr>
        <w:t>řízení a kontrole veřejných financí</w:t>
      </w:r>
      <w:r w:rsidRPr="00A83AAA">
        <w:rPr>
          <w:rFonts w:asciiTheme="minorHAnsi" w:hAnsiTheme="minorHAnsi" w:cs="Andalus"/>
        </w:rPr>
        <w:t xml:space="preserve"> stanovuji tento postup:</w:t>
      </w:r>
    </w:p>
    <w:p w:rsidR="00B71159" w:rsidRPr="009A127C" w:rsidP="00B71159">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B71159" w:rsidP="00B71159">
      <w:pPr>
        <w:spacing w:after="360"/>
        <w:rPr>
          <w:rFonts w:asciiTheme="minorHAnsi" w:hAnsiTheme="minorHAnsi" w:cs="Andalus"/>
        </w:rPr>
      </w:pPr>
      <w:r w:rsidRPr="009A127C">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B71159"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B71159"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B71159"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B71159" w:rsidRPr="00552FB9" w:rsidP="009D252A">
      <w:pPr>
        <w:spacing w:before="0" w:line="240" w:lineRule="auto"/>
        <w:jc w:val="left"/>
        <w:rPr>
          <w:rFonts w:asciiTheme="minorHAnsi" w:hAnsiTheme="minorHAnsi" w:cs="Andalus"/>
        </w:rPr>
      </w:pPr>
    </w:p>
    <w:p w:rsidR="009D252A" w:rsidP="009D252A">
      <w:pPr>
        <w:rPr>
          <w:lang w:eastAsia="cs-CZ"/>
        </w:rPr>
        <w:sectPr w:rsidSect="009D252A">
          <w:headerReference w:type="default" r:id="rId21"/>
          <w:pgSz w:w="11906" w:h="16838"/>
          <w:pgMar w:top="1418" w:right="1418" w:bottom="993" w:left="1418" w:header="709" w:footer="709" w:gutter="0"/>
          <w:cols w:space="708"/>
          <w:docGrid w:linePitch="360"/>
        </w:sectPr>
      </w:pPr>
    </w:p>
    <w:p w:rsidR="00D93A36"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D93A36" w:rsidP="0014425B">
      <w:pPr>
        <w:spacing w:before="0" w:line="240" w:lineRule="auto"/>
        <w:jc w:val="left"/>
        <w:rPr>
          <w:rFonts w:ascii="Segoe UI Semibold" w:hAnsi="Segoe UI Semibold"/>
          <w:lang w:eastAsia="cs-CZ"/>
        </w:rPr>
      </w:pPr>
    </w:p>
    <w:p w:rsidR="00D93A36"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365215"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127D0D">
      <w:pPr>
        <w:spacing w:before="0" w:line="240" w:lineRule="auto"/>
        <w:jc w:val="left"/>
        <w:rPr>
          <w:rFonts w:ascii="Segoe UI Semibold" w:hAnsi="Segoe UI Semibold"/>
          <w:lang w:eastAsia="cs-CZ"/>
        </w:rPr>
      </w:pPr>
    </w:p>
    <w:p w:rsidR="00963EDC" w:rsidRPr="00F07885" w:rsidP="00963EDC">
      <w:pPr>
        <w:autoSpaceDE w:val="0"/>
        <w:autoSpaceDN w:val="0"/>
        <w:adjustRightInd w:val="0"/>
        <w:spacing w:before="0" w:line="240" w:lineRule="auto"/>
        <w:jc w:val="center"/>
        <w:rPr>
          <w:rFonts w:asciiTheme="majorHAnsi" w:hAnsiTheme="majorHAnsi" w:cs="Calibri-Bold"/>
          <w:b/>
          <w:bCs/>
          <w:lang w:eastAsia="cs-CZ"/>
        </w:rPr>
      </w:pPr>
      <w:r w:rsidRPr="00F07885">
        <w:rPr>
          <w:rFonts w:asciiTheme="majorHAnsi" w:hAnsiTheme="majorHAnsi" w:cs="Calibri-Bold"/>
          <w:b/>
          <w:bCs/>
          <w:lang w:eastAsia="cs-CZ"/>
        </w:rPr>
        <w:t>Ministerstvo financí ČR</w:t>
      </w:r>
    </w:p>
    <w:p w:rsidR="00963EDC" w:rsidRPr="00F07885" w:rsidP="00963EDC">
      <w:pPr>
        <w:autoSpaceDE w:val="0"/>
        <w:autoSpaceDN w:val="0"/>
        <w:adjustRightInd w:val="0"/>
        <w:spacing w:before="0" w:line="240" w:lineRule="auto"/>
        <w:jc w:val="center"/>
        <w:rPr>
          <w:rFonts w:asciiTheme="majorHAnsi" w:hAnsiTheme="majorHAnsi" w:cs="Calibri"/>
          <w:lang w:eastAsia="cs-CZ"/>
        </w:rPr>
      </w:pPr>
      <w:r>
        <w:rPr>
          <w:rFonts w:asciiTheme="majorHAnsi" w:hAnsiTheme="majorHAnsi" w:cs="Calibri"/>
          <w:lang w:eastAsia="cs-CZ"/>
        </w:rPr>
        <w:t>s</w:t>
      </w:r>
      <w:r w:rsidRPr="00F07885">
        <w:rPr>
          <w:rFonts w:asciiTheme="majorHAnsi" w:hAnsiTheme="majorHAnsi" w:cs="Calibri"/>
          <w:lang w:eastAsia="cs-CZ"/>
        </w:rPr>
        <w:t>ekce</w:t>
      </w:r>
      <w:r w:rsidRPr="00F07885">
        <w:rPr>
          <w:rFonts w:asciiTheme="majorHAnsi" w:hAnsiTheme="majorHAnsi" w:cs="Calibri"/>
          <w:lang w:eastAsia="cs-CZ"/>
        </w:rPr>
        <w:t xml:space="preserve"> Finanční řízení a audit</w:t>
      </w:r>
    </w:p>
    <w:p w:rsidR="00963EDC" w:rsidRPr="00F07885" w:rsidP="00963EDC">
      <w:pPr>
        <w:spacing w:before="0" w:line="240" w:lineRule="auto"/>
        <w:jc w:val="center"/>
        <w:rPr>
          <w:rFonts w:asciiTheme="majorHAnsi" w:hAnsiTheme="majorHAnsi"/>
          <w:lang w:eastAsia="cs-CZ"/>
        </w:rPr>
      </w:pPr>
      <w:r>
        <w:rPr>
          <w:rFonts w:asciiTheme="majorHAnsi" w:hAnsiTheme="majorHAnsi" w:cs="Calibri"/>
          <w:lang w:eastAsia="cs-CZ"/>
        </w:rPr>
        <w:t>o</w:t>
      </w:r>
      <w:r w:rsidRPr="00F07885">
        <w:rPr>
          <w:rFonts w:asciiTheme="majorHAnsi" w:hAnsiTheme="majorHAnsi" w:cs="Calibri"/>
          <w:lang w:eastAsia="cs-CZ"/>
        </w:rPr>
        <w:t>dbor</w:t>
      </w:r>
      <w:r w:rsidRPr="00F07885">
        <w:rPr>
          <w:rFonts w:asciiTheme="majorHAnsi" w:hAnsiTheme="majorHAnsi" w:cs="Calibri"/>
          <w:lang w:eastAsia="cs-CZ"/>
        </w:rPr>
        <w:t xml:space="preserve"> Centrální harmonizační jednotka</w:t>
      </w:r>
    </w:p>
    <w:sectPr w:rsidSect="00455F5A">
      <w:headerReference w:type="default" r:id="rId22"/>
      <w:pgSz w:w="11906" w:h="16838"/>
      <w:pgMar w:top="1418"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Calibri-Bold">
    <w:altName w:val="Arial"/>
    <w:panose1 w:val="00000000000000000000"/>
    <w:charset w:val="00"/>
    <w:family w:val="swiss"/>
    <w:notTrueType/>
    <w:pitch w:val="default"/>
    <w:sig w:usb0="00000001" w:usb1="00000000" w:usb2="00000000" w:usb3="00000000" w:csb0="00000003" w:csb1="00000000"/>
  </w:font>
  <w:font w:name="Arabic Typesetting">
    <w:charset w:val="B2"/>
    <w:family w:val="script"/>
    <w:pitch w:val="variable"/>
    <w:sig w:usb0="80002007" w:usb1="80000000" w:usb2="00000008" w:usb3="00000000" w:csb0="000000D3"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0000000000000000000"/>
    <w:charset w:val="EE"/>
    <w:family w:val="swiss"/>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2D7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28410350"/>
      <w:docPartObj>
        <w:docPartGallery w:val="Page Numbers (Bottom of Page)"/>
        <w:docPartUnique/>
      </w:docPartObj>
    </w:sdtPr>
    <w:sdtContent>
      <w:p w:rsidR="00A13C81">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A528E" w:rsidP="000429C5">
      <w:r>
        <w:separator/>
      </w:r>
    </w:p>
  </w:footnote>
  <w:footnote w:type="continuationSeparator" w:id="1">
    <w:p w:rsidR="006A528E" w:rsidP="000429C5">
      <w:r>
        <w:continuationSeparator/>
      </w:r>
    </w:p>
  </w:footnote>
  <w:footnote w:type="continuationNotice" w:id="2">
    <w:p w:rsidR="006A528E">
      <w:pPr>
        <w:spacing w:before="0" w:line="240" w:lineRule="auto"/>
      </w:pPr>
    </w:p>
  </w:footnote>
  <w:footnote w:id="3">
    <w:p w:rsidR="005D358D" w:rsidP="00BC1B12">
      <w:pPr>
        <w:pStyle w:val="FootnoteText"/>
        <w:spacing w:before="60" w:line="240" w:lineRule="auto"/>
      </w:pPr>
      <w:r>
        <w:rPr>
          <w:rStyle w:val="FootnoteReference"/>
        </w:rPr>
        <w:footnoteRef/>
      </w:r>
      <w:r>
        <w:t xml:space="preserve"> </w:t>
      </w:r>
      <w:r w:rsidRPr="00BC1B12">
        <w:t>Výčet lze rozšiřovat, pokud jsou splněny podmínky uvedené v předchozí větě, tj. jde o operace, u nichž nelze ovlivnit, že se příjem nebo výdaj uskuteční nebo nelze ovlivnit jejich výši.</w:t>
      </w:r>
    </w:p>
  </w:footnote>
  <w:footnote w:id="4">
    <w:p w:rsidR="005D358D" w:rsidP="00D93A36">
      <w:pPr>
        <w:pStyle w:val="FootnoteText"/>
        <w:spacing w:before="60" w:line="240" w:lineRule="auto"/>
      </w:pPr>
      <w:r>
        <w:rPr>
          <w:rStyle w:val="FootnoteReference"/>
        </w:rPr>
        <w:footnoteRef/>
      </w:r>
      <w:r>
        <w:t xml:space="preserve"> </w:t>
      </w:r>
      <w:r w:rsidRPr="00D93A36">
        <w:t>Osobou pověřenou může být například účetní nebo ekonom.</w:t>
      </w:r>
    </w:p>
  </w:footnote>
  <w:footnote w:id="5">
    <w:p w:rsidR="005D358D" w:rsidP="00D93A36">
      <w:pPr>
        <w:pStyle w:val="FootnoteText"/>
        <w:spacing w:before="60" w:line="240" w:lineRule="auto"/>
      </w:pPr>
      <w:r>
        <w:rPr>
          <w:rStyle w:val="FootnoteReference"/>
        </w:rPr>
        <w:footnoteRef/>
      </w:r>
      <w:r>
        <w:t xml:space="preserve"> </w:t>
      </w:r>
      <w:r w:rsidRPr="00D93A36">
        <w:t>Doporučujeme zavést funkci „ověřovatele“ do interních procesů, ze zákona však tato povinnost nevyplývá.</w:t>
      </w:r>
    </w:p>
  </w:footnote>
  <w:footnote w:id="6">
    <w:p w:rsidR="005D358D" w:rsidP="00D93A36">
      <w:pPr>
        <w:pStyle w:val="FootnoteText"/>
        <w:spacing w:before="60" w:line="240" w:lineRule="auto"/>
      </w:pPr>
      <w:r>
        <w:rPr>
          <w:rStyle w:val="FootnoteReference"/>
        </w:rPr>
        <w:footnoteRef/>
      </w:r>
      <w:r>
        <w:t xml:space="preserve"> </w:t>
      </w:r>
      <w:r w:rsidRPr="00D93A36">
        <w:t>Fáze přípravy příjmové operace je např. doba před podpisem smlouvy, na jejímž základě vzniká o</w:t>
      </w:r>
      <w:r w:rsidR="00711059">
        <w:t>rgánu veřejné správy</w:t>
      </w:r>
      <w:r w:rsidRPr="00D93A36">
        <w:t xml:space="preserve"> nárok na příjem do rozpočtu (např. před podpisem smlouvy, před podáním žádosti o dotaci na projekt, který má být spolufinancován ze státního rozpočtu, rozpočtu státního fondu nebo fondů EU</w:t>
      </w:r>
      <w:r w:rsidR="00C93672">
        <w:t>)</w:t>
      </w:r>
      <w:r w:rsidRPr="00D93A36">
        <w:t>.</w:t>
      </w:r>
    </w:p>
  </w:footnote>
  <w:footnote w:id="7">
    <w:p w:rsidR="005D358D" w:rsidP="00D93A36">
      <w:pPr>
        <w:pStyle w:val="FootnoteText"/>
        <w:spacing w:before="60" w:line="240" w:lineRule="auto"/>
      </w:pPr>
      <w:r>
        <w:rPr>
          <w:rStyle w:val="FootnoteReference"/>
        </w:rPr>
        <w:footnoteRef/>
      </w:r>
      <w:r>
        <w:t xml:space="preserve"> </w:t>
      </w:r>
      <w:r w:rsidRPr="00D93A36">
        <w:t xml:space="preserve">Zákon o řízení a kontrole veřejných financí nestanoví pořadí, ve kterém mají být jednotlivé kroky předběžné řídicí kontroly provedeny, tzn., zda bude operace nejdřív prověřována příkazcem operace nebo správcem rozpočtu, případně zda se jednotlivé jejich kroky budou vzájemně prolínat a doplňovat. Nastavení závisí na rozhodnutí </w:t>
      </w:r>
      <w:r w:rsidR="00440C1A">
        <w:t xml:space="preserve">vedoucího orgánu veřejné správy </w:t>
      </w:r>
      <w:r w:rsidRPr="00D93A36">
        <w:t>a musí být upraveno ve vnitřním předpisu [viz ustanovení § 9 odst. 1 písm. a) návrhu zákona].</w:t>
      </w:r>
    </w:p>
  </w:footnote>
  <w:footnote w:id="8">
    <w:p w:rsidR="005D358D" w:rsidP="00D93A36">
      <w:pPr>
        <w:pStyle w:val="FootnoteText"/>
        <w:spacing w:before="60" w:line="240" w:lineRule="auto"/>
      </w:pPr>
      <w:r>
        <w:rPr>
          <w:rStyle w:val="FootnoteReference"/>
        </w:rPr>
        <w:footnoteRef/>
      </w:r>
      <w:r>
        <w:t xml:space="preserve"> </w:t>
      </w:r>
      <w:r w:rsidRPr="00D93A36">
        <w:t xml:space="preserve">Riziko je okolnost, která může (ale nemusí) negativně ovlivnit operaci. Např. </w:t>
      </w:r>
      <w:r w:rsidR="00077880">
        <w:t>orgán veřejné správy</w:t>
      </w:r>
      <w:r w:rsidRPr="00D93A36">
        <w:t xml:space="preserve"> při zvažování podání žádosti o</w:t>
      </w:r>
      <w:r w:rsidR="00774B0D">
        <w:t> </w:t>
      </w:r>
      <w:r w:rsidRPr="00D93A36">
        <w:t>dotaci musí zvážit riziko, zda je schop</w:t>
      </w:r>
      <w:r w:rsidR="00597C91">
        <w:t>e</w:t>
      </w:r>
      <w:r w:rsidRPr="00D93A36">
        <w:t>n dostát všem podmínkám vyplývajícím z rozhodnutí o poskytnutí dotace či zda je vůbec schop</w:t>
      </w:r>
      <w:r w:rsidR="00597C91">
        <w:t>e</w:t>
      </w:r>
      <w:r w:rsidRPr="00D93A36">
        <w:t>n celou dotaci administrovat.</w:t>
      </w:r>
    </w:p>
  </w:footnote>
  <w:footnote w:id="9">
    <w:p w:rsidR="00D81DE8" w:rsidP="00D81DE8">
      <w:pPr>
        <w:pStyle w:val="FootnoteText"/>
      </w:pPr>
      <w:r>
        <w:rPr>
          <w:rStyle w:val="FootnoteReference"/>
        </w:rPr>
        <w:footnoteRef/>
      </w:r>
      <w:r>
        <w:t xml:space="preserve"> Doporučujeme ve směrnici stanovit, v jakých případech postačí ověřovací razítko.</w:t>
      </w:r>
    </w:p>
  </w:footnote>
  <w:footnote w:id="10">
    <w:p w:rsidR="00D81DE8" w:rsidP="00D81DE8">
      <w:pPr>
        <w:pStyle w:val="FootnoteText"/>
        <w:spacing w:before="60" w:line="240" w:lineRule="auto"/>
      </w:pPr>
      <w:r>
        <w:rPr>
          <w:rStyle w:val="FootnoteReference"/>
        </w:rPr>
        <w:footnoteRef/>
      </w:r>
      <w:r>
        <w:t xml:space="preserve"> </w:t>
      </w:r>
      <w:r w:rsidRPr="00076296">
        <w:t xml:space="preserve">Pokud </w:t>
      </w:r>
      <w:r w:rsidR="00E06BC0">
        <w:rPr>
          <w:lang w:eastAsia="cs-CZ"/>
        </w:rPr>
        <w:t>orgán veřejné správy</w:t>
      </w:r>
      <w:r w:rsidRPr="00076296" w:rsidR="00E06BC0">
        <w:t xml:space="preserve"> </w:t>
      </w:r>
      <w:r w:rsidRPr="00076296">
        <w:t>takovým informačním systémem disponuje.</w:t>
      </w:r>
    </w:p>
  </w:footnote>
  <w:footnote w:id="11">
    <w:p w:rsidR="005D358D" w:rsidP="00D93A36">
      <w:pPr>
        <w:pStyle w:val="FootnoteText"/>
        <w:spacing w:before="60" w:line="240" w:lineRule="auto"/>
      </w:pPr>
      <w:r>
        <w:rPr>
          <w:rStyle w:val="FootnoteReference"/>
        </w:rPr>
        <w:footnoteRef/>
      </w:r>
      <w:r>
        <w:t xml:space="preserve"> </w:t>
      </w:r>
      <w:r w:rsidRPr="00D93A36">
        <w:t xml:space="preserve">Osoba určená </w:t>
      </w:r>
      <w:r w:rsidR="00E06BC0">
        <w:t>vedoucím orgánu veřejné správy</w:t>
      </w:r>
      <w:r w:rsidRPr="00D93A36">
        <w:t>, např. účetní.</w:t>
      </w:r>
    </w:p>
  </w:footnote>
  <w:footnote w:id="12">
    <w:p w:rsidR="005D358D" w:rsidP="00D93A36">
      <w:pPr>
        <w:pStyle w:val="FootnoteText"/>
        <w:spacing w:before="60" w:line="240" w:lineRule="auto"/>
      </w:pPr>
      <w:r>
        <w:rPr>
          <w:rStyle w:val="FootnoteReference"/>
        </w:rPr>
        <w:footnoteRef/>
      </w:r>
      <w:r>
        <w:t xml:space="preserve"> </w:t>
      </w:r>
      <w:r w:rsidRPr="00D93A36">
        <w:t xml:space="preserve">Lze nastavit jinak. Pokud jsou stanoveny postupy pro vymáhání pohledávek, může být stanoveno, že účetní rovnou realizuje konkrétní opatření a není nutné za každých okolností vytvářet záznam a informovat </w:t>
      </w:r>
      <w:r w:rsidR="00BE26B5">
        <w:t xml:space="preserve">vedoucího </w:t>
      </w:r>
      <w:r w:rsidR="00BE26B5">
        <w:rPr>
          <w:lang w:eastAsia="cs-CZ"/>
        </w:rPr>
        <w:t>orgánu veřejné správy</w:t>
      </w:r>
      <w:r w:rsidRPr="00D93A36">
        <w:t xml:space="preserve"> (příkazce operace).</w:t>
      </w:r>
    </w:p>
  </w:footnote>
  <w:footnote w:id="13">
    <w:p w:rsidR="005D358D" w:rsidP="00D93A36">
      <w:pPr>
        <w:pStyle w:val="FootnoteText"/>
        <w:spacing w:before="60" w:line="240" w:lineRule="auto"/>
      </w:pPr>
      <w:r>
        <w:rPr>
          <w:rStyle w:val="FootnoteReference"/>
        </w:rPr>
        <w:footnoteRef/>
      </w:r>
      <w:r>
        <w:t xml:space="preserve"> </w:t>
      </w:r>
      <w:r w:rsidRPr="00D93A36">
        <w:t>Veřejnou finanční podporou se rozumí zejména dotace, návratné finanční výpomoci, příspěvky poskytnuté z veřejného rozpočtu zřizovatele a prostředky poskytnuté z veřejného rozpočtu jejich příjemci na základě žádosti.</w:t>
      </w:r>
    </w:p>
  </w:footnote>
  <w:footnote w:id="14">
    <w:p w:rsidR="005D358D" w:rsidP="00D93A36">
      <w:pPr>
        <w:pStyle w:val="FootnoteText"/>
        <w:spacing w:before="60" w:line="240" w:lineRule="auto"/>
      </w:pPr>
      <w:r>
        <w:rPr>
          <w:rStyle w:val="FootnoteReference"/>
        </w:rPr>
        <w:footnoteRef/>
      </w:r>
      <w:r>
        <w:t xml:space="preserve"> </w:t>
      </w:r>
      <w:r w:rsidRPr="00D93A36">
        <w:t xml:space="preserve">Zákon o řízení a kontrole veřejných financí nestanoví pořadí, ve kterém mají být jednotlivé kroky předběžné řídicí kontroly provedeny, tzn., zda bude operace nejdřív prověřována příkazcem operace nebo správcem rozpočtu, případně zda se jednotlivé jejich kroky budou vzájemně prolínat a doplňovat. Nastavení závisí na rozhodnutí </w:t>
      </w:r>
      <w:r w:rsidR="00070B97">
        <w:t xml:space="preserve">vedoucího </w:t>
      </w:r>
      <w:r w:rsidR="00070B97">
        <w:rPr>
          <w:lang w:eastAsia="cs-CZ"/>
        </w:rPr>
        <w:t>orgánu veřejné správy</w:t>
      </w:r>
      <w:r w:rsidRPr="00D93A36" w:rsidR="00070B97">
        <w:t xml:space="preserve"> </w:t>
      </w:r>
      <w:r w:rsidRPr="00D93A36">
        <w:t>a musí být upraveno ve vnitřním předpisu [viz ustanovení § 9 odst. 1 písm. a) návrhu zákona].</w:t>
      </w:r>
    </w:p>
  </w:footnote>
  <w:footnote w:id="15">
    <w:p w:rsidR="005D358D" w:rsidP="00D93A36">
      <w:pPr>
        <w:pStyle w:val="FootnoteText"/>
        <w:spacing w:before="60" w:line="240" w:lineRule="auto"/>
      </w:pPr>
      <w:r>
        <w:rPr>
          <w:rStyle w:val="FootnoteReference"/>
        </w:rPr>
        <w:footnoteRef/>
      </w:r>
      <w:r>
        <w:t xml:space="preserve"> </w:t>
      </w:r>
      <w:r w:rsidRPr="00D93A36">
        <w:t xml:space="preserve">Riziko je okolnost, která může (ale nemusí) negativně ovlivnit úspěšný nákup. Tzn., aby proběhl ve stanovený čas, ve stanovené kvalitě při dodržení vhodně stanovených smluvních podmínek. </w:t>
      </w:r>
    </w:p>
  </w:footnote>
  <w:footnote w:id="16">
    <w:p w:rsidR="00176CFB" w:rsidP="00176CFB">
      <w:pPr>
        <w:pStyle w:val="FootnoteText"/>
      </w:pPr>
      <w:r>
        <w:rPr>
          <w:rStyle w:val="FootnoteReference"/>
        </w:rPr>
        <w:footnoteRef/>
      </w:r>
      <w:r>
        <w:t xml:space="preserve"> Doporučujeme ve směrnici stanovit, v jakých případech postačí ověřovací razítko.</w:t>
      </w:r>
    </w:p>
  </w:footnote>
  <w:footnote w:id="17">
    <w:p w:rsidR="00176CFB" w:rsidP="00176CFB">
      <w:pPr>
        <w:pStyle w:val="FootnoteText"/>
        <w:spacing w:before="60" w:line="240" w:lineRule="auto"/>
      </w:pPr>
      <w:r>
        <w:rPr>
          <w:rStyle w:val="FootnoteReference"/>
        </w:rPr>
        <w:footnoteRef/>
      </w:r>
      <w:r>
        <w:t xml:space="preserve"> </w:t>
      </w:r>
      <w:r w:rsidRPr="00076296">
        <w:t xml:space="preserve">Pokud </w:t>
      </w:r>
      <w:r w:rsidR="0059288D">
        <w:rPr>
          <w:lang w:eastAsia="cs-CZ"/>
        </w:rPr>
        <w:t>orgán veřejné správy</w:t>
      </w:r>
      <w:r>
        <w:t xml:space="preserve"> </w:t>
      </w:r>
      <w:r w:rsidRPr="00076296">
        <w:t>takovým informačním systémem disponuje.</w:t>
      </w:r>
    </w:p>
  </w:footnote>
  <w:footnote w:id="18">
    <w:p w:rsidR="005D358D" w:rsidP="00D93A36">
      <w:pPr>
        <w:pStyle w:val="FootnoteText"/>
        <w:spacing w:before="60" w:line="240" w:lineRule="auto"/>
      </w:pPr>
      <w:r>
        <w:rPr>
          <w:rStyle w:val="FootnoteReference"/>
        </w:rPr>
        <w:footnoteRef/>
      </w:r>
      <w:r>
        <w:t xml:space="preserve"> </w:t>
      </w:r>
      <w:r w:rsidRPr="00D94ABF">
        <w:t>Limit finančních prostředků nemusí být vnitřním předpisem stanoven – záleží na potřeb</w:t>
      </w:r>
      <w:r w:rsidR="0059288D">
        <w:t xml:space="preserve">ách </w:t>
      </w:r>
      <w:r w:rsidR="0059288D">
        <w:rPr>
          <w:lang w:eastAsia="cs-CZ"/>
        </w:rPr>
        <w:t>orgánu veřejné správy</w:t>
      </w:r>
      <w:r w:rsidRPr="00D94ABF">
        <w:t>.</w:t>
      </w:r>
    </w:p>
  </w:footnote>
  <w:footnote w:id="19">
    <w:p w:rsidR="005D358D" w:rsidP="00D93A36">
      <w:pPr>
        <w:pStyle w:val="FootnoteText"/>
        <w:spacing w:before="60" w:line="240" w:lineRule="auto"/>
      </w:pPr>
      <w:r>
        <w:rPr>
          <w:rStyle w:val="FootnoteReference"/>
        </w:rPr>
        <w:footnoteRef/>
      </w:r>
      <w:r>
        <w:t xml:space="preserve"> </w:t>
      </w:r>
      <w:r w:rsidRPr="00D94ABF">
        <w:t xml:space="preserve">Výčet výdajů lze upravit podle potřeb </w:t>
      </w:r>
      <w:r w:rsidR="006D08C2">
        <w:rPr>
          <w:lang w:eastAsia="cs-CZ"/>
        </w:rPr>
        <w:t>orgánu veřejné správy</w:t>
      </w:r>
      <w:r w:rsidRPr="00D94ABF">
        <w:t>. Vždy však musí být dodrženo, že se jedná o běžné provozní výdaje s</w:t>
      </w:r>
      <w:r w:rsidR="00451B40">
        <w:t> </w:t>
      </w:r>
      <w:r w:rsidRPr="00D94ABF">
        <w:t>nízkou mírou rizika.</w:t>
      </w:r>
    </w:p>
  </w:footnote>
  <w:footnote w:id="20">
    <w:p w:rsidR="005D358D" w:rsidP="00D93A36">
      <w:pPr>
        <w:pStyle w:val="FootnoteText"/>
        <w:spacing w:before="60" w:line="240" w:lineRule="auto"/>
      </w:pPr>
      <w:r>
        <w:rPr>
          <w:rStyle w:val="FootnoteReference"/>
        </w:rPr>
        <w:footnoteRef/>
      </w:r>
      <w:r>
        <w:t xml:space="preserve"> </w:t>
      </w:r>
      <w:r w:rsidRPr="00D94ABF">
        <w:t xml:space="preserve">Zákon o řízení a kontrole veřejných financí nestanoví pořadí, ve kterém mají být jednotlivé kroky předběžné řídicí kontroly provedeny, tzn., zda bude operace nejdřív prověřována příkazcem operace nebo hlavním účetním, případně zda se jednotlivé jejich kroky budou vzájemně prolínat a doplňovat. Nastavení závisí na rozhodnutí </w:t>
      </w:r>
      <w:r w:rsidR="003B633C">
        <w:t xml:space="preserve">vedoucího </w:t>
      </w:r>
      <w:r w:rsidR="003B633C">
        <w:rPr>
          <w:lang w:eastAsia="cs-CZ"/>
        </w:rPr>
        <w:t>orgánu veřejné správy</w:t>
      </w:r>
      <w:r w:rsidRPr="00D94ABF">
        <w:t xml:space="preserve"> a musí být upraveno ve vnitřním předpisu [viz ustanovení § 9 odst. 1 písm. a) návrhu zákona].</w:t>
      </w:r>
    </w:p>
  </w:footnote>
  <w:footnote w:id="21">
    <w:p w:rsidR="00AC5511" w:rsidP="00AC5511">
      <w:pPr>
        <w:pStyle w:val="FootnoteText"/>
      </w:pPr>
      <w:r>
        <w:rPr>
          <w:rStyle w:val="FootnoteReference"/>
        </w:rPr>
        <w:footnoteRef/>
      </w:r>
      <w:r>
        <w:t xml:space="preserve"> Doporučujeme ve směrnici stanovit, v jakých případech postačí ověřovací razítko.</w:t>
      </w:r>
    </w:p>
  </w:footnote>
  <w:footnote w:id="22">
    <w:p w:rsidR="00AC5511" w:rsidP="00AC5511">
      <w:pPr>
        <w:pStyle w:val="FootnoteText"/>
        <w:spacing w:before="60" w:line="240" w:lineRule="auto"/>
      </w:pPr>
      <w:r>
        <w:rPr>
          <w:rStyle w:val="FootnoteReference"/>
        </w:rPr>
        <w:footnoteRef/>
      </w:r>
      <w:r>
        <w:t xml:space="preserve"> </w:t>
      </w:r>
      <w:r w:rsidRPr="00076296">
        <w:t xml:space="preserve">Pokud </w:t>
      </w:r>
      <w:r w:rsidR="00963E65">
        <w:rPr>
          <w:lang w:eastAsia="cs-CZ"/>
        </w:rPr>
        <w:t>orgán veřejné správy</w:t>
      </w:r>
      <w:r w:rsidRPr="00076296" w:rsidR="00963E65">
        <w:t xml:space="preserve"> </w:t>
      </w:r>
      <w:r w:rsidRPr="00076296">
        <w:t>takovým informačním systémem disponuje.</w:t>
      </w:r>
    </w:p>
  </w:footnote>
  <w:footnote w:id="23">
    <w:p w:rsidR="005D358D" w:rsidP="00D93A36">
      <w:pPr>
        <w:pStyle w:val="FootnoteText"/>
        <w:spacing w:before="60" w:line="240" w:lineRule="auto"/>
      </w:pPr>
      <w:r>
        <w:rPr>
          <w:rStyle w:val="FootnoteReference"/>
        </w:rPr>
        <w:footnoteRef/>
      </w:r>
      <w:r>
        <w:t xml:space="preserve"> </w:t>
      </w:r>
      <w:r w:rsidRPr="00D94ABF">
        <w:t xml:space="preserve">Osoba určená </w:t>
      </w:r>
      <w:r w:rsidR="00963E65">
        <w:t xml:space="preserve">vedoucím </w:t>
      </w:r>
      <w:r w:rsidR="00963E65">
        <w:rPr>
          <w:lang w:eastAsia="cs-CZ"/>
        </w:rPr>
        <w:t>orgánu veřejné správy</w:t>
      </w:r>
      <w:r w:rsidRPr="00D94ABF">
        <w:t>, např. účetní.</w:t>
      </w:r>
    </w:p>
  </w:footnote>
  <w:footnote w:id="24">
    <w:p w:rsidR="005D358D" w:rsidP="00D93A36">
      <w:pPr>
        <w:pStyle w:val="FootnoteText"/>
        <w:spacing w:before="60" w:line="240" w:lineRule="auto"/>
      </w:pPr>
      <w:r>
        <w:rPr>
          <w:rStyle w:val="FootnoteReference"/>
        </w:rPr>
        <w:footnoteRef/>
      </w:r>
      <w:r>
        <w:t xml:space="preserve"> </w:t>
      </w:r>
      <w:r w:rsidRPr="00D94ABF">
        <w:t xml:space="preserve">Osoba určená </w:t>
      </w:r>
      <w:r w:rsidR="00BA4146">
        <w:t xml:space="preserve">vedoucím </w:t>
      </w:r>
      <w:r w:rsidR="00BA4146">
        <w:rPr>
          <w:lang w:eastAsia="cs-CZ"/>
        </w:rPr>
        <w:t>orgánu veřejné správy</w:t>
      </w:r>
      <w:r w:rsidRPr="00D94ABF">
        <w:t>, např. osoba, která připravuje podklady k majetkové operaci. Zákon o řízení a</w:t>
      </w:r>
      <w:r w:rsidR="00A7039D">
        <w:t> </w:t>
      </w:r>
      <w:r w:rsidRPr="00D94ABF">
        <w:t xml:space="preserve">kontrole veřejných financí nestanoví pořadí, ve kterém mají být jednotlivé kroky předběžné řídicí kontroly provedeny, tzn., zda bude operace nejdřív prověřována příkazcem operace nebo osobou určenou, případně zda se jednotlivé jejich kroky budou vzájemně prolínat a doplňovat. Nastavení závisí na rozhodnutí </w:t>
      </w:r>
      <w:r w:rsidR="0010166E">
        <w:t xml:space="preserve">vedoucího </w:t>
      </w:r>
      <w:r w:rsidR="0010166E">
        <w:rPr>
          <w:lang w:eastAsia="cs-CZ"/>
        </w:rPr>
        <w:t>orgánu veřejné správy</w:t>
      </w:r>
      <w:r w:rsidRPr="00D94ABF">
        <w:t xml:space="preserve"> a musí být upraveno ve vnitřním předpisu [viz ustanovení § 9 odst. 1 písm. a) návrhu zákona].</w:t>
      </w:r>
    </w:p>
  </w:footnote>
  <w:footnote w:id="25">
    <w:p w:rsidR="005D358D" w:rsidP="00D93A36">
      <w:pPr>
        <w:pStyle w:val="FootnoteText"/>
        <w:spacing w:before="60" w:line="240" w:lineRule="auto"/>
      </w:pPr>
      <w:r>
        <w:rPr>
          <w:rStyle w:val="FootnoteReference"/>
        </w:rPr>
        <w:footnoteRef/>
      </w:r>
      <w:r>
        <w:t xml:space="preserve"> </w:t>
      </w:r>
      <w:r w:rsidRPr="00D94ABF">
        <w:t>Osoba určená starostou.</w:t>
      </w:r>
    </w:p>
  </w:footnote>
  <w:footnote w:id="26">
    <w:p w:rsidR="005D358D" w:rsidP="00D93A36">
      <w:pPr>
        <w:pStyle w:val="FootnoteText"/>
        <w:spacing w:before="60" w:line="240" w:lineRule="auto"/>
      </w:pPr>
      <w:r>
        <w:rPr>
          <w:rStyle w:val="FootnoteReference"/>
        </w:rPr>
        <w:footnoteRef/>
      </w:r>
      <w:r>
        <w:t xml:space="preserve"> </w:t>
      </w:r>
      <w:r w:rsidRPr="00D94ABF">
        <w:t>Kritéria pro výběr vzorku stanoví starosta.</w:t>
      </w:r>
    </w:p>
  </w:footnote>
  <w:footnote w:id="27">
    <w:p w:rsidR="005D358D" w:rsidP="00D93A36">
      <w:pPr>
        <w:pStyle w:val="FootnoteText"/>
        <w:spacing w:before="60" w:line="240" w:lineRule="auto"/>
      </w:pPr>
      <w:r>
        <w:rPr>
          <w:rStyle w:val="FootnoteReference"/>
        </w:rPr>
        <w:footnoteRef/>
      </w:r>
      <w:r>
        <w:t xml:space="preserve"> </w:t>
      </w:r>
      <w:r w:rsidRPr="00D94ABF">
        <w:t xml:space="preserve">Riziko je okolnost, která může (ale nemusí) negativně ovlivnit </w:t>
      </w:r>
      <w:r w:rsidR="00126BD2">
        <w:t>operaci</w:t>
      </w:r>
      <w:r w:rsidRPr="00D94ABF">
        <w:t xml:space="preserve">. Např. u dotací čerpaných z Evropské unie existuje riziko vzniku porušení rozpočtové kázně v důsledku toho, že organizace nedodrží po dokončení projektu podmínky udržitelnosti. V rámci následné kontroly se tedy </w:t>
      </w:r>
      <w:r w:rsidR="004E2C66">
        <w:t>orgán veřejné správy</w:t>
      </w:r>
      <w:r w:rsidRPr="00D94ABF">
        <w:t xml:space="preserve"> zaměří zejména na naplnění těchto podmínek.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265A58" w:rsidP="009D522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6b: Vzor ověřovacího razítka – předběžná řídicí kontrola před platbou</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7: Vzor záznamu – předběžná řídicí kontrola před schválením majetkové operace</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D2248">
    <w:pPr>
      <w:pStyle w:val="Header"/>
      <w:jc w:val="center"/>
      <w:rPr>
        <w:rFonts w:asciiTheme="majorHAnsi" w:hAnsiTheme="majorHAnsi"/>
        <w:b/>
      </w:rPr>
    </w:pPr>
    <w:r w:rsidRPr="00B17663">
      <w:rPr>
        <w:rFonts w:asciiTheme="majorHAnsi" w:hAnsiTheme="majorHAnsi"/>
        <w:b/>
      </w:rPr>
      <w:t>Příloha č. 8: Vzor záznamu – následná řídicí kontrola</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265A58" w:rsidP="009D52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1: Vzor pověření k výkonu řídicí kontroly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E459FF" w:rsidP="00C27AE5">
    <w:pPr>
      <w:pStyle w:val="Header"/>
      <w:jc w:val="center"/>
      <w:rPr>
        <w:b/>
        <w:bCs/>
      </w:rPr>
    </w:pPr>
    <w:r w:rsidRPr="00E459FF">
      <w:rPr>
        <w:b/>
        <w:bCs/>
      </w:rPr>
      <w:t>Příloha č. 2a</w:t>
    </w:r>
    <w:r>
      <w:rPr>
        <w:b/>
        <w:bCs/>
      </w:rPr>
      <w:t>:</w:t>
    </w:r>
    <w:r w:rsidRPr="00E459FF">
      <w:rPr>
        <w:b/>
        <w:bCs/>
      </w:rPr>
      <w:t xml:space="preserve"> Vzor záznamu – předběžná řídicí kontrola před schválením příjmové operace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D43C56">
      <w:rPr>
        <w:rFonts w:asciiTheme="majorHAnsi" w:hAnsiTheme="majorHAnsi"/>
        <w:b/>
      </w:rPr>
      <w:t>Příloha č. 2b</w:t>
    </w:r>
    <w:r>
      <w:rPr>
        <w:rFonts w:asciiTheme="majorHAnsi" w:hAnsiTheme="majorHAnsi"/>
        <w:b/>
      </w:rPr>
      <w:t>:</w:t>
    </w:r>
    <w:r w:rsidRPr="00D43C56">
      <w:rPr>
        <w:rFonts w:asciiTheme="majorHAnsi" w:hAnsiTheme="majorHAnsi"/>
        <w:b/>
      </w:rPr>
      <w:t xml:space="preserve"> Vzor ověřovacího razítka </w:t>
    </w:r>
    <w:r>
      <w:rPr>
        <w:rFonts w:asciiTheme="majorHAnsi" w:hAnsiTheme="majorHAnsi"/>
        <w:b/>
      </w:rPr>
      <w:t>–</w:t>
    </w:r>
    <w:r w:rsidRPr="00D43C56">
      <w:rPr>
        <w:rFonts w:asciiTheme="majorHAnsi" w:hAnsiTheme="majorHAnsi"/>
        <w:b/>
      </w:rPr>
      <w:t xml:space="preserve"> předběžná řídicí kontroly před schválením příjmové operace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D43C56">
      <w:rPr>
        <w:rFonts w:asciiTheme="majorHAnsi" w:hAnsiTheme="majorHAnsi"/>
        <w:b/>
      </w:rPr>
      <w:t>Příloha č. 3</w:t>
    </w:r>
    <w:r>
      <w:rPr>
        <w:rFonts w:asciiTheme="majorHAnsi" w:hAnsiTheme="majorHAnsi"/>
        <w:b/>
      </w:rPr>
      <w:t>:</w:t>
    </w:r>
    <w:r w:rsidRPr="00D43C56">
      <w:rPr>
        <w:rFonts w:asciiTheme="majorHAnsi" w:hAnsiTheme="majorHAnsi"/>
        <w:b/>
      </w:rPr>
      <w:t xml:space="preserve"> Vzor záznamu – řídicí kontrola příjmové operace – neuhrazené pohledávky</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B17663">
      <w:rPr>
        <w:rFonts w:asciiTheme="majorHAnsi" w:hAnsiTheme="majorHAnsi"/>
        <w:b/>
      </w:rPr>
      <w:t>Příloha č. 4a: Vzor záznamu – předběžná řídicí kontrola před schválením výdajové operace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4b: Vzor ověřovacího razítka – předběžná řídicí kontrola před schválením výdajové operace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5: Vzor záznamu – hromadné provedení předběžné řídicí kontroly před schválením výdajových operací</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6a: Vzor záznamu – předběžná řídicí kontrola před platbou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84pt;width:384pt" o:bullet="t">
        <v:imagedata r:id="rId1" o:title="erase-512"/>
      </v:shape>
    </w:pict>
  </w:numPicBullet>
  <w:abstractNum w:abstractNumId="0">
    <w:nsid w:val="FFFFFF89"/>
    <w:multiLevelType w:val="singleLevel"/>
    <w:tmpl w:val="10BAEB2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15451"/>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A66BDF"/>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A13259"/>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7F90B79"/>
    <w:multiLevelType w:val="hybridMultilevel"/>
    <w:tmpl w:val="95B85504"/>
    <w:lvl w:ilvl="0">
      <w:start w:val="1"/>
      <w:numFmt w:val="bullet"/>
      <w:lvlText w:val=""/>
      <w:lvlJc w:val="left"/>
      <w:pPr>
        <w:ind w:left="1068" w:hanging="360"/>
      </w:pPr>
      <w:rPr>
        <w:rFonts w:ascii="Symbol" w:hAnsi="Symbol"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5">
    <w:nsid w:val="087932DB"/>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97A446F"/>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9EE2D92"/>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9FB0E37"/>
    <w:multiLevelType w:val="multilevel"/>
    <w:tmpl w:val="B4EA099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E766805"/>
    <w:multiLevelType w:val="hybridMultilevel"/>
    <w:tmpl w:val="4510CF16"/>
    <w:lvl w:ilvl="0">
      <w:start w:val="1"/>
      <w:numFmt w:val="decimal"/>
      <w:lvlText w:val="%1."/>
      <w:lvlJc w:val="left"/>
      <w:pPr>
        <w:ind w:left="4336" w:hanging="360"/>
      </w:pPr>
      <w:rPr>
        <w:rFonts w:hint="default"/>
      </w:rPr>
    </w:lvl>
    <w:lvl w:ilvl="1" w:tentative="1">
      <w:start w:val="1"/>
      <w:numFmt w:val="lowerLetter"/>
      <w:lvlText w:val="%2."/>
      <w:lvlJc w:val="left"/>
      <w:pPr>
        <w:ind w:left="5056" w:hanging="360"/>
      </w:pPr>
    </w:lvl>
    <w:lvl w:ilvl="2" w:tentative="1">
      <w:start w:val="1"/>
      <w:numFmt w:val="lowerRoman"/>
      <w:lvlText w:val="%3."/>
      <w:lvlJc w:val="right"/>
      <w:pPr>
        <w:ind w:left="5776" w:hanging="180"/>
      </w:pPr>
    </w:lvl>
    <w:lvl w:ilvl="3" w:tentative="1">
      <w:start w:val="1"/>
      <w:numFmt w:val="decimal"/>
      <w:lvlText w:val="%4."/>
      <w:lvlJc w:val="left"/>
      <w:pPr>
        <w:ind w:left="6496" w:hanging="360"/>
      </w:pPr>
    </w:lvl>
    <w:lvl w:ilvl="4" w:tentative="1">
      <w:start w:val="1"/>
      <w:numFmt w:val="lowerLetter"/>
      <w:lvlText w:val="%5."/>
      <w:lvlJc w:val="left"/>
      <w:pPr>
        <w:ind w:left="7216" w:hanging="360"/>
      </w:pPr>
    </w:lvl>
    <w:lvl w:ilvl="5" w:tentative="1">
      <w:start w:val="1"/>
      <w:numFmt w:val="lowerRoman"/>
      <w:lvlText w:val="%6."/>
      <w:lvlJc w:val="right"/>
      <w:pPr>
        <w:ind w:left="7936" w:hanging="180"/>
      </w:pPr>
    </w:lvl>
    <w:lvl w:ilvl="6" w:tentative="1">
      <w:start w:val="1"/>
      <w:numFmt w:val="decimal"/>
      <w:lvlText w:val="%7."/>
      <w:lvlJc w:val="left"/>
      <w:pPr>
        <w:ind w:left="8656" w:hanging="360"/>
      </w:pPr>
    </w:lvl>
    <w:lvl w:ilvl="7" w:tentative="1">
      <w:start w:val="1"/>
      <w:numFmt w:val="lowerLetter"/>
      <w:lvlText w:val="%8."/>
      <w:lvlJc w:val="left"/>
      <w:pPr>
        <w:ind w:left="9376" w:hanging="360"/>
      </w:pPr>
    </w:lvl>
    <w:lvl w:ilvl="8" w:tentative="1">
      <w:start w:val="1"/>
      <w:numFmt w:val="lowerRoman"/>
      <w:lvlText w:val="%9."/>
      <w:lvlJc w:val="right"/>
      <w:pPr>
        <w:ind w:left="10096" w:hanging="180"/>
      </w:pPr>
    </w:lvl>
  </w:abstractNum>
  <w:abstractNum w:abstractNumId="10">
    <w:nsid w:val="116167A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1AE022D"/>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5081A5C"/>
    <w:multiLevelType w:val="multilevel"/>
    <w:tmpl w:val="E63C15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38454A"/>
    <w:multiLevelType w:val="hybridMultilevel"/>
    <w:tmpl w:val="DBCEEA20"/>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8535112"/>
    <w:multiLevelType w:val="hybridMultilevel"/>
    <w:tmpl w:val="41E6A02E"/>
    <w:lvl w:ilvl="0">
      <w:start w:val="1"/>
      <w:numFmt w:val="bullet"/>
      <w:pStyle w:val="Odrka1"/>
      <w:lvlText w:val=""/>
      <w:lvlJc w:val="left"/>
      <w:pPr>
        <w:ind w:left="720" w:hanging="360"/>
      </w:pPr>
      <w:rPr>
        <w:rFonts w:ascii="Symbol" w:hAnsi="Symbol" w:hint="default"/>
      </w:rPr>
    </w:lvl>
    <w:lvl w:ilvl="1">
      <w:start w:val="1"/>
      <w:numFmt w:val="bullet"/>
      <w:pStyle w:val="Odrazka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8EB2055"/>
    <w:multiLevelType w:val="hybridMultilevel"/>
    <w:tmpl w:val="1CCAF39C"/>
    <w:lvl w:ilvl="0">
      <w:start w:val="1"/>
      <w:numFmt w:val="decimal"/>
      <w:pStyle w:val="Pkladslo"/>
      <w:lvlText w:val="%1."/>
      <w:lvlJc w:val="left"/>
      <w:pPr>
        <w:ind w:left="890" w:hanging="360"/>
      </w:pPr>
      <w:rPr>
        <w:rFonts w:hint="default"/>
        <w:color w:val="auto"/>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tentative="1">
      <w:start w:val="1"/>
      <w:numFmt w:val="bullet"/>
      <w:lvlText w:val=""/>
      <w:lvlJc w:val="left"/>
      <w:pPr>
        <w:ind w:left="3050" w:hanging="360"/>
      </w:pPr>
      <w:rPr>
        <w:rFonts w:ascii="Symbol" w:hAnsi="Symbol" w:hint="default"/>
      </w:rPr>
    </w:lvl>
    <w:lvl w:ilvl="4" w:tentative="1">
      <w:start w:val="1"/>
      <w:numFmt w:val="bullet"/>
      <w:lvlText w:val="o"/>
      <w:lvlJc w:val="left"/>
      <w:pPr>
        <w:ind w:left="3770" w:hanging="360"/>
      </w:pPr>
      <w:rPr>
        <w:rFonts w:ascii="Courier New" w:hAnsi="Courier New" w:cs="Courier New" w:hint="default"/>
      </w:rPr>
    </w:lvl>
    <w:lvl w:ilvl="5" w:tentative="1">
      <w:start w:val="1"/>
      <w:numFmt w:val="bullet"/>
      <w:lvlText w:val=""/>
      <w:lvlJc w:val="left"/>
      <w:pPr>
        <w:ind w:left="4490" w:hanging="360"/>
      </w:pPr>
      <w:rPr>
        <w:rFonts w:ascii="Wingdings" w:hAnsi="Wingdings" w:hint="default"/>
      </w:rPr>
    </w:lvl>
    <w:lvl w:ilvl="6" w:tentative="1">
      <w:start w:val="1"/>
      <w:numFmt w:val="bullet"/>
      <w:lvlText w:val=""/>
      <w:lvlJc w:val="left"/>
      <w:pPr>
        <w:ind w:left="5210" w:hanging="360"/>
      </w:pPr>
      <w:rPr>
        <w:rFonts w:ascii="Symbol" w:hAnsi="Symbol" w:hint="default"/>
      </w:rPr>
    </w:lvl>
    <w:lvl w:ilvl="7" w:tentative="1">
      <w:start w:val="1"/>
      <w:numFmt w:val="bullet"/>
      <w:lvlText w:val="o"/>
      <w:lvlJc w:val="left"/>
      <w:pPr>
        <w:ind w:left="5930" w:hanging="360"/>
      </w:pPr>
      <w:rPr>
        <w:rFonts w:ascii="Courier New" w:hAnsi="Courier New" w:cs="Courier New" w:hint="default"/>
      </w:rPr>
    </w:lvl>
    <w:lvl w:ilvl="8" w:tentative="1">
      <w:start w:val="1"/>
      <w:numFmt w:val="bullet"/>
      <w:lvlText w:val=""/>
      <w:lvlJc w:val="left"/>
      <w:pPr>
        <w:ind w:left="6650" w:hanging="360"/>
      </w:pPr>
      <w:rPr>
        <w:rFonts w:ascii="Wingdings" w:hAnsi="Wingdings" w:hint="default"/>
      </w:rPr>
    </w:lvl>
  </w:abstractNum>
  <w:abstractNum w:abstractNumId="16">
    <w:nsid w:val="1F3D1107"/>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FD56E67"/>
    <w:multiLevelType w:val="hybridMultilevel"/>
    <w:tmpl w:val="C70237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195BB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60376AA"/>
    <w:multiLevelType w:val="multilevel"/>
    <w:tmpl w:val="8466BC2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6067528"/>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A815A08"/>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DD8034E"/>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1553DE5"/>
    <w:multiLevelType w:val="hybridMultilevel"/>
    <w:tmpl w:val="7F9E4D82"/>
    <w:lvl w:ilvl="0">
      <w:start w:val="1"/>
      <w:numFmt w:val="bullet"/>
      <w:pStyle w:val="Bulletslevel1"/>
      <w:lvlText w:val=""/>
      <w:lvlJc w:val="left"/>
      <w:pPr>
        <w:ind w:left="578" w:hanging="360"/>
      </w:pPr>
      <w:rPr>
        <w:rFonts w:ascii="Wingdings" w:hAnsi="Wingdings" w:hint="default"/>
      </w:rPr>
    </w:lvl>
    <w:lvl w:ilvl="1">
      <w:start w:val="1"/>
      <w:numFmt w:val="bullet"/>
      <w:lvlText w:val="o"/>
      <w:lvlJc w:val="left"/>
      <w:pPr>
        <w:ind w:left="1298" w:hanging="360"/>
      </w:pPr>
      <w:rPr>
        <w:rFonts w:ascii="Courier New" w:hAnsi="Courier New" w:cs="Courier New" w:hint="default"/>
      </w:rPr>
    </w:lvl>
    <w:lvl w:ilvl="2" w:tentative="1">
      <w:start w:val="1"/>
      <w:numFmt w:val="bullet"/>
      <w:lvlText w:val=""/>
      <w:lvlJc w:val="left"/>
      <w:pPr>
        <w:ind w:left="2018" w:hanging="360"/>
      </w:pPr>
      <w:rPr>
        <w:rFonts w:ascii="Wingdings" w:hAnsi="Wingdings" w:hint="default"/>
      </w:rPr>
    </w:lvl>
    <w:lvl w:ilvl="3" w:tentative="1">
      <w:start w:val="1"/>
      <w:numFmt w:val="bullet"/>
      <w:lvlText w:val=""/>
      <w:lvlJc w:val="left"/>
      <w:pPr>
        <w:ind w:left="2738" w:hanging="360"/>
      </w:pPr>
      <w:rPr>
        <w:rFonts w:ascii="Symbol" w:hAnsi="Symbol" w:hint="default"/>
      </w:rPr>
    </w:lvl>
    <w:lvl w:ilvl="4" w:tentative="1">
      <w:start w:val="1"/>
      <w:numFmt w:val="bullet"/>
      <w:lvlText w:val="o"/>
      <w:lvlJc w:val="left"/>
      <w:pPr>
        <w:ind w:left="3458" w:hanging="360"/>
      </w:pPr>
      <w:rPr>
        <w:rFonts w:ascii="Courier New" w:hAnsi="Courier New" w:cs="Courier New" w:hint="default"/>
      </w:rPr>
    </w:lvl>
    <w:lvl w:ilvl="5" w:tentative="1">
      <w:start w:val="1"/>
      <w:numFmt w:val="bullet"/>
      <w:lvlText w:val=""/>
      <w:lvlJc w:val="left"/>
      <w:pPr>
        <w:ind w:left="4178" w:hanging="360"/>
      </w:pPr>
      <w:rPr>
        <w:rFonts w:ascii="Wingdings" w:hAnsi="Wingdings" w:hint="default"/>
      </w:rPr>
    </w:lvl>
    <w:lvl w:ilvl="6" w:tentative="1">
      <w:start w:val="1"/>
      <w:numFmt w:val="bullet"/>
      <w:lvlText w:val=""/>
      <w:lvlJc w:val="left"/>
      <w:pPr>
        <w:ind w:left="4898" w:hanging="360"/>
      </w:pPr>
      <w:rPr>
        <w:rFonts w:ascii="Symbol" w:hAnsi="Symbol" w:hint="default"/>
      </w:rPr>
    </w:lvl>
    <w:lvl w:ilvl="7" w:tentative="1">
      <w:start w:val="1"/>
      <w:numFmt w:val="bullet"/>
      <w:lvlText w:val="o"/>
      <w:lvlJc w:val="left"/>
      <w:pPr>
        <w:ind w:left="5618" w:hanging="360"/>
      </w:pPr>
      <w:rPr>
        <w:rFonts w:ascii="Courier New" w:hAnsi="Courier New" w:cs="Courier New" w:hint="default"/>
      </w:rPr>
    </w:lvl>
    <w:lvl w:ilvl="8" w:tentative="1">
      <w:start w:val="1"/>
      <w:numFmt w:val="bullet"/>
      <w:lvlText w:val=""/>
      <w:lvlJc w:val="left"/>
      <w:pPr>
        <w:ind w:left="6338" w:hanging="360"/>
      </w:pPr>
      <w:rPr>
        <w:rFonts w:ascii="Wingdings" w:hAnsi="Wingdings" w:hint="default"/>
      </w:rPr>
    </w:lvl>
  </w:abstractNum>
  <w:abstractNum w:abstractNumId="24">
    <w:nsid w:val="34F9619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5F81D21"/>
    <w:multiLevelType w:val="hybridMultilevel"/>
    <w:tmpl w:val="E2E059A6"/>
    <w:lvl w:ilvl="0">
      <w:start w:val="0"/>
      <w:numFmt w:val="bullet"/>
      <w:lvlText w:val="-"/>
      <w:lvlJc w:val="left"/>
      <w:pPr>
        <w:ind w:left="720" w:hanging="360"/>
      </w:pPr>
      <w:rPr>
        <w:rFonts w:ascii="Cambria" w:hAnsi="Cambria" w:eastAsiaTheme="minorEastAsia"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97041B0"/>
    <w:multiLevelType w:val="multilevel"/>
    <w:tmpl w:val="8466BC2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DBF0829"/>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F5319F2"/>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15A666E"/>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6AA2759"/>
    <w:multiLevelType w:val="hybridMultilevel"/>
    <w:tmpl w:val="09BCB158"/>
    <w:lvl w:ilvl="0">
      <w:start w:val="1"/>
      <w:numFmt w:val="bullet"/>
      <w:pStyle w:val="Pkladcheck"/>
      <w:lvlText w:val="!"/>
      <w:lvlJc w:val="left"/>
      <w:pPr>
        <w:ind w:left="1174" w:hanging="360"/>
      </w:pPr>
      <w:rPr>
        <w:rFonts w:ascii="Cambria" w:hAnsi="Cambria" w:hint="default"/>
        <w:b/>
        <w:color w:val="FE8F3C" w:themeColor="accent4"/>
        <w:sz w:val="22"/>
      </w:rPr>
    </w:lvl>
    <w:lvl w:ilvl="1" w:tentative="1">
      <w:start w:val="1"/>
      <w:numFmt w:val="bullet"/>
      <w:lvlText w:val="o"/>
      <w:lvlJc w:val="left"/>
      <w:pPr>
        <w:ind w:left="1894" w:hanging="360"/>
      </w:pPr>
      <w:rPr>
        <w:rFonts w:ascii="Courier New" w:hAnsi="Courier New" w:cs="Courier New" w:hint="default"/>
      </w:rPr>
    </w:lvl>
    <w:lvl w:ilvl="2" w:tentative="1">
      <w:start w:val="1"/>
      <w:numFmt w:val="bullet"/>
      <w:lvlText w:val=""/>
      <w:lvlJc w:val="left"/>
      <w:pPr>
        <w:ind w:left="2614" w:hanging="360"/>
      </w:pPr>
      <w:rPr>
        <w:rFonts w:ascii="Wingdings" w:hAnsi="Wingdings" w:hint="default"/>
      </w:rPr>
    </w:lvl>
    <w:lvl w:ilvl="3" w:tentative="1">
      <w:start w:val="1"/>
      <w:numFmt w:val="bullet"/>
      <w:lvlText w:val=""/>
      <w:lvlJc w:val="left"/>
      <w:pPr>
        <w:ind w:left="3334" w:hanging="360"/>
      </w:pPr>
      <w:rPr>
        <w:rFonts w:ascii="Symbol" w:hAnsi="Symbol" w:hint="default"/>
      </w:rPr>
    </w:lvl>
    <w:lvl w:ilvl="4" w:tentative="1">
      <w:start w:val="1"/>
      <w:numFmt w:val="bullet"/>
      <w:lvlText w:val="o"/>
      <w:lvlJc w:val="left"/>
      <w:pPr>
        <w:ind w:left="4054" w:hanging="360"/>
      </w:pPr>
      <w:rPr>
        <w:rFonts w:ascii="Courier New" w:hAnsi="Courier New" w:cs="Courier New" w:hint="default"/>
      </w:rPr>
    </w:lvl>
    <w:lvl w:ilvl="5" w:tentative="1">
      <w:start w:val="1"/>
      <w:numFmt w:val="bullet"/>
      <w:lvlText w:val=""/>
      <w:lvlJc w:val="left"/>
      <w:pPr>
        <w:ind w:left="4774" w:hanging="360"/>
      </w:pPr>
      <w:rPr>
        <w:rFonts w:ascii="Wingdings" w:hAnsi="Wingdings" w:hint="default"/>
      </w:rPr>
    </w:lvl>
    <w:lvl w:ilvl="6" w:tentative="1">
      <w:start w:val="1"/>
      <w:numFmt w:val="bullet"/>
      <w:lvlText w:val=""/>
      <w:lvlJc w:val="left"/>
      <w:pPr>
        <w:ind w:left="5494" w:hanging="360"/>
      </w:pPr>
      <w:rPr>
        <w:rFonts w:ascii="Symbol" w:hAnsi="Symbol" w:hint="default"/>
      </w:rPr>
    </w:lvl>
    <w:lvl w:ilvl="7" w:tentative="1">
      <w:start w:val="1"/>
      <w:numFmt w:val="bullet"/>
      <w:lvlText w:val="o"/>
      <w:lvlJc w:val="left"/>
      <w:pPr>
        <w:ind w:left="6214" w:hanging="360"/>
      </w:pPr>
      <w:rPr>
        <w:rFonts w:ascii="Courier New" w:hAnsi="Courier New" w:cs="Courier New" w:hint="default"/>
      </w:rPr>
    </w:lvl>
    <w:lvl w:ilvl="8" w:tentative="1">
      <w:start w:val="1"/>
      <w:numFmt w:val="bullet"/>
      <w:lvlText w:val=""/>
      <w:lvlJc w:val="left"/>
      <w:pPr>
        <w:ind w:left="6934" w:hanging="360"/>
      </w:pPr>
      <w:rPr>
        <w:rFonts w:ascii="Wingdings" w:hAnsi="Wingdings" w:hint="default"/>
      </w:rPr>
    </w:lvl>
  </w:abstractNum>
  <w:abstractNum w:abstractNumId="31">
    <w:nsid w:val="482E4909"/>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88E353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92E2DF6"/>
    <w:multiLevelType w:val="hybridMultilevel"/>
    <w:tmpl w:val="B074C9D8"/>
    <w:lvl w:ilvl="0">
      <w:start w:val="1"/>
      <w:numFmt w:val="upperLetter"/>
      <w:lvlText w:val="%1)"/>
      <w:lvlJc w:val="left"/>
      <w:pPr>
        <w:ind w:left="3552" w:hanging="360"/>
      </w:pPr>
      <w:rPr>
        <w:rFonts w:hint="default"/>
      </w:rPr>
    </w:lvl>
    <w:lvl w:ilvl="1" w:tentative="1">
      <w:start w:val="1"/>
      <w:numFmt w:val="lowerLetter"/>
      <w:lvlText w:val="%2."/>
      <w:lvlJc w:val="left"/>
      <w:pPr>
        <w:ind w:left="4272" w:hanging="360"/>
      </w:pPr>
    </w:lvl>
    <w:lvl w:ilvl="2" w:tentative="1">
      <w:start w:val="1"/>
      <w:numFmt w:val="lowerRoman"/>
      <w:lvlText w:val="%3."/>
      <w:lvlJc w:val="right"/>
      <w:pPr>
        <w:ind w:left="4992" w:hanging="180"/>
      </w:pPr>
    </w:lvl>
    <w:lvl w:ilvl="3" w:tentative="1">
      <w:start w:val="1"/>
      <w:numFmt w:val="decimal"/>
      <w:lvlText w:val="%4."/>
      <w:lvlJc w:val="left"/>
      <w:pPr>
        <w:ind w:left="5712" w:hanging="360"/>
      </w:pPr>
    </w:lvl>
    <w:lvl w:ilvl="4" w:tentative="1">
      <w:start w:val="1"/>
      <w:numFmt w:val="lowerLetter"/>
      <w:lvlText w:val="%5."/>
      <w:lvlJc w:val="left"/>
      <w:pPr>
        <w:ind w:left="6432" w:hanging="360"/>
      </w:pPr>
    </w:lvl>
    <w:lvl w:ilvl="5" w:tentative="1">
      <w:start w:val="1"/>
      <w:numFmt w:val="lowerRoman"/>
      <w:lvlText w:val="%6."/>
      <w:lvlJc w:val="right"/>
      <w:pPr>
        <w:ind w:left="7152" w:hanging="180"/>
      </w:pPr>
    </w:lvl>
    <w:lvl w:ilvl="6" w:tentative="1">
      <w:start w:val="1"/>
      <w:numFmt w:val="decimal"/>
      <w:lvlText w:val="%7."/>
      <w:lvlJc w:val="left"/>
      <w:pPr>
        <w:ind w:left="7872" w:hanging="360"/>
      </w:pPr>
    </w:lvl>
    <w:lvl w:ilvl="7" w:tentative="1">
      <w:start w:val="1"/>
      <w:numFmt w:val="lowerLetter"/>
      <w:lvlText w:val="%8."/>
      <w:lvlJc w:val="left"/>
      <w:pPr>
        <w:ind w:left="8592" w:hanging="360"/>
      </w:pPr>
    </w:lvl>
    <w:lvl w:ilvl="8" w:tentative="1">
      <w:start w:val="1"/>
      <w:numFmt w:val="lowerRoman"/>
      <w:lvlText w:val="%9."/>
      <w:lvlJc w:val="right"/>
      <w:pPr>
        <w:ind w:left="9312" w:hanging="180"/>
      </w:pPr>
    </w:lvl>
  </w:abstractNum>
  <w:abstractNum w:abstractNumId="34">
    <w:nsid w:val="50550BF1"/>
    <w:multiLevelType w:val="hybridMultilevel"/>
    <w:tmpl w:val="8AF67816"/>
    <w:lvl w:ilvl="0">
      <w:start w:val="1"/>
      <w:numFmt w:val="bullet"/>
      <w:pStyle w:val="47Textvbuletkc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1101CE6"/>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147527F"/>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1E92154"/>
    <w:multiLevelType w:val="hybridMultilevel"/>
    <w:tmpl w:val="3C20FFEC"/>
    <w:lvl w:ilvl="0">
      <w:start w:val="1"/>
      <w:numFmt w:val="bullet"/>
      <w:pStyle w:val="Pkladstop"/>
      <w:lvlText w:val=""/>
      <w:lvlPicBulletId w:val="0"/>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53F2278B"/>
    <w:multiLevelType w:val="hybridMultilevel"/>
    <w:tmpl w:val="1CE4CAB6"/>
    <w:lvl w:ilvl="0">
      <w:start w:val="1"/>
      <w:numFmt w:val="bullet"/>
      <w:pStyle w:val="Pkladodraen"/>
      <w:lvlText w:val=""/>
      <w:lvlJc w:val="left"/>
      <w:pPr>
        <w:ind w:left="890" w:hanging="360"/>
      </w:pPr>
      <w:rPr>
        <w:rFonts w:ascii="Symbol" w:hAnsi="Symbol" w:hint="default"/>
        <w:color w:val="auto"/>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tentative="1">
      <w:start w:val="1"/>
      <w:numFmt w:val="bullet"/>
      <w:lvlText w:val=""/>
      <w:lvlJc w:val="left"/>
      <w:pPr>
        <w:ind w:left="3050" w:hanging="360"/>
      </w:pPr>
      <w:rPr>
        <w:rFonts w:ascii="Symbol" w:hAnsi="Symbol" w:hint="default"/>
      </w:rPr>
    </w:lvl>
    <w:lvl w:ilvl="4" w:tentative="1">
      <w:start w:val="1"/>
      <w:numFmt w:val="bullet"/>
      <w:lvlText w:val="o"/>
      <w:lvlJc w:val="left"/>
      <w:pPr>
        <w:ind w:left="3770" w:hanging="360"/>
      </w:pPr>
      <w:rPr>
        <w:rFonts w:ascii="Courier New" w:hAnsi="Courier New" w:cs="Courier New" w:hint="default"/>
      </w:rPr>
    </w:lvl>
    <w:lvl w:ilvl="5" w:tentative="1">
      <w:start w:val="1"/>
      <w:numFmt w:val="bullet"/>
      <w:lvlText w:val=""/>
      <w:lvlJc w:val="left"/>
      <w:pPr>
        <w:ind w:left="4490" w:hanging="360"/>
      </w:pPr>
      <w:rPr>
        <w:rFonts w:ascii="Wingdings" w:hAnsi="Wingdings" w:hint="default"/>
      </w:rPr>
    </w:lvl>
    <w:lvl w:ilvl="6" w:tentative="1">
      <w:start w:val="1"/>
      <w:numFmt w:val="bullet"/>
      <w:lvlText w:val=""/>
      <w:lvlJc w:val="left"/>
      <w:pPr>
        <w:ind w:left="5210" w:hanging="360"/>
      </w:pPr>
      <w:rPr>
        <w:rFonts w:ascii="Symbol" w:hAnsi="Symbol" w:hint="default"/>
      </w:rPr>
    </w:lvl>
    <w:lvl w:ilvl="7" w:tentative="1">
      <w:start w:val="1"/>
      <w:numFmt w:val="bullet"/>
      <w:lvlText w:val="o"/>
      <w:lvlJc w:val="left"/>
      <w:pPr>
        <w:ind w:left="5930" w:hanging="360"/>
      </w:pPr>
      <w:rPr>
        <w:rFonts w:ascii="Courier New" w:hAnsi="Courier New" w:cs="Courier New" w:hint="default"/>
      </w:rPr>
    </w:lvl>
    <w:lvl w:ilvl="8" w:tentative="1">
      <w:start w:val="1"/>
      <w:numFmt w:val="bullet"/>
      <w:lvlText w:val=""/>
      <w:lvlJc w:val="left"/>
      <w:pPr>
        <w:ind w:left="6650" w:hanging="360"/>
      </w:pPr>
      <w:rPr>
        <w:rFonts w:ascii="Wingdings" w:hAnsi="Wingdings" w:hint="default"/>
      </w:rPr>
    </w:lvl>
  </w:abstractNum>
  <w:abstractNum w:abstractNumId="39">
    <w:nsid w:val="55A55981"/>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571D30F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59886D0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59E97DAB"/>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5B477FCC"/>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5C654DA1"/>
    <w:multiLevelType w:val="multilevel"/>
    <w:tmpl w:val="0136AF5E"/>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nsid w:val="5DF123EC"/>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5EF357AE"/>
    <w:multiLevelType w:val="multilevel"/>
    <w:tmpl w:val="B4EA099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5FDC55C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653C73B5"/>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66022E7C"/>
    <w:multiLevelType w:val="multilevel"/>
    <w:tmpl w:val="CA7473A0"/>
    <w:styleLink w:val="Tabulkaustanoven"/>
    <w:lvl w:ilvl="0">
      <w:start w:val="1"/>
      <w:numFmt w:val="decimal"/>
      <w:lvlText w:val="(%1)"/>
      <w:lvlJc w:val="left"/>
      <w:pPr>
        <w:ind w:left="454" w:hanging="454"/>
      </w:pPr>
      <w:rPr>
        <w:rFonts w:ascii="Arial" w:hAnsi="Arial" w:hint="default"/>
        <w:sz w:val="18"/>
      </w:rPr>
    </w:lvl>
    <w:lvl w:ilvl="1">
      <w:start w:val="1"/>
      <w:numFmt w:val="lowerLetter"/>
      <w:lvlText w:val="%2)"/>
      <w:lvlJc w:val="left"/>
      <w:pPr>
        <w:ind w:left="1134" w:hanging="454"/>
      </w:pPr>
      <w:rPr>
        <w:rFonts w:ascii="Arial" w:hAnsi="Arial" w:hint="default"/>
        <w:sz w:val="18"/>
      </w:rPr>
    </w:lvl>
    <w:lvl w:ilvl="2">
      <w:start w:val="1"/>
      <w:numFmt w:val="lowerRoman"/>
      <w:lvlText w:val="%3."/>
      <w:lvlJc w:val="right"/>
      <w:pPr>
        <w:ind w:left="2577" w:hanging="180"/>
      </w:pPr>
      <w:rPr>
        <w:rFonts w:hint="default"/>
      </w:rPr>
    </w:lvl>
    <w:lvl w:ilvl="3">
      <w:start w:val="1"/>
      <w:numFmt w:val="decimal"/>
      <w:lvlText w:val="%4."/>
      <w:lvlJc w:val="left"/>
      <w:pPr>
        <w:ind w:left="3297" w:hanging="360"/>
      </w:pPr>
      <w:rPr>
        <w:rFonts w:hint="default"/>
      </w:rPr>
    </w:lvl>
    <w:lvl w:ilvl="4">
      <w:start w:val="1"/>
      <w:numFmt w:val="lowerLetter"/>
      <w:lvlText w:val="%5."/>
      <w:lvlJc w:val="left"/>
      <w:pPr>
        <w:ind w:left="4017" w:hanging="360"/>
      </w:pPr>
      <w:rPr>
        <w:rFonts w:hint="default"/>
      </w:rPr>
    </w:lvl>
    <w:lvl w:ilvl="5">
      <w:start w:val="1"/>
      <w:numFmt w:val="lowerRoman"/>
      <w:lvlText w:val="%6."/>
      <w:lvlJc w:val="right"/>
      <w:pPr>
        <w:ind w:left="4737" w:hanging="180"/>
      </w:pPr>
      <w:rPr>
        <w:rFonts w:hint="default"/>
      </w:rPr>
    </w:lvl>
    <w:lvl w:ilvl="6">
      <w:start w:val="1"/>
      <w:numFmt w:val="decimal"/>
      <w:lvlText w:val="%7."/>
      <w:lvlJc w:val="left"/>
      <w:pPr>
        <w:ind w:left="5457" w:hanging="360"/>
      </w:pPr>
      <w:rPr>
        <w:rFonts w:hint="default"/>
      </w:rPr>
    </w:lvl>
    <w:lvl w:ilvl="7">
      <w:start w:val="1"/>
      <w:numFmt w:val="lowerLetter"/>
      <w:lvlText w:val="%8."/>
      <w:lvlJc w:val="left"/>
      <w:pPr>
        <w:ind w:left="6177" w:hanging="360"/>
      </w:pPr>
      <w:rPr>
        <w:rFonts w:hint="default"/>
      </w:rPr>
    </w:lvl>
    <w:lvl w:ilvl="8">
      <w:start w:val="1"/>
      <w:numFmt w:val="lowerRoman"/>
      <w:lvlText w:val="%9."/>
      <w:lvlJc w:val="right"/>
      <w:pPr>
        <w:ind w:left="6897" w:hanging="180"/>
      </w:pPr>
      <w:rPr>
        <w:rFonts w:hint="default"/>
      </w:rPr>
    </w:lvl>
  </w:abstractNum>
  <w:abstractNum w:abstractNumId="50">
    <w:nsid w:val="688460B2"/>
    <w:multiLevelType w:val="hybridMultilevel"/>
    <w:tmpl w:val="0C6C0222"/>
    <w:lvl w:ilvl="0">
      <w:start w:val="1"/>
      <w:numFmt w:val="decimal"/>
      <w:pStyle w:val="Odrkaslovn"/>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17859B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73F550E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7764077E"/>
    <w:multiLevelType w:val="multilevel"/>
    <w:tmpl w:val="8466BC2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78F644C3"/>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7A1D0A1D"/>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7A207EF6"/>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7A9F6858"/>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7BA8351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7E880A59"/>
    <w:multiLevelType w:val="multilevel"/>
    <w:tmpl w:val="E63C15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4"/>
  </w:num>
  <w:num w:numId="2">
    <w:abstractNumId w:val="14"/>
  </w:num>
  <w:num w:numId="3">
    <w:abstractNumId w:val="44"/>
  </w:num>
  <w:num w:numId="4">
    <w:abstractNumId w:val="37"/>
  </w:num>
  <w:num w:numId="5">
    <w:abstractNumId w:val="50"/>
  </w:num>
  <w:num w:numId="6">
    <w:abstractNumId w:val="23"/>
  </w:num>
  <w:num w:numId="7">
    <w:abstractNumId w:val="38"/>
  </w:num>
  <w:num w:numId="8">
    <w:abstractNumId w:val="15"/>
  </w:num>
  <w:num w:numId="9">
    <w:abstractNumId w:val="30"/>
  </w:num>
  <w:num w:numId="10">
    <w:abstractNumId w:val="0"/>
  </w:num>
  <w:num w:numId="11">
    <w:abstractNumId w:val="49"/>
  </w:num>
  <w:num w:numId="12">
    <w:abstractNumId w:val="13"/>
  </w:num>
  <w:num w:numId="13">
    <w:abstractNumId w:val="9"/>
  </w:num>
  <w:num w:numId="14">
    <w:abstractNumId w:val="25"/>
  </w:num>
  <w:num w:numId="15">
    <w:abstractNumId w:val="17"/>
  </w:num>
  <w:num w:numId="16">
    <w:abstractNumId w:val="33"/>
  </w:num>
  <w:num w:numId="17">
    <w:abstractNumId w:val="12"/>
  </w:num>
  <w:num w:numId="18">
    <w:abstractNumId w:val="18"/>
  </w:num>
  <w:num w:numId="19">
    <w:abstractNumId w:val="55"/>
  </w:num>
  <w:num w:numId="20">
    <w:abstractNumId w:val="45"/>
  </w:num>
  <w:num w:numId="21">
    <w:abstractNumId w:val="57"/>
  </w:num>
  <w:num w:numId="22">
    <w:abstractNumId w:val="48"/>
  </w:num>
  <w:num w:numId="23">
    <w:abstractNumId w:val="32"/>
  </w:num>
  <w:num w:numId="24">
    <w:abstractNumId w:val="10"/>
  </w:num>
  <w:num w:numId="25">
    <w:abstractNumId w:val="28"/>
  </w:num>
  <w:num w:numId="26">
    <w:abstractNumId w:val="2"/>
  </w:num>
  <w:num w:numId="27">
    <w:abstractNumId w:val="46"/>
  </w:num>
  <w:num w:numId="28">
    <w:abstractNumId w:val="56"/>
  </w:num>
  <w:num w:numId="29">
    <w:abstractNumId w:val="7"/>
  </w:num>
  <w:num w:numId="30">
    <w:abstractNumId w:val="39"/>
  </w:num>
  <w:num w:numId="31">
    <w:abstractNumId w:val="20"/>
  </w:num>
  <w:num w:numId="32">
    <w:abstractNumId w:val="8"/>
  </w:num>
  <w:num w:numId="33">
    <w:abstractNumId w:val="36"/>
  </w:num>
  <w:num w:numId="34">
    <w:abstractNumId w:val="24"/>
  </w:num>
  <w:num w:numId="35">
    <w:abstractNumId w:val="1"/>
  </w:num>
  <w:num w:numId="36">
    <w:abstractNumId w:val="21"/>
  </w:num>
  <w:num w:numId="37">
    <w:abstractNumId w:val="35"/>
  </w:num>
  <w:num w:numId="38">
    <w:abstractNumId w:val="4"/>
  </w:num>
  <w:num w:numId="39">
    <w:abstractNumId w:val="59"/>
  </w:num>
  <w:num w:numId="40">
    <w:abstractNumId w:val="41"/>
  </w:num>
  <w:num w:numId="41">
    <w:abstractNumId w:val="16"/>
  </w:num>
  <w:num w:numId="42">
    <w:abstractNumId w:val="43"/>
  </w:num>
  <w:num w:numId="43">
    <w:abstractNumId w:val="54"/>
  </w:num>
  <w:num w:numId="44">
    <w:abstractNumId w:val="52"/>
  </w:num>
  <w:num w:numId="45">
    <w:abstractNumId w:val="51"/>
  </w:num>
  <w:num w:numId="46">
    <w:abstractNumId w:val="5"/>
  </w:num>
  <w:num w:numId="47">
    <w:abstractNumId w:val="27"/>
  </w:num>
  <w:num w:numId="48">
    <w:abstractNumId w:val="53"/>
  </w:num>
  <w:num w:numId="49">
    <w:abstractNumId w:val="11"/>
  </w:num>
  <w:num w:numId="50">
    <w:abstractNumId w:val="58"/>
  </w:num>
  <w:num w:numId="51">
    <w:abstractNumId w:val="22"/>
  </w:num>
  <w:num w:numId="52">
    <w:abstractNumId w:val="40"/>
  </w:num>
  <w:num w:numId="53">
    <w:abstractNumId w:val="42"/>
  </w:num>
  <w:num w:numId="54">
    <w:abstractNumId w:val="26"/>
  </w:num>
  <w:num w:numId="55">
    <w:abstractNumId w:val="29"/>
  </w:num>
  <w:num w:numId="56">
    <w:abstractNumId w:val="47"/>
  </w:num>
  <w:num w:numId="57">
    <w:abstractNumId w:val="6"/>
  </w:num>
  <w:num w:numId="58">
    <w:abstractNumId w:val="3"/>
  </w:num>
  <w:num w:numId="59">
    <w:abstractNumId w:val="31"/>
  </w:num>
  <w:num w:numId="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567"/>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Semibold" w:eastAsia="Times New Roman" w:hAnsi="Segoe UI Semibold" w:cs="Tahoma"/>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66CBA"/>
    <w:pPr>
      <w:spacing w:before="120" w:line="276" w:lineRule="auto"/>
      <w:jc w:val="both"/>
    </w:pPr>
    <w:rPr>
      <w:rFonts w:ascii="Cambria" w:hAnsi="Cambria"/>
      <w:lang w:eastAsia="en-US"/>
    </w:rPr>
  </w:style>
  <w:style w:type="paragraph" w:styleId="Heading1">
    <w:name w:val="heading 1"/>
    <w:basedOn w:val="ListParagraph"/>
    <w:next w:val="Normal"/>
    <w:link w:val="Nadpis1Char"/>
    <w:uiPriority w:val="9"/>
    <w:qFormat/>
    <w:rsid w:val="00353B2C"/>
    <w:pPr>
      <w:numPr>
        <w:numId w:val="3"/>
      </w:numPr>
      <w:spacing w:before="360" w:after="240"/>
      <w:jc w:val="left"/>
      <w:outlineLvl w:val="0"/>
    </w:pPr>
    <w:rPr>
      <w:rFonts w:ascii="Segoe UI Semibold" w:hAnsi="Segoe UI Semibold"/>
      <w:color w:val="093D93"/>
      <w:sz w:val="32"/>
    </w:rPr>
  </w:style>
  <w:style w:type="paragraph" w:styleId="Heading2">
    <w:name w:val="heading 2"/>
    <w:basedOn w:val="ListParagraph"/>
    <w:next w:val="Normal"/>
    <w:link w:val="Nadpis2Char"/>
    <w:unhideWhenUsed/>
    <w:qFormat/>
    <w:rsid w:val="00A70EFB"/>
    <w:pPr>
      <w:numPr>
        <w:ilvl w:val="1"/>
        <w:numId w:val="3"/>
      </w:numPr>
      <w:spacing w:before="600"/>
      <w:ind w:left="862" w:hanging="578"/>
      <w:jc w:val="left"/>
      <w:outlineLvl w:val="1"/>
    </w:pPr>
    <w:rPr>
      <w:rFonts w:ascii="Segoe UI Semibold" w:hAnsi="Segoe UI Semibold"/>
      <w:color w:val="093D93"/>
      <w:sz w:val="28"/>
    </w:rPr>
  </w:style>
  <w:style w:type="paragraph" w:styleId="Heading3">
    <w:name w:val="heading 3"/>
    <w:basedOn w:val="ListParagraph"/>
    <w:next w:val="Normal"/>
    <w:link w:val="Nadpis3Char"/>
    <w:uiPriority w:val="9"/>
    <w:unhideWhenUsed/>
    <w:qFormat/>
    <w:rsid w:val="00982735"/>
    <w:pPr>
      <w:numPr>
        <w:ilvl w:val="2"/>
        <w:numId w:val="3"/>
      </w:numPr>
      <w:spacing w:before="240"/>
      <w:jc w:val="left"/>
      <w:outlineLvl w:val="2"/>
    </w:pPr>
    <w:rPr>
      <w:rFonts w:ascii="Segoe UI Semibold" w:hAnsi="Segoe UI Semibold"/>
      <w:color w:val="093D93"/>
      <w:sz w:val="28"/>
    </w:rPr>
  </w:style>
  <w:style w:type="paragraph" w:styleId="Heading4">
    <w:name w:val="heading 4"/>
    <w:basedOn w:val="ListParagraph"/>
    <w:next w:val="Normal"/>
    <w:link w:val="Nadpis4Char"/>
    <w:uiPriority w:val="9"/>
    <w:unhideWhenUsed/>
    <w:qFormat/>
    <w:rsid w:val="00C11175"/>
    <w:pPr>
      <w:numPr>
        <w:ilvl w:val="3"/>
        <w:numId w:val="3"/>
      </w:numPr>
      <w:jc w:val="left"/>
      <w:outlineLvl w:val="3"/>
    </w:pPr>
    <w:rPr>
      <w:rFonts w:ascii="Segoe UI Semibold" w:hAnsi="Segoe UI Semibold"/>
      <w:color w:val="093D93"/>
      <w:sz w:val="24"/>
    </w:rPr>
  </w:style>
  <w:style w:type="paragraph" w:styleId="Heading5">
    <w:name w:val="heading 5"/>
    <w:basedOn w:val="Normal"/>
    <w:next w:val="Normal"/>
    <w:link w:val="Nadpis5Char"/>
    <w:uiPriority w:val="9"/>
    <w:semiHidden/>
    <w:unhideWhenUsed/>
    <w:rsid w:val="003906A2"/>
    <w:pPr>
      <w:keepNext/>
      <w:keepLines/>
      <w:spacing w:before="200"/>
      <w:outlineLvl w:val="4"/>
    </w:pPr>
    <w:rPr>
      <w:rFonts w:ascii="Segoe UI Semibold" w:hAnsi="Segoe UI Semibold" w:cs="Times New Roman"/>
      <w:color w:val="041E49"/>
    </w:rPr>
  </w:style>
  <w:style w:type="paragraph" w:styleId="Heading6">
    <w:name w:val="heading 6"/>
    <w:basedOn w:val="Normal"/>
    <w:next w:val="Normal"/>
    <w:link w:val="Nadpis6Char"/>
    <w:uiPriority w:val="9"/>
    <w:semiHidden/>
    <w:unhideWhenUsed/>
    <w:qFormat/>
    <w:rsid w:val="003906A2"/>
    <w:pPr>
      <w:keepNext/>
      <w:keepLines/>
      <w:spacing w:before="200"/>
      <w:outlineLvl w:val="5"/>
    </w:pPr>
    <w:rPr>
      <w:rFonts w:ascii="Segoe UI Semibold" w:hAnsi="Segoe UI Semibold" w:cs="Times New Roman"/>
      <w:i/>
      <w:iCs/>
      <w:color w:val="041E49"/>
    </w:rPr>
  </w:style>
  <w:style w:type="paragraph" w:styleId="Heading7">
    <w:name w:val="heading 7"/>
    <w:basedOn w:val="Normal"/>
    <w:next w:val="Normal"/>
    <w:link w:val="Nadpis7Char"/>
    <w:uiPriority w:val="9"/>
    <w:semiHidden/>
    <w:unhideWhenUsed/>
    <w:qFormat/>
    <w:rsid w:val="003906A2"/>
    <w:pPr>
      <w:keepNext/>
      <w:keepLines/>
      <w:spacing w:before="200"/>
      <w:outlineLvl w:val="6"/>
    </w:pPr>
    <w:rPr>
      <w:rFonts w:ascii="Segoe UI Semibold" w:hAnsi="Segoe UI Semibold" w:cs="Times New Roman"/>
      <w:i/>
      <w:iCs/>
      <w:color w:val="484848"/>
    </w:rPr>
  </w:style>
  <w:style w:type="paragraph" w:styleId="Heading8">
    <w:name w:val="heading 8"/>
    <w:basedOn w:val="Normal"/>
    <w:next w:val="Normal"/>
    <w:link w:val="Nadpis8Char"/>
    <w:uiPriority w:val="9"/>
    <w:semiHidden/>
    <w:unhideWhenUsed/>
    <w:qFormat/>
    <w:rsid w:val="003906A2"/>
    <w:pPr>
      <w:keepNext/>
      <w:keepLines/>
      <w:spacing w:before="200"/>
      <w:outlineLvl w:val="7"/>
    </w:pPr>
    <w:rPr>
      <w:rFonts w:ascii="Segoe UI Semibold" w:hAnsi="Segoe UI Semibold" w:cs="Times New Roman"/>
      <w:color w:val="093D93"/>
    </w:rPr>
  </w:style>
  <w:style w:type="paragraph" w:styleId="Heading9">
    <w:name w:val="heading 9"/>
    <w:basedOn w:val="Normal"/>
    <w:next w:val="Normal"/>
    <w:link w:val="Nadpis9Char"/>
    <w:uiPriority w:val="9"/>
    <w:semiHidden/>
    <w:unhideWhenUsed/>
    <w:qFormat/>
    <w:rsid w:val="003906A2"/>
    <w:pPr>
      <w:keepNext/>
      <w:keepLines/>
      <w:spacing w:before="200"/>
      <w:outlineLvl w:val="8"/>
    </w:pPr>
    <w:rPr>
      <w:rFonts w:ascii="Segoe UI Semibold" w:hAnsi="Segoe UI Semibold" w:cs="Times New Roman"/>
      <w:i/>
      <w:iCs/>
      <w:color w:val="4848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Nadpis">
    <w:name w:val="47 Nadpis"/>
    <w:basedOn w:val="Heading1"/>
    <w:link w:val="47NadpisChar"/>
    <w:rsid w:val="00BC0702"/>
    <w:pPr>
      <w:autoSpaceDE w:val="0"/>
      <w:autoSpaceDN w:val="0"/>
      <w:adjustRightInd w:val="0"/>
      <w:spacing w:before="120"/>
    </w:pPr>
    <w:rPr>
      <w:rFonts w:ascii="Arial" w:hAnsi="Arial" w:cs="Calibri-Bold"/>
      <w:bCs/>
      <w:color w:val="0070C0"/>
      <w:sz w:val="24"/>
      <w:szCs w:val="24"/>
    </w:rPr>
  </w:style>
  <w:style w:type="paragraph" w:customStyle="1" w:styleId="47Podnadpis">
    <w:name w:val="47 Podnadpis"/>
    <w:basedOn w:val="Normal"/>
    <w:link w:val="47PodnadpisChar"/>
    <w:rsid w:val="00304D56"/>
    <w:pPr>
      <w:autoSpaceDE w:val="0"/>
      <w:autoSpaceDN w:val="0"/>
      <w:adjustRightInd w:val="0"/>
    </w:pPr>
    <w:rPr>
      <w:rFonts w:cs="Calibri-Bold"/>
      <w:b/>
      <w:bCs/>
      <w:color w:val="002060"/>
      <w:sz w:val="22"/>
    </w:rPr>
  </w:style>
  <w:style w:type="character" w:customStyle="1" w:styleId="47NadpisChar">
    <w:name w:val="47 Nadpis Char"/>
    <w:link w:val="47Nadpis"/>
    <w:rsid w:val="00BC0702"/>
    <w:rPr>
      <w:rFonts w:ascii="Arial" w:hAnsi="Arial" w:cs="Calibri-Bold"/>
      <w:bCs/>
      <w:color w:val="0070C0"/>
      <w:sz w:val="24"/>
      <w:szCs w:val="24"/>
      <w:lang w:eastAsia="en-US"/>
    </w:rPr>
  </w:style>
  <w:style w:type="paragraph" w:customStyle="1" w:styleId="47Nadpisslovan">
    <w:name w:val="47 Nadpis číslovaný"/>
    <w:basedOn w:val="47Nadpis"/>
    <w:link w:val="47NadpisslovanChar"/>
    <w:qFormat/>
    <w:rsid w:val="003106DD"/>
    <w:pPr>
      <w:numPr>
        <w:numId w:val="0"/>
      </w:numPr>
    </w:pPr>
    <w:rPr>
      <w:rFonts w:cs="Arial"/>
      <w:color w:val="093D93"/>
      <w:sz w:val="32"/>
    </w:rPr>
  </w:style>
  <w:style w:type="character" w:customStyle="1" w:styleId="47PodnadpisChar">
    <w:name w:val="47 Podnadpis Char"/>
    <w:link w:val="47Podnadpis"/>
    <w:rsid w:val="00304D56"/>
    <w:rPr>
      <w:rFonts w:ascii="Arial" w:hAnsi="Arial" w:cs="Calibri-Bold"/>
      <w:b/>
      <w:bCs/>
      <w:color w:val="002060"/>
    </w:rPr>
  </w:style>
  <w:style w:type="paragraph" w:customStyle="1" w:styleId="47Podnadpisslovan">
    <w:name w:val="47 Podnadpis číslovaný"/>
    <w:link w:val="47PodnadpisslovanChar"/>
    <w:qFormat/>
    <w:rsid w:val="0091488A"/>
    <w:pPr>
      <w:numPr>
        <w:ilvl w:val="1"/>
      </w:numPr>
      <w:spacing w:after="120"/>
      <w:ind w:left="431" w:hanging="431"/>
      <w:outlineLvl w:val="1"/>
    </w:pPr>
    <w:rPr>
      <w:rFonts w:ascii="Arial" w:hAnsi="Arial" w:cs="Arial"/>
      <w:bCs/>
      <w:color w:val="002060"/>
      <w:sz w:val="22"/>
      <w:szCs w:val="22"/>
      <w:lang w:eastAsia="en-US"/>
    </w:rPr>
  </w:style>
  <w:style w:type="character" w:customStyle="1" w:styleId="47NadpisslovanChar">
    <w:name w:val="47 Nadpis číslovaný Char"/>
    <w:link w:val="47Nadpisslovan"/>
    <w:rsid w:val="003106DD"/>
    <w:rPr>
      <w:rFonts w:ascii="Arial" w:eastAsia="Times New Roman" w:hAnsi="Arial" w:cs="Arial"/>
      <w:b w:val="0"/>
      <w:color w:val="093D93"/>
      <w:sz w:val="32"/>
      <w:szCs w:val="24"/>
      <w:lang w:eastAsia="cs-CZ"/>
    </w:rPr>
  </w:style>
  <w:style w:type="paragraph" w:customStyle="1" w:styleId="47Podnadpis2slovan">
    <w:name w:val="47 Podnadpis 2 číslovaný"/>
    <w:basedOn w:val="47Podnadpisslovan"/>
    <w:link w:val="47Podnadpis2slovanChar"/>
    <w:qFormat/>
    <w:rsid w:val="000B5C9E"/>
    <w:pPr>
      <w:keepNext/>
      <w:numPr>
        <w:ilvl w:val="2"/>
      </w:numPr>
      <w:autoSpaceDE w:val="0"/>
      <w:autoSpaceDN w:val="0"/>
      <w:adjustRightInd w:val="0"/>
      <w:spacing w:before="120"/>
      <w:ind w:left="505" w:hanging="505"/>
      <w:outlineLvl w:val="2"/>
    </w:pPr>
    <w:rPr>
      <w:color w:val="auto"/>
    </w:rPr>
  </w:style>
  <w:style w:type="character" w:customStyle="1" w:styleId="47PodnadpisslovanChar">
    <w:name w:val="47 Podnadpis číslovaný Char"/>
    <w:link w:val="47Podnadpisslovan"/>
    <w:rsid w:val="0091488A"/>
    <w:rPr>
      <w:rFonts w:ascii="Arial" w:hAnsi="Arial" w:cs="Arial"/>
      <w:bCs/>
      <w:color w:val="002060"/>
      <w:sz w:val="22"/>
      <w:szCs w:val="22"/>
      <w:lang w:eastAsia="en-US"/>
    </w:rPr>
  </w:style>
  <w:style w:type="paragraph" w:styleId="ListParagraph">
    <w:name w:val="List Paragraph"/>
    <w:aliases w:val="Odstavec cíl se seznamem,Odstavec se seznamem1"/>
    <w:basedOn w:val="Normal"/>
    <w:link w:val="OdstavecseseznamemChar"/>
    <w:uiPriority w:val="34"/>
    <w:qFormat/>
    <w:rsid w:val="00076296"/>
    <w:pPr>
      <w:spacing w:after="120" w:line="240" w:lineRule="auto"/>
      <w:ind w:left="720"/>
    </w:pPr>
  </w:style>
  <w:style w:type="character" w:customStyle="1" w:styleId="47Podnadpis2slovanChar">
    <w:name w:val="47 Podnadpis 2 číslovaný Char"/>
    <w:link w:val="47Podnadpis2slovan"/>
    <w:rsid w:val="000B5C9E"/>
    <w:rPr>
      <w:rFonts w:ascii="Arial" w:eastAsia="Times New Roman" w:hAnsi="Arial" w:cs="Arial"/>
      <w:b w:val="0"/>
      <w:color w:val="002060"/>
      <w:sz w:val="24"/>
      <w:szCs w:val="24"/>
      <w:lang w:eastAsia="cs-CZ"/>
    </w:rPr>
  </w:style>
  <w:style w:type="paragraph" w:customStyle="1" w:styleId="47Textvbuletkch">
    <w:name w:val="47 Text v buletkách"/>
    <w:basedOn w:val="ListParagraph"/>
    <w:link w:val="47TextvbuletkchChar"/>
    <w:rsid w:val="00F82968"/>
    <w:pPr>
      <w:numPr>
        <w:numId w:val="1"/>
      </w:numPr>
      <w:ind w:hanging="357"/>
    </w:pPr>
  </w:style>
  <w:style w:type="paragraph" w:customStyle="1" w:styleId="47Textvbuletkch2">
    <w:name w:val="47 Text v buletkách 2"/>
    <w:basedOn w:val="47Textvbuletkch"/>
    <w:link w:val="47Textvbuletkch2Char"/>
    <w:rsid w:val="00F82968"/>
    <w:pPr>
      <w:numPr>
        <w:numId w:val="0"/>
      </w:numPr>
    </w:pPr>
  </w:style>
  <w:style w:type="character" w:customStyle="1" w:styleId="OdstavecseseznamemChar">
    <w:name w:val="Odstavec se seznamem Char"/>
    <w:aliases w:val="Odstavec cíl se seznamem Char,Odstavec se seznamem1 Char"/>
    <w:link w:val="ListParagraph"/>
    <w:uiPriority w:val="34"/>
    <w:rsid w:val="00076296"/>
    <w:rPr>
      <w:rFonts w:ascii="Cambria" w:hAnsi="Cambria"/>
      <w:lang w:eastAsia="en-US"/>
    </w:rPr>
  </w:style>
  <w:style w:type="character" w:customStyle="1" w:styleId="47TextvbuletkchChar">
    <w:name w:val="47 Text v buletkách Char"/>
    <w:link w:val="47Textvbuletkch"/>
    <w:rsid w:val="00F82968"/>
    <w:rPr>
      <w:rFonts w:ascii="Cambria" w:hAnsi="Cambria"/>
      <w:lang w:eastAsia="en-US"/>
    </w:rPr>
  </w:style>
  <w:style w:type="table" w:styleId="TableGrid">
    <w:name w:val="Table Grid"/>
    <w:aliases w:val="Deloitte table 3"/>
    <w:basedOn w:val="TableNormal"/>
    <w:uiPriority w:val="59"/>
    <w:rsid w:val="008C7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7Textvbuletkch2Char">
    <w:name w:val="47 Text v buletkách 2 Char"/>
    <w:link w:val="47Textvbuletkch2"/>
    <w:rsid w:val="00F82968"/>
    <w:rPr>
      <w:rFonts w:ascii="Cambria" w:hAnsi="Cambria"/>
      <w:lang w:eastAsia="en-US"/>
    </w:rPr>
  </w:style>
  <w:style w:type="paragraph" w:customStyle="1" w:styleId="47Podnadpis2">
    <w:name w:val="47 Podnadpis 2"/>
    <w:basedOn w:val="47Podnadpis2slovan"/>
    <w:link w:val="47Podnadpis2Char"/>
    <w:rsid w:val="001F6ED9"/>
    <w:pPr>
      <w:numPr>
        <w:ilvl w:val="0"/>
      </w:numPr>
      <w:ind w:left="709" w:hanging="709"/>
    </w:pPr>
  </w:style>
  <w:style w:type="paragraph" w:styleId="Caption">
    <w:name w:val="caption"/>
    <w:basedOn w:val="Normal"/>
    <w:next w:val="Normal"/>
    <w:link w:val="TitulekChar"/>
    <w:uiPriority w:val="35"/>
    <w:unhideWhenUsed/>
    <w:qFormat/>
    <w:rsid w:val="0086465B"/>
    <w:pPr>
      <w:spacing w:before="60" w:line="240" w:lineRule="auto"/>
    </w:pPr>
    <w:rPr>
      <w:rFonts w:ascii="Segoe UI Semibold" w:hAnsi="Segoe UI Semibold"/>
      <w:b/>
      <w:bCs/>
      <w:sz w:val="16"/>
    </w:rPr>
  </w:style>
  <w:style w:type="character" w:customStyle="1" w:styleId="47Podnadpis2Char">
    <w:name w:val="47 Podnadpis 2 Char"/>
    <w:link w:val="47Podnadpis2"/>
    <w:rsid w:val="001F6ED9"/>
    <w:rPr>
      <w:rFonts w:ascii="Arial" w:eastAsia="Times New Roman" w:hAnsi="Arial" w:cs="Arial"/>
      <w:b w:val="0"/>
      <w:bCs w:val="0"/>
      <w:color w:val="002060"/>
      <w:sz w:val="24"/>
      <w:szCs w:val="24"/>
      <w:lang w:eastAsia="cs-CZ"/>
    </w:rPr>
  </w:style>
  <w:style w:type="paragraph" w:customStyle="1" w:styleId="47Zdrojovn">
    <w:name w:val="47 Zdrojování"/>
    <w:basedOn w:val="47Textvbuletkch2"/>
    <w:link w:val="47ZdrojovnChar"/>
    <w:rsid w:val="00F26625"/>
    <w:rPr>
      <w:rFonts w:cs="Arial"/>
      <w:b/>
      <w:sz w:val="16"/>
      <w:szCs w:val="18"/>
    </w:rPr>
  </w:style>
  <w:style w:type="paragraph" w:styleId="FootnoteText">
    <w:name w:val="footnote text"/>
    <w:basedOn w:val="Normal"/>
    <w:link w:val="TextpoznpodarouChar"/>
    <w:uiPriority w:val="99"/>
    <w:unhideWhenUsed/>
    <w:rsid w:val="00F26625"/>
    <w:rPr>
      <w:sz w:val="16"/>
    </w:rPr>
  </w:style>
  <w:style w:type="character" w:customStyle="1" w:styleId="47ZdrojovnChar">
    <w:name w:val="47 Zdrojování Char"/>
    <w:link w:val="47Zdrojovn"/>
    <w:rsid w:val="00F26625"/>
    <w:rPr>
      <w:rFonts w:ascii="Arial" w:hAnsi="Arial" w:cs="Arial"/>
      <w:b/>
      <w:sz w:val="16"/>
      <w:szCs w:val="18"/>
    </w:rPr>
  </w:style>
  <w:style w:type="character" w:customStyle="1" w:styleId="TextpoznpodarouChar">
    <w:name w:val="Text pozn. pod čarou Char"/>
    <w:link w:val="FootnoteText"/>
    <w:uiPriority w:val="99"/>
    <w:rsid w:val="00F26625"/>
    <w:rPr>
      <w:rFonts w:ascii="Arial" w:hAnsi="Arial"/>
      <w:sz w:val="16"/>
      <w:szCs w:val="20"/>
    </w:rPr>
  </w:style>
  <w:style w:type="character" w:styleId="FootnoteReference">
    <w:name w:val="footnote reference"/>
    <w:uiPriority w:val="99"/>
    <w:semiHidden/>
    <w:unhideWhenUsed/>
    <w:rsid w:val="00F07151"/>
    <w:rPr>
      <w:vertAlign w:val="superscript"/>
    </w:rPr>
  </w:style>
  <w:style w:type="paragraph" w:customStyle="1" w:styleId="47Nzevdokumentu">
    <w:name w:val="47 Název dokumentu"/>
    <w:basedOn w:val="47Nadpis"/>
    <w:link w:val="47NzevdokumentuChar"/>
    <w:rsid w:val="003106DD"/>
    <w:pPr>
      <w:spacing w:before="6480"/>
    </w:pPr>
    <w:rPr>
      <w:rFonts w:cs="Arial"/>
      <w:color w:val="002060"/>
      <w:sz w:val="36"/>
    </w:rPr>
  </w:style>
  <w:style w:type="character" w:customStyle="1" w:styleId="47NzevdokumentuChar">
    <w:name w:val="47 Název dokumentu Char"/>
    <w:link w:val="47Nzevdokumentu"/>
    <w:rsid w:val="003106DD"/>
    <w:rPr>
      <w:rFonts w:ascii="Arial" w:hAnsi="Arial" w:cs="Arial"/>
      <w:bCs/>
      <w:color w:val="002060"/>
      <w:sz w:val="36"/>
      <w:szCs w:val="24"/>
      <w:lang w:eastAsia="en-US"/>
    </w:rPr>
  </w:style>
  <w:style w:type="character" w:customStyle="1" w:styleId="Bulletslevel1Char">
    <w:name w:val="Bullets level 1 Char"/>
    <w:link w:val="Bulletslevel1"/>
    <w:locked/>
    <w:rsid w:val="00E51478"/>
    <w:rPr>
      <w:rFonts w:asciiTheme="majorHAnsi" w:hAnsiTheme="majorHAnsi" w:cs="Calibri-Bold"/>
      <w:bCs/>
      <w:color w:val="595959" w:themeColor="text1" w:themeTint="A6"/>
      <w:sz w:val="16"/>
      <w:szCs w:val="24"/>
      <w:lang w:eastAsia="en-US"/>
    </w:rPr>
  </w:style>
  <w:style w:type="paragraph" w:customStyle="1" w:styleId="Bulletslevel1">
    <w:name w:val="Bullets level 1"/>
    <w:basedOn w:val="47Nadpis"/>
    <w:link w:val="Bulletslevel1Char"/>
    <w:qFormat/>
    <w:rsid w:val="00E51478"/>
    <w:pPr>
      <w:numPr>
        <w:numId w:val="6"/>
      </w:numPr>
      <w:spacing w:before="0" w:after="0"/>
      <w:ind w:right="-79"/>
    </w:pPr>
    <w:rPr>
      <w:rFonts w:asciiTheme="majorHAnsi" w:hAnsiTheme="majorHAnsi"/>
      <w:color w:val="595959" w:themeColor="text1" w:themeTint="A6"/>
      <w:sz w:val="16"/>
    </w:rPr>
  </w:style>
  <w:style w:type="paragraph" w:customStyle="1" w:styleId="47Podnadpis3">
    <w:name w:val="47 Podnadpis 3"/>
    <w:basedOn w:val="47Podnadpis2slovan"/>
    <w:link w:val="47Podnadpis3Char"/>
    <w:qFormat/>
    <w:rsid w:val="0049546F"/>
    <w:pPr>
      <w:numPr>
        <w:ilvl w:val="0"/>
      </w:numPr>
      <w:ind w:left="505" w:hanging="505"/>
      <w:outlineLvl w:val="3"/>
    </w:pPr>
    <w:rPr>
      <w:sz w:val="20"/>
    </w:rPr>
  </w:style>
  <w:style w:type="character" w:customStyle="1" w:styleId="47Podnadpis3Char">
    <w:name w:val="47 Podnadpis 3 Char"/>
    <w:link w:val="47Podnadpis3"/>
    <w:rsid w:val="0049546F"/>
    <w:rPr>
      <w:rFonts w:ascii="Arial" w:eastAsia="Times New Roman" w:hAnsi="Arial" w:cs="Arial"/>
      <w:b w:val="0"/>
      <w:color w:val="002060"/>
      <w:sz w:val="20"/>
      <w:szCs w:val="24"/>
      <w:lang w:eastAsia="cs-CZ"/>
    </w:rPr>
  </w:style>
  <w:style w:type="paragraph" w:styleId="BalloonText">
    <w:name w:val="Balloon Text"/>
    <w:basedOn w:val="Normal"/>
    <w:link w:val="TextbublinyChar"/>
    <w:uiPriority w:val="99"/>
    <w:semiHidden/>
    <w:unhideWhenUsed/>
    <w:rsid w:val="00300636"/>
    <w:rPr>
      <w:rFonts w:ascii="Tahoma" w:hAnsi="Tahoma"/>
      <w:sz w:val="16"/>
      <w:szCs w:val="16"/>
    </w:rPr>
  </w:style>
  <w:style w:type="character" w:customStyle="1" w:styleId="TextbublinyChar">
    <w:name w:val="Text bubliny Char"/>
    <w:link w:val="BalloonText"/>
    <w:uiPriority w:val="99"/>
    <w:semiHidden/>
    <w:rsid w:val="00300636"/>
    <w:rPr>
      <w:rFonts w:ascii="Tahoma" w:hAnsi="Tahoma" w:cs="Tahoma"/>
      <w:sz w:val="16"/>
      <w:szCs w:val="16"/>
    </w:rPr>
  </w:style>
  <w:style w:type="paragraph" w:styleId="Header">
    <w:name w:val="header"/>
    <w:basedOn w:val="Normal"/>
    <w:link w:val="ZhlavChar"/>
    <w:uiPriority w:val="99"/>
    <w:unhideWhenUsed/>
    <w:rsid w:val="00AD6C2B"/>
    <w:pPr>
      <w:tabs>
        <w:tab w:val="center" w:pos="4536"/>
        <w:tab w:val="right" w:pos="9072"/>
      </w:tabs>
    </w:pPr>
  </w:style>
  <w:style w:type="character" w:customStyle="1" w:styleId="ZhlavChar">
    <w:name w:val="Záhlaví Char"/>
    <w:link w:val="Header"/>
    <w:uiPriority w:val="99"/>
    <w:rsid w:val="00AD6C2B"/>
    <w:rPr>
      <w:rFonts w:ascii="Arial" w:hAnsi="Arial"/>
      <w:sz w:val="20"/>
    </w:rPr>
  </w:style>
  <w:style w:type="paragraph" w:styleId="Footer">
    <w:name w:val="footer"/>
    <w:basedOn w:val="Normal"/>
    <w:link w:val="ZpatChar"/>
    <w:uiPriority w:val="99"/>
    <w:unhideWhenUsed/>
    <w:rsid w:val="00AD6C2B"/>
    <w:pPr>
      <w:tabs>
        <w:tab w:val="center" w:pos="4536"/>
        <w:tab w:val="right" w:pos="9072"/>
      </w:tabs>
    </w:pPr>
  </w:style>
  <w:style w:type="character" w:customStyle="1" w:styleId="ZpatChar">
    <w:name w:val="Zápatí Char"/>
    <w:link w:val="Footer"/>
    <w:uiPriority w:val="99"/>
    <w:rsid w:val="00AD6C2B"/>
    <w:rPr>
      <w:rFonts w:ascii="Arial" w:hAnsi="Arial"/>
      <w:sz w:val="20"/>
    </w:rPr>
  </w:style>
  <w:style w:type="character" w:styleId="CommentReference">
    <w:name w:val="annotation reference"/>
    <w:uiPriority w:val="99"/>
    <w:semiHidden/>
    <w:unhideWhenUsed/>
    <w:rsid w:val="00640FA6"/>
    <w:rPr>
      <w:sz w:val="16"/>
      <w:szCs w:val="16"/>
    </w:rPr>
  </w:style>
  <w:style w:type="paragraph" w:styleId="CommentText">
    <w:name w:val="annotation text"/>
    <w:basedOn w:val="Normal"/>
    <w:link w:val="TextkomenteChar"/>
    <w:uiPriority w:val="99"/>
    <w:unhideWhenUsed/>
    <w:rsid w:val="00640FA6"/>
  </w:style>
  <w:style w:type="character" w:customStyle="1" w:styleId="TextkomenteChar">
    <w:name w:val="Text komentáře Char"/>
    <w:link w:val="CommentText"/>
    <w:uiPriority w:val="99"/>
    <w:rsid w:val="00640FA6"/>
    <w:rPr>
      <w:rFonts w:ascii="Arial" w:hAnsi="Arial"/>
      <w:sz w:val="20"/>
      <w:szCs w:val="20"/>
    </w:rPr>
  </w:style>
  <w:style w:type="paragraph" w:styleId="CommentSubject">
    <w:name w:val="annotation subject"/>
    <w:basedOn w:val="CommentText"/>
    <w:next w:val="CommentText"/>
    <w:link w:val="PedmtkomenteChar"/>
    <w:uiPriority w:val="99"/>
    <w:semiHidden/>
    <w:unhideWhenUsed/>
    <w:rsid w:val="00640FA6"/>
    <w:rPr>
      <w:b/>
      <w:bCs/>
    </w:rPr>
  </w:style>
  <w:style w:type="character" w:customStyle="1" w:styleId="PedmtkomenteChar">
    <w:name w:val="Předmět komentáře Char"/>
    <w:link w:val="CommentSubject"/>
    <w:uiPriority w:val="99"/>
    <w:semiHidden/>
    <w:rsid w:val="00640FA6"/>
    <w:rPr>
      <w:rFonts w:ascii="Arial" w:hAnsi="Arial"/>
      <w:b/>
      <w:bCs/>
      <w:sz w:val="20"/>
      <w:szCs w:val="20"/>
    </w:rPr>
  </w:style>
  <w:style w:type="character" w:customStyle="1" w:styleId="Nadpis1Char">
    <w:name w:val="Nadpis 1 Char"/>
    <w:link w:val="Heading1"/>
    <w:uiPriority w:val="9"/>
    <w:rsid w:val="00353B2C"/>
    <w:rPr>
      <w:color w:val="093D93"/>
      <w:sz w:val="32"/>
      <w:lang w:eastAsia="en-US"/>
    </w:rPr>
  </w:style>
  <w:style w:type="character" w:customStyle="1" w:styleId="Nadpis3Char">
    <w:name w:val="Nadpis 3 Char"/>
    <w:link w:val="Heading3"/>
    <w:uiPriority w:val="9"/>
    <w:rsid w:val="00982735"/>
    <w:rPr>
      <w:color w:val="093D93"/>
      <w:sz w:val="28"/>
      <w:lang w:eastAsia="en-US"/>
    </w:rPr>
  </w:style>
  <w:style w:type="character" w:customStyle="1" w:styleId="Nadpis4Char">
    <w:name w:val="Nadpis 4 Char"/>
    <w:link w:val="Heading4"/>
    <w:uiPriority w:val="9"/>
    <w:rsid w:val="00C11175"/>
    <w:rPr>
      <w:color w:val="093D93"/>
      <w:sz w:val="24"/>
      <w:lang w:eastAsia="en-US"/>
    </w:rPr>
  </w:style>
  <w:style w:type="character" w:customStyle="1" w:styleId="Nadpis6Char">
    <w:name w:val="Nadpis 6 Char"/>
    <w:link w:val="Heading6"/>
    <w:uiPriority w:val="9"/>
    <w:semiHidden/>
    <w:rsid w:val="003906A2"/>
    <w:rPr>
      <w:rFonts w:ascii="Segoe UI Semibold" w:eastAsia="Times New Roman" w:hAnsi="Segoe UI Semibold" w:cs="Times New Roman"/>
      <w:i/>
      <w:iCs/>
      <w:color w:val="041E49"/>
    </w:rPr>
  </w:style>
  <w:style w:type="table" w:styleId="LightShadingAccent1">
    <w:name w:val="Light Shading Accent 1"/>
    <w:basedOn w:val="TableNormal"/>
    <w:uiPriority w:val="60"/>
    <w:rsid w:val="00C96D6F"/>
    <w:rPr>
      <w:color w:val="062D6D"/>
    </w:rPr>
    <w:tblPr>
      <w:tblStyleRowBandSize w:val="1"/>
      <w:tblStyleColBandSize w:val="1"/>
      <w:tblBorders>
        <w:top w:val="single" w:sz="8" w:space="0" w:color="093D93"/>
        <w:bottom w:val="single" w:sz="8" w:space="0" w:color="093D93"/>
      </w:tblBorders>
    </w:tblPr>
    <w:tblStylePr w:type="firstRow">
      <w:pPr>
        <w:spacing w:before="0" w:after="0" w:line="240" w:lineRule="auto"/>
      </w:pPr>
      <w:rPr>
        <w:b/>
        <w:bCs/>
      </w:rPr>
      <w:tblPr/>
      <w:tcPr>
        <w:tcBorders>
          <w:top w:val="single" w:sz="8" w:space="0" w:color="093D93"/>
          <w:left w:val="nil"/>
          <w:bottom w:val="single" w:sz="8" w:space="0" w:color="093D93"/>
          <w:right w:val="nil"/>
          <w:insideH w:val="nil"/>
          <w:insideV w:val="nil"/>
        </w:tcBorders>
      </w:tcPr>
    </w:tblStylePr>
    <w:tblStylePr w:type="lastRow">
      <w:pPr>
        <w:spacing w:before="0" w:after="0" w:line="240" w:lineRule="auto"/>
      </w:pPr>
      <w:rPr>
        <w:b/>
        <w:bCs/>
      </w:rPr>
      <w:tblPr/>
      <w:tcPr>
        <w:tcBorders>
          <w:top w:val="single" w:sz="8" w:space="0" w:color="093D93"/>
          <w:left w:val="nil"/>
          <w:bottom w:val="single" w:sz="8" w:space="0" w:color="093D9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C9FA"/>
      </w:tcPr>
    </w:tblStylePr>
    <w:tblStylePr w:type="band1Horz">
      <w:tblPr/>
      <w:tcPr>
        <w:tcBorders>
          <w:left w:val="nil"/>
          <w:right w:val="nil"/>
          <w:insideH w:val="nil"/>
          <w:insideV w:val="nil"/>
        </w:tcBorders>
        <w:shd w:val="clear" w:color="auto" w:fill="ACC9FA"/>
      </w:tcPr>
    </w:tblStylePr>
  </w:style>
  <w:style w:type="table" w:styleId="LightShading">
    <w:name w:val="Light Shading"/>
    <w:basedOn w:val="TableNormal"/>
    <w:uiPriority w:val="60"/>
    <w:rsid w:val="00C96D6F"/>
    <w:rPr>
      <w:color w:val="080808"/>
    </w:rPr>
    <w:tblPr>
      <w:tblStyleRowBandSize w:val="1"/>
      <w:tblStyleColBandSize w:val="1"/>
      <w:tblBorders>
        <w:top w:val="single" w:sz="8" w:space="0" w:color="0C0C0C"/>
        <w:bottom w:val="single" w:sz="8" w:space="0" w:color="0C0C0C"/>
      </w:tblBorders>
    </w:tblPr>
    <w:tblStylePr w:type="firstRow">
      <w:pPr>
        <w:spacing w:before="0" w:after="0" w:line="240" w:lineRule="auto"/>
      </w:pPr>
      <w:rPr>
        <w:b/>
        <w:bCs/>
      </w:rPr>
      <w:tblPr/>
      <w:tcPr>
        <w:tcBorders>
          <w:top w:val="single" w:sz="8" w:space="0" w:color="0C0C0C"/>
          <w:left w:val="nil"/>
          <w:bottom w:val="single" w:sz="8" w:space="0" w:color="0C0C0C"/>
          <w:right w:val="nil"/>
          <w:insideH w:val="nil"/>
          <w:insideV w:val="nil"/>
        </w:tcBorders>
      </w:tcPr>
    </w:tblStylePr>
    <w:tblStylePr w:type="lastRow">
      <w:pPr>
        <w:spacing w:before="0" w:after="0" w:line="240" w:lineRule="auto"/>
      </w:pPr>
      <w:rPr>
        <w:b/>
        <w:bCs/>
      </w:rPr>
      <w:tblPr/>
      <w:tcPr>
        <w:tcBorders>
          <w:top w:val="single" w:sz="8" w:space="0" w:color="0C0C0C"/>
          <w:left w:val="nil"/>
          <w:bottom w:val="single" w:sz="8" w:space="0" w:color="0C0C0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C2C2"/>
      </w:tcPr>
    </w:tblStylePr>
    <w:tblStylePr w:type="band1Horz">
      <w:tblPr/>
      <w:tcPr>
        <w:tcBorders>
          <w:left w:val="nil"/>
          <w:right w:val="nil"/>
          <w:insideH w:val="nil"/>
          <w:insideV w:val="nil"/>
        </w:tcBorders>
        <w:shd w:val="clear" w:color="auto" w:fill="C2C2C2"/>
      </w:tcPr>
    </w:tblStylePr>
  </w:style>
  <w:style w:type="table" w:styleId="LightListAccent1">
    <w:name w:val="Light List Accent 1"/>
    <w:basedOn w:val="TableNormal"/>
    <w:uiPriority w:val="61"/>
    <w:rsid w:val="00C96D6F"/>
    <w:tblPr>
      <w:tblStyleRowBandSize w:val="1"/>
      <w:tblStyleColBandSize w:val="1"/>
      <w:tblBorders>
        <w:top w:val="single" w:sz="8" w:space="0" w:color="093D93"/>
        <w:left w:val="single" w:sz="8" w:space="0" w:color="093D93"/>
        <w:bottom w:val="single" w:sz="8" w:space="0" w:color="093D93"/>
        <w:right w:val="single" w:sz="8" w:space="0" w:color="093D93"/>
      </w:tblBorders>
    </w:tblPr>
    <w:tblStylePr w:type="firstRow">
      <w:pPr>
        <w:spacing w:before="0" w:after="0" w:line="240" w:lineRule="auto"/>
      </w:pPr>
      <w:rPr>
        <w:b/>
        <w:bCs/>
        <w:color w:val="FFFFFF"/>
      </w:rPr>
      <w:tblPr/>
      <w:tcPr>
        <w:shd w:val="clear" w:color="auto" w:fill="093D93"/>
      </w:tcPr>
    </w:tblStylePr>
    <w:tblStylePr w:type="lastRow">
      <w:pPr>
        <w:spacing w:before="0" w:after="0" w:line="240" w:lineRule="auto"/>
      </w:pPr>
      <w:rPr>
        <w:b/>
        <w:bCs/>
      </w:rPr>
      <w:tblPr/>
      <w:tcPr>
        <w:tcBorders>
          <w:top w:val="double" w:sz="6" w:space="0" w:color="093D93"/>
          <w:left w:val="single" w:sz="8" w:space="0" w:color="093D93"/>
          <w:bottom w:val="single" w:sz="8" w:space="0" w:color="093D93"/>
          <w:right w:val="single" w:sz="8" w:space="0" w:color="093D93"/>
        </w:tcBorders>
      </w:tcPr>
    </w:tblStylePr>
    <w:tblStylePr w:type="firstCol">
      <w:rPr>
        <w:b/>
        <w:bCs/>
      </w:rPr>
    </w:tblStylePr>
    <w:tblStylePr w:type="lastCol">
      <w:rPr>
        <w:b/>
        <w:bCs/>
      </w:rPr>
    </w:tblStylePr>
    <w:tblStylePr w:type="band1Vert">
      <w:tblPr/>
      <w:tcPr>
        <w:tcBorders>
          <w:top w:val="single" w:sz="8" w:space="0" w:color="093D93"/>
          <w:left w:val="single" w:sz="8" w:space="0" w:color="093D93"/>
          <w:bottom w:val="single" w:sz="8" w:space="0" w:color="093D93"/>
          <w:right w:val="single" w:sz="8" w:space="0" w:color="093D93"/>
        </w:tcBorders>
      </w:tcPr>
    </w:tblStylePr>
    <w:tblStylePr w:type="band1Horz">
      <w:tblPr/>
      <w:tcPr>
        <w:tcBorders>
          <w:top w:val="single" w:sz="8" w:space="0" w:color="093D93"/>
          <w:left w:val="single" w:sz="8" w:space="0" w:color="093D93"/>
          <w:bottom w:val="single" w:sz="8" w:space="0" w:color="093D93"/>
          <w:right w:val="single" w:sz="8" w:space="0" w:color="093D93"/>
        </w:tcBorders>
      </w:tcPr>
    </w:tblStylePr>
  </w:style>
  <w:style w:type="table" w:styleId="LightGridAccent1">
    <w:name w:val="Light Grid Accent 1"/>
    <w:basedOn w:val="TableNormal"/>
    <w:uiPriority w:val="62"/>
    <w:rsid w:val="00C96D6F"/>
    <w:tblPr>
      <w:tblStyleRowBandSize w:val="1"/>
      <w:tblStyleColBandSize w:val="1"/>
      <w:tblBorders>
        <w:top w:val="single" w:sz="8" w:space="0" w:color="093D93"/>
        <w:left w:val="single" w:sz="8" w:space="0" w:color="093D93"/>
        <w:bottom w:val="single" w:sz="8" w:space="0" w:color="093D93"/>
        <w:right w:val="single" w:sz="8" w:space="0" w:color="093D93"/>
        <w:insideH w:val="single" w:sz="8" w:space="0" w:color="093D93"/>
        <w:insideV w:val="single" w:sz="8" w:space="0" w:color="093D93"/>
      </w:tblBorders>
    </w:tblPr>
    <w:tblStylePr w:type="firstRow">
      <w:pPr>
        <w:spacing w:before="0" w:after="0" w:line="240" w:lineRule="auto"/>
      </w:pPr>
      <w:rPr>
        <w:rFonts w:ascii="Arabic Typesetting" w:eastAsia="Times New Roman" w:hAnsi="Arabic Typesetting" w:cs="Times New Roman"/>
        <w:b/>
        <w:bCs/>
      </w:rPr>
      <w:tblPr/>
      <w:tcPr>
        <w:tcBorders>
          <w:top w:val="single" w:sz="8" w:space="0" w:color="093D93"/>
          <w:left w:val="single" w:sz="8" w:space="0" w:color="093D93"/>
          <w:bottom w:val="single" w:sz="18" w:space="0" w:color="093D93"/>
          <w:right w:val="single" w:sz="8" w:space="0" w:color="093D93"/>
          <w:insideH w:val="nil"/>
          <w:insideV w:val="single" w:sz="8" w:space="0" w:color="093D93"/>
        </w:tcBorders>
      </w:tcPr>
    </w:tblStylePr>
    <w:tblStylePr w:type="lastRow">
      <w:pPr>
        <w:spacing w:before="0" w:after="0" w:line="240" w:lineRule="auto"/>
      </w:pPr>
      <w:rPr>
        <w:rFonts w:ascii="Arabic Typesetting" w:eastAsia="Times New Roman" w:hAnsi="Arabic Typesetting" w:cs="Times New Roman"/>
        <w:b/>
        <w:bCs/>
      </w:rPr>
      <w:tblPr/>
      <w:tcPr>
        <w:tcBorders>
          <w:top w:val="double" w:sz="6" w:space="0" w:color="093D93"/>
          <w:left w:val="single" w:sz="8" w:space="0" w:color="093D93"/>
          <w:bottom w:val="single" w:sz="8" w:space="0" w:color="093D93"/>
          <w:right w:val="single" w:sz="8" w:space="0" w:color="093D93"/>
          <w:insideH w:val="nil"/>
          <w:insideV w:val="single" w:sz="8" w:space="0" w:color="093D93"/>
        </w:tcBorders>
      </w:tcPr>
    </w:tblStylePr>
    <w:tblStylePr w:type="firstCol">
      <w:rPr>
        <w:rFonts w:ascii="Arabic Typesetting" w:eastAsia="Times New Roman" w:hAnsi="Arabic Typesetting" w:cs="Times New Roman"/>
        <w:b/>
        <w:bCs/>
      </w:rPr>
    </w:tblStylePr>
    <w:tblStylePr w:type="lastCol">
      <w:rPr>
        <w:rFonts w:ascii="Arabic Typesetting" w:eastAsia="Times New Roman" w:hAnsi="Arabic Typesetting" w:cs="Times New Roman"/>
        <w:b/>
        <w:bCs/>
      </w:rPr>
      <w:tblPr/>
      <w:tcPr>
        <w:tcBorders>
          <w:top w:val="single" w:sz="8" w:space="0" w:color="093D93"/>
          <w:left w:val="single" w:sz="8" w:space="0" w:color="093D93"/>
          <w:bottom w:val="single" w:sz="8" w:space="0" w:color="093D93"/>
          <w:right w:val="single" w:sz="8" w:space="0" w:color="093D93"/>
        </w:tcBorders>
      </w:tcPr>
    </w:tblStylePr>
    <w:tblStylePr w:type="band1Vert">
      <w:tblPr/>
      <w:tcPr>
        <w:tcBorders>
          <w:top w:val="single" w:sz="8" w:space="0" w:color="093D93"/>
          <w:left w:val="single" w:sz="8" w:space="0" w:color="093D93"/>
          <w:bottom w:val="single" w:sz="8" w:space="0" w:color="093D93"/>
          <w:right w:val="single" w:sz="8" w:space="0" w:color="093D93"/>
        </w:tcBorders>
        <w:shd w:val="clear" w:color="auto" w:fill="ACC9FA"/>
      </w:tcPr>
    </w:tblStylePr>
    <w:tblStylePr w:type="band1Horz">
      <w:tblPr/>
      <w:tcPr>
        <w:tcBorders>
          <w:top w:val="single" w:sz="8" w:space="0" w:color="093D93"/>
          <w:left w:val="single" w:sz="8" w:space="0" w:color="093D93"/>
          <w:bottom w:val="single" w:sz="8" w:space="0" w:color="093D93"/>
          <w:right w:val="single" w:sz="8" w:space="0" w:color="093D93"/>
          <w:insideV w:val="single" w:sz="8" w:space="0" w:color="093D93"/>
        </w:tcBorders>
        <w:shd w:val="clear" w:color="auto" w:fill="ACC9FA"/>
      </w:tcPr>
    </w:tblStylePr>
    <w:tblStylePr w:type="band2Horz">
      <w:tblPr/>
      <w:tcPr>
        <w:tcBorders>
          <w:top w:val="single" w:sz="8" w:space="0" w:color="093D93"/>
          <w:left w:val="single" w:sz="8" w:space="0" w:color="093D93"/>
          <w:bottom w:val="single" w:sz="8" w:space="0" w:color="093D93"/>
          <w:right w:val="single" w:sz="8" w:space="0" w:color="093D93"/>
          <w:insideV w:val="single" w:sz="8" w:space="0" w:color="093D93"/>
        </w:tcBorders>
      </w:tcPr>
    </w:tblStylePr>
  </w:style>
  <w:style w:type="character" w:styleId="BookTitle">
    <w:name w:val="Book Title"/>
    <w:uiPriority w:val="33"/>
    <w:rsid w:val="003906A2"/>
    <w:rPr>
      <w:b/>
      <w:bCs/>
      <w:smallCaps/>
      <w:spacing w:val="5"/>
    </w:rPr>
  </w:style>
  <w:style w:type="paragraph" w:styleId="TOCHeading">
    <w:name w:val="TOC Heading"/>
    <w:aliases w:val="Nadpis nečíslovaných kapitol"/>
    <w:basedOn w:val="Heading1"/>
    <w:next w:val="Normal"/>
    <w:uiPriority w:val="39"/>
    <w:unhideWhenUsed/>
    <w:qFormat/>
    <w:rsid w:val="008240B8"/>
    <w:pPr>
      <w:numPr>
        <w:numId w:val="0"/>
      </w:numPr>
      <w:outlineLvl w:val="9"/>
    </w:pPr>
    <w:rPr>
      <w:rFonts w:ascii="Segoe UI" w:hAnsi="Segoe UI"/>
    </w:rPr>
  </w:style>
  <w:style w:type="paragraph" w:styleId="TOC1">
    <w:name w:val="toc 1"/>
    <w:basedOn w:val="Normal"/>
    <w:next w:val="Normal"/>
    <w:autoRedefine/>
    <w:uiPriority w:val="39"/>
    <w:unhideWhenUsed/>
    <w:rsid w:val="00233E3B"/>
    <w:pPr>
      <w:tabs>
        <w:tab w:val="left" w:pos="400"/>
        <w:tab w:val="right" w:leader="dot" w:pos="9062"/>
      </w:tabs>
      <w:spacing w:after="100"/>
    </w:pPr>
  </w:style>
  <w:style w:type="paragraph" w:styleId="TOC2">
    <w:name w:val="toc 2"/>
    <w:basedOn w:val="Normal"/>
    <w:next w:val="Normal"/>
    <w:autoRedefine/>
    <w:uiPriority w:val="39"/>
    <w:unhideWhenUsed/>
    <w:rsid w:val="00E769C1"/>
    <w:pPr>
      <w:spacing w:after="100"/>
      <w:ind w:left="200"/>
    </w:pPr>
  </w:style>
  <w:style w:type="paragraph" w:styleId="TOC3">
    <w:name w:val="toc 3"/>
    <w:basedOn w:val="Normal"/>
    <w:next w:val="Normal"/>
    <w:autoRedefine/>
    <w:uiPriority w:val="39"/>
    <w:unhideWhenUsed/>
    <w:rsid w:val="00E769C1"/>
    <w:pPr>
      <w:spacing w:after="100"/>
      <w:ind w:left="400"/>
    </w:pPr>
  </w:style>
  <w:style w:type="character" w:styleId="Hyperlink">
    <w:name w:val="Hyperlink"/>
    <w:uiPriority w:val="99"/>
    <w:unhideWhenUsed/>
    <w:rsid w:val="00E769C1"/>
    <w:rPr>
      <w:color w:val="009DEA"/>
      <w:u w:val="single"/>
    </w:rPr>
  </w:style>
  <w:style w:type="paragraph" w:styleId="TableofFigures">
    <w:name w:val="table of figures"/>
    <w:basedOn w:val="Normal"/>
    <w:next w:val="Normal"/>
    <w:uiPriority w:val="99"/>
    <w:unhideWhenUsed/>
    <w:rsid w:val="00E769C1"/>
  </w:style>
  <w:style w:type="table" w:styleId="LightListAccent2">
    <w:name w:val="Light List Accent 2"/>
    <w:basedOn w:val="TableNormal"/>
    <w:uiPriority w:val="61"/>
    <w:rsid w:val="005911C1"/>
    <w:tblPr>
      <w:tblStyleRowBandSize w:val="1"/>
      <w:tblStyleColBandSize w:val="1"/>
      <w:tblBorders>
        <w:top w:val="single" w:sz="8" w:space="0" w:color="2DB9FF"/>
        <w:left w:val="single" w:sz="8" w:space="0" w:color="2DB9FF"/>
        <w:bottom w:val="single" w:sz="8" w:space="0" w:color="2DB9FF"/>
        <w:right w:val="single" w:sz="8" w:space="0" w:color="2DB9FF"/>
      </w:tblBorders>
    </w:tblPr>
    <w:tblStylePr w:type="firstRow">
      <w:pPr>
        <w:spacing w:before="0" w:after="0" w:line="240" w:lineRule="auto"/>
      </w:pPr>
      <w:rPr>
        <w:b/>
        <w:bCs/>
        <w:color w:val="FFFFFF"/>
      </w:rPr>
      <w:tblPr/>
      <w:tcPr>
        <w:shd w:val="clear" w:color="auto" w:fill="2DB9FF"/>
      </w:tcPr>
    </w:tblStylePr>
    <w:tblStylePr w:type="lastRow">
      <w:pPr>
        <w:spacing w:before="0" w:after="0" w:line="240" w:lineRule="auto"/>
      </w:pPr>
      <w:rPr>
        <w:b/>
        <w:bCs/>
      </w:rPr>
      <w:tblPr/>
      <w:tcPr>
        <w:tcBorders>
          <w:top w:val="double" w:sz="6" w:space="0" w:color="2DB9FF"/>
          <w:left w:val="single" w:sz="8" w:space="0" w:color="2DB9FF"/>
          <w:bottom w:val="single" w:sz="8" w:space="0" w:color="2DB9FF"/>
          <w:right w:val="single" w:sz="8" w:space="0" w:color="2DB9FF"/>
        </w:tcBorders>
      </w:tcPr>
    </w:tblStylePr>
    <w:tblStylePr w:type="firstCol">
      <w:rPr>
        <w:b/>
        <w:bCs/>
      </w:rPr>
    </w:tblStylePr>
    <w:tblStylePr w:type="lastCol">
      <w:rPr>
        <w:b/>
        <w:bCs/>
      </w:rPr>
    </w:tblStylePr>
    <w:tblStylePr w:type="band1Vert">
      <w:tblPr/>
      <w:tcPr>
        <w:tcBorders>
          <w:top w:val="single" w:sz="8" w:space="0" w:color="2DB9FF"/>
          <w:left w:val="single" w:sz="8" w:space="0" w:color="2DB9FF"/>
          <w:bottom w:val="single" w:sz="8" w:space="0" w:color="2DB9FF"/>
          <w:right w:val="single" w:sz="8" w:space="0" w:color="2DB9FF"/>
        </w:tcBorders>
      </w:tcPr>
    </w:tblStylePr>
    <w:tblStylePr w:type="band1Horz">
      <w:tblPr/>
      <w:tcPr>
        <w:tcBorders>
          <w:top w:val="single" w:sz="8" w:space="0" w:color="2DB9FF"/>
          <w:left w:val="single" w:sz="8" w:space="0" w:color="2DB9FF"/>
          <w:bottom w:val="single" w:sz="8" w:space="0" w:color="2DB9FF"/>
          <w:right w:val="single" w:sz="8" w:space="0" w:color="2DB9FF"/>
        </w:tcBorders>
      </w:tcPr>
    </w:tblStylePr>
  </w:style>
  <w:style w:type="table" w:styleId="LightShadingAccent2">
    <w:name w:val="Light Shading Accent 2"/>
    <w:basedOn w:val="TableNormal"/>
    <w:uiPriority w:val="60"/>
    <w:rsid w:val="00CB7EAD"/>
    <w:rPr>
      <w:color w:val="0095E0"/>
    </w:rPr>
    <w:tblPr>
      <w:tblStyleRowBandSize w:val="1"/>
      <w:tblStyleColBandSize w:val="1"/>
      <w:tblBorders>
        <w:top w:val="single" w:sz="8" w:space="0" w:color="2DB9FF"/>
        <w:bottom w:val="single" w:sz="8" w:space="0" w:color="2DB9FF"/>
      </w:tblBorders>
    </w:tblPr>
    <w:tblStylePr w:type="firstRow">
      <w:pPr>
        <w:spacing w:before="0" w:after="0" w:line="240" w:lineRule="auto"/>
      </w:pPr>
      <w:rPr>
        <w:b/>
        <w:bCs/>
      </w:rPr>
      <w:tblPr/>
      <w:tcPr>
        <w:tcBorders>
          <w:top w:val="single" w:sz="8" w:space="0" w:color="2DB9FF"/>
          <w:left w:val="nil"/>
          <w:bottom w:val="single" w:sz="8" w:space="0" w:color="2DB9FF"/>
          <w:right w:val="nil"/>
          <w:insideH w:val="nil"/>
          <w:insideV w:val="nil"/>
        </w:tcBorders>
      </w:tcPr>
    </w:tblStylePr>
    <w:tblStylePr w:type="lastRow">
      <w:pPr>
        <w:spacing w:before="0" w:after="0" w:line="240" w:lineRule="auto"/>
      </w:pPr>
      <w:rPr>
        <w:b/>
        <w:bCs/>
      </w:rPr>
      <w:tblPr/>
      <w:tcPr>
        <w:tcBorders>
          <w:top w:val="single" w:sz="8" w:space="0" w:color="2DB9FF"/>
          <w:left w:val="nil"/>
          <w:bottom w:val="single" w:sz="8" w:space="0" w:color="2DB9F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DFF"/>
      </w:tcPr>
    </w:tblStylePr>
    <w:tblStylePr w:type="band1Horz">
      <w:tblPr/>
      <w:tcPr>
        <w:tcBorders>
          <w:left w:val="nil"/>
          <w:right w:val="nil"/>
          <w:insideH w:val="nil"/>
          <w:insideV w:val="nil"/>
        </w:tcBorders>
        <w:shd w:val="clear" w:color="auto" w:fill="CBEDFF"/>
      </w:tcPr>
    </w:tblStylePr>
  </w:style>
  <w:style w:type="character" w:customStyle="1" w:styleId="Nadpis2Char">
    <w:name w:val="Nadpis 2 Char"/>
    <w:link w:val="Heading2"/>
    <w:rsid w:val="00A70EFB"/>
    <w:rPr>
      <w:color w:val="093D93"/>
      <w:sz w:val="28"/>
      <w:lang w:eastAsia="en-US"/>
    </w:rPr>
  </w:style>
  <w:style w:type="character" w:customStyle="1" w:styleId="Nadpis5Char">
    <w:name w:val="Nadpis 5 Char"/>
    <w:link w:val="Heading5"/>
    <w:uiPriority w:val="9"/>
    <w:semiHidden/>
    <w:rsid w:val="003906A2"/>
    <w:rPr>
      <w:rFonts w:ascii="Segoe UI Semibold" w:eastAsia="Times New Roman" w:hAnsi="Segoe UI Semibold" w:cs="Times New Roman"/>
      <w:color w:val="041E49"/>
    </w:rPr>
  </w:style>
  <w:style w:type="character" w:customStyle="1" w:styleId="Nadpis7Char">
    <w:name w:val="Nadpis 7 Char"/>
    <w:link w:val="Heading7"/>
    <w:uiPriority w:val="9"/>
    <w:semiHidden/>
    <w:rsid w:val="003906A2"/>
    <w:rPr>
      <w:rFonts w:ascii="Segoe UI Semibold" w:eastAsia="Times New Roman" w:hAnsi="Segoe UI Semibold" w:cs="Times New Roman"/>
      <w:i/>
      <w:iCs/>
      <w:color w:val="484848"/>
    </w:rPr>
  </w:style>
  <w:style w:type="character" w:customStyle="1" w:styleId="Nadpis8Char">
    <w:name w:val="Nadpis 8 Char"/>
    <w:link w:val="Heading8"/>
    <w:uiPriority w:val="9"/>
    <w:semiHidden/>
    <w:rsid w:val="003906A2"/>
    <w:rPr>
      <w:rFonts w:ascii="Segoe UI Semibold" w:eastAsia="Times New Roman" w:hAnsi="Segoe UI Semibold" w:cs="Times New Roman"/>
      <w:color w:val="093D93"/>
      <w:sz w:val="20"/>
      <w:szCs w:val="20"/>
    </w:rPr>
  </w:style>
  <w:style w:type="character" w:customStyle="1" w:styleId="Nadpis9Char">
    <w:name w:val="Nadpis 9 Char"/>
    <w:link w:val="Heading9"/>
    <w:uiPriority w:val="9"/>
    <w:semiHidden/>
    <w:rsid w:val="003906A2"/>
    <w:rPr>
      <w:rFonts w:ascii="Segoe UI Semibold" w:eastAsia="Times New Roman" w:hAnsi="Segoe UI Semibold" w:cs="Times New Roman"/>
      <w:i/>
      <w:iCs/>
      <w:color w:val="484848"/>
      <w:sz w:val="20"/>
      <w:szCs w:val="20"/>
    </w:rPr>
  </w:style>
  <w:style w:type="paragraph" w:styleId="Title">
    <w:name w:val="Title"/>
    <w:basedOn w:val="47Nzevdokumentu"/>
    <w:next w:val="Normal"/>
    <w:link w:val="NzevChar"/>
    <w:uiPriority w:val="10"/>
    <w:qFormat/>
    <w:rsid w:val="008240B8"/>
    <w:pPr>
      <w:numPr>
        <w:numId w:val="0"/>
      </w:numPr>
      <w:spacing w:before="8880"/>
    </w:pPr>
    <w:rPr>
      <w:rFonts w:ascii="Segoe UI Semibold" w:hAnsi="Segoe UI Semibold"/>
    </w:rPr>
  </w:style>
  <w:style w:type="character" w:customStyle="1" w:styleId="NzevChar">
    <w:name w:val="Název Char"/>
    <w:link w:val="Title"/>
    <w:uiPriority w:val="10"/>
    <w:rsid w:val="008240B8"/>
    <w:rPr>
      <w:rFonts w:ascii="Segoe UI Semibold" w:eastAsia="Times New Roman" w:hAnsi="Segoe UI Semibold" w:cs="Arial"/>
      <w:color w:val="002060"/>
      <w:sz w:val="36"/>
      <w:szCs w:val="24"/>
    </w:rPr>
  </w:style>
  <w:style w:type="paragraph" w:styleId="Subtitle">
    <w:name w:val="Subtitle"/>
    <w:basedOn w:val="TOCHeading"/>
    <w:next w:val="Normal"/>
    <w:link w:val="PodnadpisChar"/>
    <w:uiPriority w:val="11"/>
    <w:qFormat/>
    <w:rsid w:val="008700BC"/>
  </w:style>
  <w:style w:type="character" w:customStyle="1" w:styleId="PodnadpisChar">
    <w:name w:val="Podnadpis Char"/>
    <w:link w:val="Subtitle"/>
    <w:uiPriority w:val="11"/>
    <w:rsid w:val="008700BC"/>
    <w:rPr>
      <w:rFonts w:ascii="Segoe UI" w:eastAsia="Times New Roman" w:hAnsi="Segoe UI" w:cs="Segoe UI"/>
      <w:bCs/>
      <w:color w:val="093D93"/>
      <w:sz w:val="32"/>
      <w:szCs w:val="28"/>
      <w:lang w:eastAsia="cs-CZ"/>
    </w:rPr>
  </w:style>
  <w:style w:type="character" w:styleId="Strong">
    <w:name w:val="Strong"/>
    <w:uiPriority w:val="22"/>
    <w:qFormat/>
    <w:rsid w:val="003906A2"/>
    <w:rPr>
      <w:b/>
      <w:bCs/>
    </w:rPr>
  </w:style>
  <w:style w:type="character" w:styleId="Emphasis">
    <w:name w:val="Emphasis"/>
    <w:uiPriority w:val="20"/>
    <w:qFormat/>
    <w:rsid w:val="003906A2"/>
    <w:rPr>
      <w:i/>
      <w:iCs/>
    </w:rPr>
  </w:style>
  <w:style w:type="paragraph" w:styleId="NoSpacing">
    <w:name w:val="No Spacing"/>
    <w:link w:val="BezmezerChar"/>
    <w:uiPriority w:val="1"/>
    <w:rsid w:val="003906A2"/>
    <w:rPr>
      <w:lang w:eastAsia="en-US"/>
    </w:rPr>
  </w:style>
  <w:style w:type="character" w:customStyle="1" w:styleId="BezmezerChar">
    <w:name w:val="Bez mezer Char"/>
    <w:basedOn w:val="DefaultParagraphFont"/>
    <w:link w:val="NoSpacing"/>
    <w:uiPriority w:val="1"/>
    <w:rsid w:val="003906A2"/>
  </w:style>
  <w:style w:type="paragraph" w:styleId="Quote">
    <w:name w:val="Quote"/>
    <w:basedOn w:val="Normal"/>
    <w:next w:val="Normal"/>
    <w:link w:val="CittChar"/>
    <w:uiPriority w:val="29"/>
    <w:rsid w:val="003906A2"/>
    <w:rPr>
      <w:i/>
      <w:iCs/>
      <w:color w:val="0C0C0C"/>
    </w:rPr>
  </w:style>
  <w:style w:type="character" w:customStyle="1" w:styleId="CittChar">
    <w:name w:val="Citát Char"/>
    <w:link w:val="Quote"/>
    <w:uiPriority w:val="29"/>
    <w:rsid w:val="003906A2"/>
    <w:rPr>
      <w:i/>
      <w:iCs/>
      <w:color w:val="0C0C0C"/>
    </w:rPr>
  </w:style>
  <w:style w:type="paragraph" w:styleId="IntenseQuote">
    <w:name w:val="Intense Quote"/>
    <w:basedOn w:val="Normal"/>
    <w:next w:val="Normal"/>
    <w:link w:val="VrazncittChar"/>
    <w:uiPriority w:val="30"/>
    <w:rsid w:val="003906A2"/>
    <w:pPr>
      <w:pBdr>
        <w:bottom w:val="single" w:sz="4" w:space="4" w:color="093D93"/>
      </w:pBdr>
      <w:spacing w:before="200" w:after="280"/>
      <w:ind w:left="936" w:right="936"/>
    </w:pPr>
    <w:rPr>
      <w:b/>
      <w:bCs/>
      <w:i/>
      <w:iCs/>
      <w:color w:val="093D93"/>
    </w:rPr>
  </w:style>
  <w:style w:type="character" w:customStyle="1" w:styleId="VrazncittChar">
    <w:name w:val="Výrazný citát Char"/>
    <w:link w:val="IntenseQuote"/>
    <w:uiPriority w:val="30"/>
    <w:rsid w:val="003906A2"/>
    <w:rPr>
      <w:b/>
      <w:bCs/>
      <w:i/>
      <w:iCs/>
      <w:color w:val="093D93"/>
    </w:rPr>
  </w:style>
  <w:style w:type="character" w:styleId="SubtleEmphasis">
    <w:name w:val="Subtle Emphasis"/>
    <w:uiPriority w:val="19"/>
    <w:rsid w:val="003906A2"/>
    <w:rPr>
      <w:i/>
      <w:iCs/>
      <w:color w:val="858585"/>
    </w:rPr>
  </w:style>
  <w:style w:type="character" w:styleId="IntenseEmphasis">
    <w:name w:val="Intense Emphasis"/>
    <w:uiPriority w:val="21"/>
    <w:rsid w:val="003906A2"/>
    <w:rPr>
      <w:b/>
      <w:bCs/>
      <w:i/>
      <w:iCs/>
      <w:color w:val="093D93"/>
    </w:rPr>
  </w:style>
  <w:style w:type="character" w:styleId="SubtleReference">
    <w:name w:val="Subtle Reference"/>
    <w:uiPriority w:val="31"/>
    <w:rsid w:val="003906A2"/>
    <w:rPr>
      <w:smallCaps/>
      <w:color w:val="2DB9FF"/>
      <w:u w:val="single"/>
    </w:rPr>
  </w:style>
  <w:style w:type="character" w:styleId="IntenseReference">
    <w:name w:val="Intense Reference"/>
    <w:aliases w:val="Odkaz"/>
    <w:uiPriority w:val="32"/>
    <w:qFormat/>
    <w:rsid w:val="008700BC"/>
    <w:rPr>
      <w:b w:val="0"/>
      <w:bCs/>
      <w:smallCaps/>
      <w:color w:val="2DB9FF"/>
      <w:spacing w:val="5"/>
      <w:u w:val="single"/>
    </w:rPr>
  </w:style>
  <w:style w:type="table" w:styleId="ColorfulListAccent2">
    <w:name w:val="Colorful List Accent 2"/>
    <w:basedOn w:val="TableNormal"/>
    <w:uiPriority w:val="72"/>
    <w:rsid w:val="003906A2"/>
    <w:rPr>
      <w:color w:val="0C0C0C"/>
    </w:rPr>
    <w:tblPr>
      <w:tblStyleRowBandSize w:val="1"/>
      <w:tblStyleColBandSize w:val="1"/>
    </w:tblPr>
    <w:tcPr>
      <w:shd w:val="clear" w:color="auto" w:fill="EAF8FF"/>
    </w:tcPr>
    <w:tblStylePr w:type="firstRow">
      <w:rPr>
        <w:b/>
        <w:bCs/>
        <w:color w:val="FFFFFF"/>
      </w:rPr>
      <w:tblPr/>
      <w:tcPr>
        <w:tcBorders>
          <w:bottom w:val="single" w:sz="12" w:space="0" w:color="FFFFFF"/>
        </w:tcBorders>
        <w:shd w:val="clear" w:color="auto" w:fill="00A0F0"/>
      </w:tcPr>
    </w:tblStylePr>
    <w:tblStylePr w:type="lastRow">
      <w:rPr>
        <w:b/>
        <w:bCs/>
        <w:color w:val="00A0F0"/>
      </w:rPr>
      <w:tblPr/>
      <w:tcPr>
        <w:tcBorders>
          <w:top w:val="single" w:sz="12" w:space="0" w:color="0C0C0C"/>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DFF"/>
      </w:tcPr>
    </w:tblStylePr>
    <w:tblStylePr w:type="band1Horz">
      <w:tblPr/>
      <w:tcPr>
        <w:shd w:val="clear" w:color="auto" w:fill="D5F1FF"/>
      </w:tcPr>
    </w:tblStylePr>
  </w:style>
  <w:style w:type="table" w:styleId="ColorfulList">
    <w:name w:val="Colorful List"/>
    <w:basedOn w:val="TableNormal"/>
    <w:uiPriority w:val="72"/>
    <w:rsid w:val="003906A2"/>
    <w:rPr>
      <w:color w:val="0C0C0C"/>
    </w:rPr>
    <w:tblPr>
      <w:tblStyleRowBandSize w:val="1"/>
      <w:tblStyleColBandSize w:val="1"/>
    </w:tblPr>
    <w:tcPr>
      <w:shd w:val="clear" w:color="auto" w:fill="E7E7E7"/>
    </w:tcPr>
    <w:tblStylePr w:type="firstRow">
      <w:rPr>
        <w:b/>
        <w:bCs/>
        <w:color w:val="FFFFFF"/>
      </w:rPr>
      <w:tblPr/>
      <w:tcPr>
        <w:tcBorders>
          <w:bottom w:val="single" w:sz="12" w:space="0" w:color="FFFFFF"/>
        </w:tcBorders>
        <w:shd w:val="clear" w:color="auto" w:fill="00A0F0"/>
      </w:tcPr>
    </w:tblStylePr>
    <w:tblStylePr w:type="lastRow">
      <w:rPr>
        <w:b/>
        <w:bCs/>
        <w:color w:val="00A0F0"/>
      </w:rPr>
      <w:tblPr/>
      <w:tcPr>
        <w:tcBorders>
          <w:top w:val="single" w:sz="12" w:space="0" w:color="0C0C0C"/>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C2C2"/>
      </w:tcPr>
    </w:tblStylePr>
    <w:tblStylePr w:type="band1Horz">
      <w:tblPr/>
      <w:tcPr>
        <w:shd w:val="clear" w:color="auto" w:fill="CECECE"/>
      </w:tcPr>
    </w:tblStylePr>
  </w:style>
  <w:style w:type="paragraph" w:customStyle="1" w:styleId="Tabulka">
    <w:name w:val="Tabulka"/>
    <w:basedOn w:val="Normal"/>
    <w:qFormat/>
    <w:rsid w:val="009D4C3D"/>
    <w:pPr>
      <w:keepLines/>
      <w:spacing w:before="100" w:beforeAutospacing="1" w:after="100" w:afterAutospacing="1" w:line="240" w:lineRule="auto"/>
      <w:ind w:left="113" w:right="113"/>
      <w:jc w:val="left"/>
    </w:pPr>
    <w:rPr>
      <w:sz w:val="16"/>
      <w:szCs w:val="16"/>
      <w:lang w:val="en-US" w:eastAsia="cs-CZ"/>
    </w:rPr>
  </w:style>
  <w:style w:type="paragraph" w:customStyle="1" w:styleId="Tituleksrou">
    <w:name w:val="Titulek s čárou"/>
    <w:basedOn w:val="Caption"/>
    <w:qFormat/>
    <w:rsid w:val="004840A9"/>
    <w:pPr>
      <w:keepNext/>
      <w:pBdr>
        <w:top w:val="single" w:sz="24" w:space="1" w:color="E6E6E6"/>
      </w:pBdr>
    </w:pPr>
    <w:rPr>
      <w:sz w:val="20"/>
    </w:rPr>
  </w:style>
  <w:style w:type="paragraph" w:customStyle="1" w:styleId="Dleitodstavec">
    <w:name w:val="Důležitý odstavec"/>
    <w:basedOn w:val="Normal"/>
    <w:rsid w:val="00FF0221"/>
    <w:pPr>
      <w:spacing w:line="240" w:lineRule="auto"/>
    </w:pPr>
  </w:style>
  <w:style w:type="table" w:styleId="ColorfulListAccent4">
    <w:name w:val="Colorful List Accent 4"/>
    <w:basedOn w:val="TableNormal"/>
    <w:uiPriority w:val="72"/>
    <w:rsid w:val="00FF0221"/>
    <w:rPr>
      <w:color w:val="0C0C0C"/>
    </w:rPr>
    <w:tblPr>
      <w:tblStyleRowBandSize w:val="1"/>
      <w:tblStyleColBandSize w:val="1"/>
    </w:tblPr>
    <w:tcPr>
      <w:shd w:val="clear" w:color="auto" w:fill="FFF3EB"/>
    </w:tcPr>
    <w:tblStylePr w:type="firstRow">
      <w:rPr>
        <w:b/>
        <w:bCs/>
        <w:color w:val="FFFFFF"/>
      </w:rPr>
      <w:tblPr/>
      <w:tcPr>
        <w:tcBorders>
          <w:bottom w:val="single" w:sz="12" w:space="0" w:color="FFFFFF"/>
        </w:tcBorders>
        <w:shd w:val="clear" w:color="auto" w:fill="FEEB00"/>
      </w:tcPr>
    </w:tblStylePr>
    <w:tblStylePr w:type="lastRow">
      <w:rPr>
        <w:b/>
        <w:bCs/>
        <w:color w:val="FEEB00"/>
      </w:rPr>
      <w:tblPr/>
      <w:tcPr>
        <w:tcBorders>
          <w:top w:val="single" w:sz="12" w:space="0" w:color="0C0C0C"/>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3CE"/>
      </w:tcPr>
    </w:tblStylePr>
    <w:tblStylePr w:type="band1Horz">
      <w:tblPr/>
      <w:tcPr>
        <w:shd w:val="clear" w:color="auto" w:fill="FEE8D7"/>
      </w:tcPr>
    </w:tblStylePr>
  </w:style>
  <w:style w:type="table" w:customStyle="1" w:styleId="Dleitinformace">
    <w:name w:val="Důležitá informace"/>
    <w:basedOn w:val="TableNormal"/>
    <w:uiPriority w:val="99"/>
    <w:rsid w:val="00F47005"/>
    <w:pPr>
      <w:spacing w:before="60" w:after="60"/>
      <w:ind w:left="170" w:right="170"/>
    </w:pPr>
    <w:rPr>
      <w:rFonts w:ascii="Arial" w:hAnsi="Arial"/>
    </w:rPr>
    <w:tblPr>
      <w:tblBorders>
        <w:left w:val="single" w:sz="24" w:space="0" w:color="2DB9FF"/>
      </w:tblBorders>
      <w:tblCellMar>
        <w:top w:w="113" w:type="dxa"/>
        <w:bottom w:w="113" w:type="dxa"/>
      </w:tblCellMar>
    </w:tblPr>
    <w:tcPr>
      <w:shd w:val="clear" w:color="auto" w:fill="F2F2F2"/>
    </w:tcPr>
  </w:style>
  <w:style w:type="table" w:customStyle="1" w:styleId="Tabulka47">
    <w:name w:val="Tabulka 47"/>
    <w:basedOn w:val="TableNormal"/>
    <w:uiPriority w:val="99"/>
    <w:rsid w:val="00027596"/>
    <w:pPr>
      <w:spacing w:before="100" w:beforeAutospacing="1" w:after="100" w:afterAutospacing="1"/>
      <w:ind w:left="57" w:right="57"/>
    </w:pPr>
    <w:rPr>
      <w:rFonts w:ascii="Cambria" w:hAnsi="Cambria"/>
      <w:sz w:val="16"/>
    </w:rPr>
    <w:tblPr>
      <w:tblStyleRowBandSize w:val="1"/>
      <w:tblStyleColBandSize w:val="1"/>
      <w:tblBorders>
        <w:bottom w:val="single" w:sz="24" w:space="0" w:color="2DB9FF"/>
      </w:tblBorders>
    </w:tblPr>
    <w:tcPr>
      <w:vAlign w:val="center"/>
    </w:tcPr>
    <w:tblStylePr w:type="firstRow">
      <w:pPr>
        <w:wordWrap/>
        <w:spacing w:before="120" w:beforeLines="0" w:beforeAutospacing="0" w:after="180" w:afterLines="0" w:afterAutospacing="0"/>
        <w:contextualSpacing/>
        <w:jc w:val="left"/>
        <w:mirrorIndents w:val="0"/>
      </w:pPr>
      <w:rPr>
        <w:b/>
        <w:color w:val="FFFFFF"/>
        <w:sz w:val="16"/>
      </w:rPr>
      <w:tblPr/>
      <w:tcPr>
        <w:tcBorders>
          <w:top w:val="nil"/>
          <w:left w:val="nil"/>
          <w:bottom w:val="nil"/>
          <w:right w:val="nil"/>
          <w:insideH w:val="nil"/>
          <w:insideV w:val="nil"/>
          <w:tl2br w:val="nil"/>
          <w:tr2bl w:val="nil"/>
        </w:tcBorders>
        <w:shd w:val="clear" w:color="auto" w:fill="2DB9FF"/>
      </w:tcPr>
    </w:tblStylePr>
    <w:tblStylePr w:type="lastRow">
      <w:rPr>
        <w:b/>
      </w:rPr>
      <w:tblPr/>
      <w:tcPr>
        <w:tcBorders>
          <w:top w:val="single" w:sz="24" w:space="0" w:color="2DB9FF"/>
          <w:left w:val="nil"/>
          <w:bottom w:val="single" w:sz="24" w:space="0" w:color="2DB9FF"/>
          <w:right w:val="nil"/>
          <w:insideH w:val="nil"/>
          <w:insideV w:val="nil"/>
          <w:tl2br w:val="nil"/>
          <w:tr2bl w:val="nil"/>
        </w:tcBorders>
        <w:shd w:val="clear" w:color="auto" w:fill="D5F1FF"/>
      </w:tcPr>
    </w:tblStylePr>
    <w:tblStylePr w:type="firstCol">
      <w:rPr>
        <w:b/>
        <w:color w:val="0C0C0C"/>
      </w:rPr>
      <w:tblPr/>
      <w:tcPr>
        <w:tcBorders>
          <w:right w:val="single" w:sz="8" w:space="0" w:color="DDDDDD"/>
        </w:tcBorders>
        <w:shd w:val="clear" w:color="auto" w:fill="D5F1FF"/>
      </w:tcPr>
    </w:tblStylePr>
    <w:tblStylePr w:type="lastCol">
      <w:tblPr/>
      <w:tcPr>
        <w:tcBorders>
          <w:left w:val="single" w:sz="8" w:space="0" w:color="E6E6E6"/>
        </w:tcBorders>
        <w:shd w:val="clear" w:color="auto" w:fill="D5F1FF"/>
      </w:tcPr>
    </w:tblStylePr>
    <w:tblStylePr w:type="band1Vert">
      <w:tblPr/>
      <w:tcPr>
        <w:tcBorders>
          <w:top w:val="nil"/>
          <w:left w:val="nil"/>
          <w:bottom w:val="single" w:sz="24" w:space="0" w:color="2DB9FF"/>
          <w:right w:val="nil"/>
          <w:insideH w:val="nil"/>
          <w:insideV w:val="nil"/>
          <w:tl2br w:val="nil"/>
          <w:tr2bl w:val="nil"/>
        </w:tcBorders>
        <w:shd w:val="clear" w:color="auto" w:fill="F2F2F2"/>
      </w:tcPr>
    </w:tblStylePr>
    <w:tblStylePr w:type="band1Horz">
      <w:rPr>
        <w:color w:val="auto"/>
      </w:rPr>
      <w:tblPr/>
      <w:tcPr>
        <w:shd w:val="clear" w:color="auto" w:fill="F2F2F2"/>
      </w:tcPr>
    </w:tblStylePr>
  </w:style>
  <w:style w:type="paragraph" w:styleId="Revision">
    <w:name w:val="Revision"/>
    <w:hidden/>
    <w:uiPriority w:val="99"/>
    <w:semiHidden/>
    <w:rsid w:val="001178DE"/>
    <w:rPr>
      <w:rFonts w:ascii="Cambria" w:hAnsi="Cambria"/>
      <w:lang w:eastAsia="en-US"/>
    </w:rPr>
  </w:style>
  <w:style w:type="paragraph" w:customStyle="1" w:styleId="4DNormln">
    <w:name w:val="4D Normální"/>
    <w:link w:val="4DNormlnChar"/>
    <w:rsid w:val="00C0617C"/>
    <w:rPr>
      <w:rFonts w:ascii="Arial" w:hAnsi="Arial"/>
    </w:rPr>
  </w:style>
  <w:style w:type="character" w:customStyle="1" w:styleId="4DNormlnChar">
    <w:name w:val="4D Normální Char"/>
    <w:link w:val="4DNormln"/>
    <w:rsid w:val="00C0617C"/>
    <w:rPr>
      <w:rFonts w:ascii="Arial" w:hAnsi="Arial"/>
    </w:rPr>
  </w:style>
  <w:style w:type="character" w:styleId="FollowedHyperlink">
    <w:name w:val="FollowedHyperlink"/>
    <w:uiPriority w:val="99"/>
    <w:semiHidden/>
    <w:unhideWhenUsed/>
    <w:rsid w:val="00BA768A"/>
    <w:rPr>
      <w:color w:val="800080"/>
      <w:u w:val="single"/>
    </w:rPr>
  </w:style>
  <w:style w:type="paragraph" w:customStyle="1" w:styleId="Odrazka2">
    <w:name w:val="Odrazka 2"/>
    <w:basedOn w:val="Odrka1"/>
    <w:link w:val="Odrazka2Char"/>
    <w:qFormat/>
    <w:rsid w:val="00C53AE4"/>
    <w:pPr>
      <w:numPr>
        <w:ilvl w:val="1"/>
      </w:numPr>
      <w:ind w:left="1133" w:hanging="425"/>
    </w:pPr>
  </w:style>
  <w:style w:type="paragraph" w:customStyle="1" w:styleId="Nadpispkladu">
    <w:name w:val="Nadpis příkladu"/>
    <w:basedOn w:val="Odrazka2"/>
    <w:link w:val="NadpispkladuChar"/>
    <w:qFormat/>
    <w:rsid w:val="000570D5"/>
    <w:pPr>
      <w:ind w:firstLine="0"/>
    </w:pPr>
    <w:rPr>
      <w:sz w:val="24"/>
    </w:rPr>
  </w:style>
  <w:style w:type="character" w:customStyle="1" w:styleId="Odrazka2Char">
    <w:name w:val="Odrazka 2 Char"/>
    <w:basedOn w:val="DefaultParagraphFont"/>
    <w:link w:val="Odrazka2"/>
    <w:rsid w:val="00C53AE4"/>
    <w:rPr>
      <w:rFonts w:ascii="Cambria" w:hAnsi="Cambria"/>
      <w:lang w:eastAsia="en-US"/>
    </w:rPr>
  </w:style>
  <w:style w:type="paragraph" w:customStyle="1" w:styleId="Mininadpis">
    <w:name w:val="Mini nadpis"/>
    <w:basedOn w:val="Normal"/>
    <w:link w:val="MininadpisChar"/>
    <w:qFormat/>
    <w:rsid w:val="00C53AE4"/>
    <w:pPr>
      <w:spacing w:before="240"/>
    </w:pPr>
    <w:rPr>
      <w:b/>
    </w:rPr>
  </w:style>
  <w:style w:type="character" w:customStyle="1" w:styleId="NadpispkladuChar">
    <w:name w:val="Nadpis příkladu Char"/>
    <w:basedOn w:val="Odrazka2Char"/>
    <w:link w:val="Nadpispkladu"/>
    <w:rsid w:val="000570D5"/>
    <w:rPr>
      <w:rFonts w:ascii="Cambria" w:hAnsi="Cambria"/>
      <w:sz w:val="24"/>
      <w:lang w:eastAsia="en-US"/>
    </w:rPr>
  </w:style>
  <w:style w:type="paragraph" w:customStyle="1" w:styleId="Pkladtun">
    <w:name w:val="Příklad tučně"/>
    <w:basedOn w:val="Nadpispkladu"/>
    <w:link w:val="PkladtunChar"/>
    <w:qFormat/>
    <w:rsid w:val="003A5960"/>
    <w:rPr>
      <w:b/>
      <w:sz w:val="20"/>
      <w:szCs w:val="24"/>
    </w:rPr>
  </w:style>
  <w:style w:type="character" w:customStyle="1" w:styleId="MininadpisChar">
    <w:name w:val="Mini nadpis Char"/>
    <w:basedOn w:val="Odrazka2Char"/>
    <w:link w:val="Mininadpis"/>
    <w:rsid w:val="00C53AE4"/>
    <w:rPr>
      <w:rFonts w:ascii="Cambria" w:hAnsi="Cambria"/>
      <w:b/>
      <w:lang w:eastAsia="en-US"/>
    </w:rPr>
  </w:style>
  <w:style w:type="table" w:customStyle="1" w:styleId="Styl1">
    <w:name w:val="Styl1"/>
    <w:basedOn w:val="TableNormal"/>
    <w:uiPriority w:val="99"/>
    <w:rsid w:val="00D73780"/>
    <w:tblPr>
      <w:tblStyleRowBandSize w:val="1"/>
      <w:tblBorders>
        <w:insideH w:val="single" w:sz="8" w:space="0" w:color="F2F2F2" w:themeColor="background1" w:themeShade="F2"/>
        <w:insideV w:val="single" w:sz="8" w:space="0" w:color="F2F2F2" w:themeColor="background1" w:themeShade="F2"/>
      </w:tblBorders>
    </w:tblPr>
    <w:tblStylePr w:type="band1Horz">
      <w:tblPr/>
      <w:tcPr>
        <w:shd w:val="clear" w:color="auto" w:fill="FFFFFF" w:themeFill="background1"/>
      </w:tcPr>
    </w:tblStylePr>
    <w:tblStylePr w:type="band2Horz">
      <w:tblPr/>
      <w:tcPr>
        <w:shd w:val="clear" w:color="auto" w:fill="D9D9D9" w:themeFill="background1" w:themeFillShade="D9"/>
      </w:tcPr>
    </w:tblStylePr>
  </w:style>
  <w:style w:type="character" w:customStyle="1" w:styleId="PkladtunChar">
    <w:name w:val="Příklad tučně Char"/>
    <w:basedOn w:val="NadpispkladuChar"/>
    <w:link w:val="Pkladtun"/>
    <w:rsid w:val="003A5960"/>
    <w:rPr>
      <w:rFonts w:ascii="Cambria" w:hAnsi="Cambria"/>
      <w:b/>
      <w:sz w:val="24"/>
      <w:szCs w:val="24"/>
      <w:lang w:eastAsia="en-US"/>
    </w:rPr>
  </w:style>
  <w:style w:type="table" w:customStyle="1" w:styleId="Styl33">
    <w:name w:val="Styl33"/>
    <w:basedOn w:val="TableNormal"/>
    <w:uiPriority w:val="99"/>
    <w:rsid w:val="00E72873"/>
    <w:tblPr>
      <w:tblBorders>
        <w:insideH w:val="single" w:sz="8" w:space="0" w:color="A6A6A6" w:themeColor="background1" w:themeShade="A6"/>
        <w:insideV w:val="single" w:sz="8" w:space="0" w:color="A6A6A6" w:themeColor="background1" w:themeShade="A6"/>
      </w:tblBorders>
    </w:tblPr>
  </w:style>
  <w:style w:type="character" w:customStyle="1" w:styleId="wysiwyg-font-size-large">
    <w:name w:val="wysiwyg-font-size-large"/>
    <w:basedOn w:val="DefaultParagraphFont"/>
    <w:rsid w:val="004D0356"/>
  </w:style>
  <w:style w:type="paragraph" w:customStyle="1" w:styleId="Odrazkaklicoveotazky">
    <w:name w:val="Odrazka klicove otazky"/>
    <w:basedOn w:val="Odrka1"/>
    <w:link w:val="OdrazkaklicoveotazkyChar"/>
    <w:qFormat/>
    <w:rsid w:val="00F63237"/>
    <w:pPr>
      <w:spacing w:before="0" w:after="0"/>
      <w:ind w:left="714" w:hanging="357"/>
    </w:pPr>
  </w:style>
  <w:style w:type="paragraph" w:customStyle="1" w:styleId="Pkladnadpis">
    <w:name w:val="Příklad nadpis"/>
    <w:basedOn w:val="Odrazka2"/>
    <w:link w:val="PkladnadpisChar"/>
    <w:qFormat/>
    <w:rsid w:val="001E7B38"/>
    <w:pPr>
      <w:ind w:left="170" w:firstLine="0"/>
    </w:pPr>
  </w:style>
  <w:style w:type="character" w:customStyle="1" w:styleId="TitulekChar">
    <w:name w:val="Titulek Char"/>
    <w:basedOn w:val="DefaultParagraphFont"/>
    <w:link w:val="Caption"/>
    <w:uiPriority w:val="35"/>
    <w:rsid w:val="005F23B3"/>
    <w:rPr>
      <w:b/>
      <w:bCs/>
      <w:sz w:val="16"/>
      <w:lang w:eastAsia="en-US"/>
    </w:rPr>
  </w:style>
  <w:style w:type="character" w:customStyle="1" w:styleId="OdrazkaklicoveotazkyChar">
    <w:name w:val="Odrazka klicove otazky Char"/>
    <w:basedOn w:val="TitulekChar"/>
    <w:link w:val="Odrazkaklicoveotazky"/>
    <w:rsid w:val="00F63237"/>
    <w:rPr>
      <w:rFonts w:ascii="Cambria" w:hAnsi="Cambria"/>
      <w:b w:val="0"/>
      <w:bCs w:val="0"/>
      <w:sz w:val="16"/>
      <w:lang w:eastAsia="en-US"/>
    </w:rPr>
  </w:style>
  <w:style w:type="paragraph" w:customStyle="1" w:styleId="Pkladodraen">
    <w:name w:val="Příklad odražení"/>
    <w:basedOn w:val="Pkladnadpis"/>
    <w:link w:val="PkladodraenChar"/>
    <w:qFormat/>
    <w:rsid w:val="00414688"/>
    <w:pPr>
      <w:numPr>
        <w:ilvl w:val="0"/>
        <w:numId w:val="7"/>
      </w:numPr>
      <w:contextualSpacing/>
    </w:pPr>
  </w:style>
  <w:style w:type="character" w:customStyle="1" w:styleId="PkladnadpisChar">
    <w:name w:val="Příklad nadpis Char"/>
    <w:basedOn w:val="Odrazka2Char"/>
    <w:link w:val="Pkladnadpis"/>
    <w:rsid w:val="001E7B38"/>
    <w:rPr>
      <w:rFonts w:ascii="Cambria" w:hAnsi="Cambria"/>
      <w:lang w:eastAsia="en-US"/>
    </w:rPr>
  </w:style>
  <w:style w:type="paragraph" w:customStyle="1" w:styleId="Pkladstop">
    <w:name w:val="Příklad stop"/>
    <w:basedOn w:val="Normal"/>
    <w:link w:val="PkladstopChar"/>
    <w:qFormat/>
    <w:rsid w:val="000570D5"/>
    <w:pPr>
      <w:numPr>
        <w:numId w:val="4"/>
      </w:numPr>
      <w:spacing w:line="240" w:lineRule="auto"/>
    </w:pPr>
    <w:rPr>
      <w:sz w:val="18"/>
    </w:rPr>
  </w:style>
  <w:style w:type="character" w:customStyle="1" w:styleId="PkladodraenChar">
    <w:name w:val="Příklad odražení Char"/>
    <w:basedOn w:val="PkladnadpisChar"/>
    <w:link w:val="Pkladodraen"/>
    <w:rsid w:val="00414688"/>
    <w:rPr>
      <w:rFonts w:ascii="Cambria" w:hAnsi="Cambria"/>
      <w:lang w:eastAsia="en-US"/>
    </w:rPr>
  </w:style>
  <w:style w:type="paragraph" w:customStyle="1" w:styleId="Pkladslo">
    <w:name w:val="Příklad číslo"/>
    <w:basedOn w:val="Pkladodraen"/>
    <w:link w:val="PkladsloChar"/>
    <w:qFormat/>
    <w:rsid w:val="00476CF7"/>
    <w:pPr>
      <w:numPr>
        <w:numId w:val="8"/>
      </w:numPr>
    </w:pPr>
  </w:style>
  <w:style w:type="character" w:customStyle="1" w:styleId="PkladstopChar">
    <w:name w:val="Příklad stop Char"/>
    <w:basedOn w:val="DefaultParagraphFont"/>
    <w:link w:val="Pkladstop"/>
    <w:rsid w:val="000570D5"/>
    <w:rPr>
      <w:rFonts w:ascii="Cambria" w:hAnsi="Cambria"/>
      <w:sz w:val="18"/>
      <w:lang w:eastAsia="en-US"/>
    </w:rPr>
  </w:style>
  <w:style w:type="paragraph" w:customStyle="1" w:styleId="Pkladcheck">
    <w:name w:val="Příklad check"/>
    <w:basedOn w:val="Odrazka2"/>
    <w:link w:val="PkladcheckChar"/>
    <w:qFormat/>
    <w:rsid w:val="00476CF7"/>
    <w:pPr>
      <w:numPr>
        <w:ilvl w:val="0"/>
        <w:numId w:val="9"/>
      </w:numPr>
    </w:pPr>
  </w:style>
  <w:style w:type="character" w:customStyle="1" w:styleId="PkladsloChar">
    <w:name w:val="Příklad číslo Char"/>
    <w:basedOn w:val="PkladodraenChar"/>
    <w:link w:val="Pkladslo"/>
    <w:rsid w:val="00476CF7"/>
    <w:rPr>
      <w:rFonts w:ascii="Cambria" w:hAnsi="Cambria"/>
      <w:lang w:eastAsia="en-US"/>
    </w:rPr>
  </w:style>
  <w:style w:type="character" w:customStyle="1" w:styleId="PkladcheckChar">
    <w:name w:val="Příklad check Char"/>
    <w:basedOn w:val="Odrazka2Char"/>
    <w:link w:val="Pkladcheck"/>
    <w:rsid w:val="00476CF7"/>
    <w:rPr>
      <w:rFonts w:ascii="Cambria" w:hAnsi="Cambria"/>
      <w:lang w:eastAsia="en-US"/>
    </w:rPr>
  </w:style>
  <w:style w:type="paragraph" w:customStyle="1" w:styleId="Odrka1">
    <w:name w:val="Odrážka 1"/>
    <w:basedOn w:val="ListParagraph"/>
    <w:link w:val="Odrka1Char"/>
    <w:qFormat/>
    <w:rsid w:val="00435427"/>
    <w:pPr>
      <w:numPr>
        <w:numId w:val="2"/>
      </w:numPr>
    </w:pPr>
  </w:style>
  <w:style w:type="paragraph" w:customStyle="1" w:styleId="Odrkaslovn">
    <w:name w:val="Odrážka_číslování"/>
    <w:basedOn w:val="ListParagraph"/>
    <w:link w:val="OdrkaslovnChar"/>
    <w:qFormat/>
    <w:rsid w:val="00B746DE"/>
    <w:pPr>
      <w:numPr>
        <w:numId w:val="5"/>
      </w:numPr>
      <w:ind w:left="714" w:hanging="357"/>
    </w:pPr>
  </w:style>
  <w:style w:type="character" w:customStyle="1" w:styleId="Odrka1Char">
    <w:name w:val="Odrážka 1 Char"/>
    <w:basedOn w:val="OdstavecseseznamemChar"/>
    <w:link w:val="Odrka1"/>
    <w:rsid w:val="00435427"/>
    <w:rPr>
      <w:rFonts w:ascii="Cambria" w:hAnsi="Cambria"/>
      <w:lang w:eastAsia="en-US"/>
    </w:rPr>
  </w:style>
  <w:style w:type="character" w:customStyle="1" w:styleId="OdrkaslovnChar">
    <w:name w:val="Odrážka_číslování Char"/>
    <w:basedOn w:val="OdstavecseseznamemChar"/>
    <w:link w:val="Odrkaslovn"/>
    <w:rsid w:val="00B746DE"/>
    <w:rPr>
      <w:rFonts w:ascii="Cambria" w:hAnsi="Cambria"/>
      <w:lang w:eastAsia="en-US"/>
    </w:rPr>
  </w:style>
  <w:style w:type="paragraph" w:customStyle="1" w:styleId="Nadpisproobsah">
    <w:name w:val="Nadpis pro obsah"/>
    <w:basedOn w:val="Heading1"/>
    <w:link w:val="NadpisproobsahChar"/>
    <w:qFormat/>
    <w:rsid w:val="00741BC6"/>
    <w:pPr>
      <w:numPr>
        <w:numId w:val="0"/>
      </w:numPr>
    </w:pPr>
  </w:style>
  <w:style w:type="character" w:customStyle="1" w:styleId="NadpisproobsahChar">
    <w:name w:val="Nadpis pro obsah Char"/>
    <w:basedOn w:val="Nadpis1Char"/>
    <w:link w:val="Nadpisproobsah"/>
    <w:rsid w:val="00741BC6"/>
    <w:rPr>
      <w:color w:val="093D93"/>
      <w:sz w:val="32"/>
      <w:lang w:eastAsia="en-US"/>
    </w:rPr>
  </w:style>
  <w:style w:type="table" w:styleId="LightShadingAccent6">
    <w:name w:val="Light Shading Accent 6"/>
    <w:basedOn w:val="TableNormal"/>
    <w:uiPriority w:val="60"/>
    <w:rsid w:val="009D0C2F"/>
    <w:rPr>
      <w:color w:val="32551C" w:themeColor="accent6" w:themeShade="BF"/>
    </w:rPr>
    <w:tblPr>
      <w:tblStyleRowBandSize w:val="1"/>
      <w:tblStyleColBandSize w:val="1"/>
      <w:tblBorders>
        <w:top w:val="single" w:sz="8" w:space="0" w:color="437326" w:themeColor="accent6"/>
        <w:bottom w:val="single" w:sz="8" w:space="0" w:color="437326" w:themeColor="accent6"/>
      </w:tblBorders>
    </w:tblPr>
    <w:tblStylePr w:type="firstRow">
      <w:pPr>
        <w:spacing w:before="0" w:after="0" w:line="240" w:lineRule="auto"/>
      </w:pPr>
      <w:rPr>
        <w:b/>
        <w:bCs/>
      </w:rPr>
      <w:tblPr/>
      <w:tcPr>
        <w:tcBorders>
          <w:top w:val="single" w:sz="8" w:space="0" w:color="437326" w:themeColor="accent6"/>
          <w:left w:val="nil"/>
          <w:bottom w:val="single" w:sz="8" w:space="0" w:color="437326" w:themeColor="accent6"/>
          <w:right w:val="nil"/>
          <w:insideH w:val="nil"/>
          <w:insideV w:val="nil"/>
        </w:tcBorders>
      </w:tcPr>
    </w:tblStylePr>
    <w:tblStylePr w:type="lastRow">
      <w:pPr>
        <w:spacing w:before="0" w:after="0" w:line="240" w:lineRule="auto"/>
      </w:pPr>
      <w:rPr>
        <w:b/>
        <w:bCs/>
      </w:rPr>
      <w:tblPr/>
      <w:tcPr>
        <w:tcBorders>
          <w:top w:val="single" w:sz="8" w:space="0" w:color="437326" w:themeColor="accent6"/>
          <w:left w:val="nil"/>
          <w:bottom w:val="single" w:sz="8" w:space="0" w:color="43732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9BC" w:themeFill="accent6" w:themeFillTint="3F"/>
      </w:tcPr>
    </w:tblStylePr>
    <w:tblStylePr w:type="band1Horz">
      <w:tblPr/>
      <w:tcPr>
        <w:tcBorders>
          <w:left w:val="nil"/>
          <w:right w:val="nil"/>
          <w:insideH w:val="nil"/>
          <w:insideV w:val="nil"/>
        </w:tcBorders>
        <w:shd w:val="clear" w:color="auto" w:fill="CDE9BC" w:themeFill="accent6" w:themeFillTint="3F"/>
      </w:tcPr>
    </w:tblStylePr>
  </w:style>
  <w:style w:type="paragraph" w:customStyle="1" w:styleId="Default">
    <w:name w:val="Default"/>
    <w:rsid w:val="00573DA8"/>
    <w:pPr>
      <w:autoSpaceDE w:val="0"/>
      <w:autoSpaceDN w:val="0"/>
      <w:adjustRightInd w:val="0"/>
    </w:pPr>
    <w:rPr>
      <w:rFonts w:ascii="Times New Roman" w:hAnsi="Times New Roman" w:cs="Times New Roman"/>
      <w:color w:val="000000"/>
      <w:sz w:val="24"/>
      <w:szCs w:val="24"/>
    </w:rPr>
  </w:style>
  <w:style w:type="table" w:customStyle="1" w:styleId="Svtlstnovnzvraznn61">
    <w:name w:val="Světlé stínování – zvýraznění 61"/>
    <w:basedOn w:val="TableNormal"/>
    <w:next w:val="LightShadingAccent6"/>
    <w:uiPriority w:val="60"/>
    <w:rsid w:val="0062484C"/>
    <w:rPr>
      <w:color w:val="32551C"/>
    </w:rPr>
    <w:tblPr>
      <w:tblStyleRowBandSize w:val="1"/>
      <w:tblStyleColBandSize w:val="1"/>
      <w:tblBorders>
        <w:top w:val="single" w:sz="8" w:space="0" w:color="437326"/>
        <w:bottom w:val="single" w:sz="8" w:space="0" w:color="437326"/>
      </w:tblBorders>
    </w:tblPr>
    <w:tblStylePr w:type="firstRow">
      <w:pPr>
        <w:spacing w:before="0" w:after="0" w:line="240" w:lineRule="auto"/>
      </w:pPr>
      <w:rPr>
        <w:b/>
        <w:bCs/>
      </w:rPr>
      <w:tblPr/>
      <w:tcPr>
        <w:tcBorders>
          <w:top w:val="single" w:sz="8" w:space="0" w:color="437326"/>
          <w:left w:val="nil"/>
          <w:bottom w:val="single" w:sz="8" w:space="0" w:color="437326"/>
          <w:right w:val="nil"/>
          <w:insideH w:val="nil"/>
          <w:insideV w:val="nil"/>
        </w:tcBorders>
      </w:tcPr>
    </w:tblStylePr>
    <w:tblStylePr w:type="lastRow">
      <w:pPr>
        <w:spacing w:before="0" w:after="0" w:line="240" w:lineRule="auto"/>
      </w:pPr>
      <w:rPr>
        <w:b/>
        <w:bCs/>
      </w:rPr>
      <w:tblPr/>
      <w:tcPr>
        <w:tcBorders>
          <w:top w:val="single" w:sz="8" w:space="0" w:color="437326"/>
          <w:left w:val="nil"/>
          <w:bottom w:val="single" w:sz="8" w:space="0" w:color="43732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9BC"/>
      </w:tcPr>
    </w:tblStylePr>
    <w:tblStylePr w:type="band1Horz">
      <w:tblPr/>
      <w:tcPr>
        <w:tcBorders>
          <w:left w:val="nil"/>
          <w:right w:val="nil"/>
          <w:insideH w:val="nil"/>
          <w:insideV w:val="nil"/>
        </w:tcBorders>
        <w:shd w:val="clear" w:color="auto" w:fill="CDE9BC"/>
      </w:tcPr>
    </w:tblStylePr>
  </w:style>
  <w:style w:type="paragraph" w:styleId="NormalWeb">
    <w:name w:val="Normal (Web)"/>
    <w:basedOn w:val="Normal"/>
    <w:uiPriority w:val="99"/>
    <w:semiHidden/>
    <w:unhideWhenUsed/>
    <w:rsid w:val="00742047"/>
    <w:pPr>
      <w:spacing w:before="100" w:beforeAutospacing="1" w:after="100" w:afterAutospacing="1" w:line="240" w:lineRule="auto"/>
      <w:jc w:val="left"/>
    </w:pPr>
    <w:rPr>
      <w:rFonts w:ascii="Times New Roman" w:hAnsi="Times New Roman" w:cs="Times New Roman"/>
      <w:sz w:val="24"/>
      <w:szCs w:val="24"/>
      <w:lang w:eastAsia="cs-CZ"/>
    </w:rPr>
  </w:style>
  <w:style w:type="character" w:customStyle="1" w:styleId="A2">
    <w:name w:val="A2"/>
    <w:uiPriority w:val="99"/>
    <w:rsid w:val="000A1F90"/>
    <w:rPr>
      <w:rFonts w:cs="Myriad Pro"/>
      <w:b/>
      <w:bCs/>
      <w:color w:val="000000"/>
      <w:sz w:val="37"/>
      <w:szCs w:val="37"/>
    </w:rPr>
  </w:style>
  <w:style w:type="paragraph" w:customStyle="1" w:styleId="FMVENormlnZanadpisemiobjektem">
    <w:name w:val="FM VŠE: Normální: Za nadpisem či objektem"/>
    <w:basedOn w:val="Normal"/>
    <w:next w:val="Normal"/>
    <w:qFormat/>
    <w:rsid w:val="002D0B9C"/>
    <w:pPr>
      <w:spacing w:before="40" w:line="340" w:lineRule="exact"/>
    </w:pPr>
    <w:rPr>
      <w:rFonts w:eastAsia="Calibri" w:cs="Times New Roman"/>
      <w:sz w:val="23"/>
      <w:lang w:eastAsia="cs-CZ"/>
    </w:rPr>
  </w:style>
  <w:style w:type="table" w:customStyle="1" w:styleId="GridTable2-Accent11">
    <w:name w:val="Grid Table 2 - Accent 11"/>
    <w:basedOn w:val="TableNormal"/>
    <w:uiPriority w:val="47"/>
    <w:rsid w:val="00A42E4A"/>
    <w:rPr>
      <w:rFonts w:asciiTheme="minorHAnsi" w:eastAsiaTheme="minorHAnsi" w:hAnsiTheme="minorHAnsi" w:cstheme="minorBidi"/>
      <w:sz w:val="22"/>
      <w:szCs w:val="22"/>
      <w:lang w:eastAsia="en-US"/>
    </w:rPr>
    <w:tblPr>
      <w:tblStyleRowBandSize w:val="1"/>
      <w:tblStyleColBandSize w:val="1"/>
      <w:tblBorders>
        <w:top w:val="single" w:sz="2" w:space="0" w:color="367DF2" w:themeColor="accent1" w:themeTint="99"/>
        <w:bottom w:val="single" w:sz="2" w:space="0" w:color="367DF2" w:themeColor="accent1" w:themeTint="99"/>
        <w:insideH w:val="single" w:sz="2" w:space="0" w:color="367DF2" w:themeColor="accent1" w:themeTint="99"/>
        <w:insideV w:val="single" w:sz="2" w:space="0" w:color="367DF2" w:themeColor="accent1" w:themeTint="99"/>
      </w:tblBorders>
    </w:tblPr>
    <w:tblStylePr w:type="firstRow">
      <w:rPr>
        <w:b/>
        <w:bCs/>
      </w:rPr>
      <w:tblPr/>
      <w:tcPr>
        <w:tcBorders>
          <w:top w:val="nil"/>
          <w:bottom w:val="single" w:sz="12" w:space="0" w:color="367DF2" w:themeColor="accent1" w:themeTint="99"/>
          <w:insideH w:val="nil"/>
          <w:insideV w:val="nil"/>
        </w:tcBorders>
        <w:shd w:val="clear" w:color="auto" w:fill="FFFFFF" w:themeFill="background1"/>
      </w:tcPr>
    </w:tblStylePr>
    <w:tblStylePr w:type="lastRow">
      <w:rPr>
        <w:b/>
        <w:bCs/>
      </w:rPr>
      <w:tblPr/>
      <w:tcPr>
        <w:tcBorders>
          <w:top w:val="double" w:sz="2" w:space="0" w:color="367D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D3FB" w:themeFill="accent1" w:themeFillTint="33"/>
      </w:tcPr>
    </w:tblStylePr>
    <w:tblStylePr w:type="band1Horz">
      <w:tblPr/>
      <w:tcPr>
        <w:shd w:val="clear" w:color="auto" w:fill="BCD3FB" w:themeFill="accent1" w:themeFillTint="33"/>
      </w:tcPr>
    </w:tblStylePr>
  </w:style>
  <w:style w:type="table" w:styleId="MediumShading1Accent2">
    <w:name w:val="Medium Shading 1 Accent 2"/>
    <w:basedOn w:val="TableNormal"/>
    <w:uiPriority w:val="63"/>
    <w:rsid w:val="00A42E4A"/>
    <w:tblPr>
      <w:tblStyleRowBandSize w:val="1"/>
      <w:tblStyleColBandSize w:val="1"/>
      <w:tblBorders>
        <w:top w:val="single" w:sz="8" w:space="0" w:color="61CAFF" w:themeColor="accent2" w:themeTint="BF"/>
        <w:left w:val="single" w:sz="8" w:space="0" w:color="61CAFF" w:themeColor="accent2" w:themeTint="BF"/>
        <w:bottom w:val="single" w:sz="8" w:space="0" w:color="61CAFF" w:themeColor="accent2" w:themeTint="BF"/>
        <w:right w:val="single" w:sz="8" w:space="0" w:color="61CAFF" w:themeColor="accent2" w:themeTint="BF"/>
        <w:insideH w:val="single" w:sz="8" w:space="0" w:color="61CAFF" w:themeColor="accent2" w:themeTint="BF"/>
      </w:tblBorders>
    </w:tblPr>
    <w:tblStylePr w:type="firstRow">
      <w:pPr>
        <w:spacing w:before="0" w:after="0" w:line="240" w:lineRule="auto"/>
      </w:pPr>
      <w:rPr>
        <w:b/>
        <w:bCs/>
        <w:color w:val="FFFFFF" w:themeColor="background1"/>
      </w:rPr>
      <w:tblPr/>
      <w:tcPr>
        <w:tcBorders>
          <w:top w:val="single" w:sz="8" w:space="0" w:color="61CAFF" w:themeColor="accent2" w:themeTint="BF"/>
          <w:left w:val="single" w:sz="8" w:space="0" w:color="61CAFF" w:themeColor="accent2" w:themeTint="BF"/>
          <w:bottom w:val="single" w:sz="8" w:space="0" w:color="61CAFF" w:themeColor="accent2" w:themeTint="BF"/>
          <w:right w:val="single" w:sz="8" w:space="0" w:color="61CAFF" w:themeColor="accent2" w:themeTint="BF"/>
          <w:insideH w:val="nil"/>
          <w:insideV w:val="nil"/>
        </w:tcBorders>
        <w:shd w:val="clear" w:color="auto" w:fill="2DB9FF" w:themeFill="accent2"/>
      </w:tcPr>
    </w:tblStylePr>
    <w:tblStylePr w:type="lastRow">
      <w:pPr>
        <w:spacing w:before="0" w:after="0" w:line="240" w:lineRule="auto"/>
      </w:pPr>
      <w:rPr>
        <w:b/>
        <w:bCs/>
      </w:rPr>
      <w:tblPr/>
      <w:tcPr>
        <w:tcBorders>
          <w:top w:val="double" w:sz="6" w:space="0" w:color="61CAFF" w:themeColor="accent2" w:themeTint="BF"/>
          <w:left w:val="single" w:sz="8" w:space="0" w:color="61CAFF" w:themeColor="accent2" w:themeTint="BF"/>
          <w:bottom w:val="single" w:sz="8" w:space="0" w:color="61CAFF" w:themeColor="accent2" w:themeTint="BF"/>
          <w:right w:val="single" w:sz="8" w:space="0" w:color="61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EDFF" w:themeFill="accent2" w:themeFillTint="3F"/>
      </w:tcPr>
    </w:tblStylePr>
    <w:tblStylePr w:type="band1Horz">
      <w:tblPr/>
      <w:tcPr>
        <w:tcBorders>
          <w:insideH w:val="nil"/>
          <w:insideV w:val="nil"/>
        </w:tcBorders>
        <w:shd w:val="clear" w:color="auto" w:fill="CBEDFF" w:themeFill="accent2" w:themeFillTint="3F"/>
      </w:tcPr>
    </w:tblStylePr>
    <w:tblStylePr w:type="band2Horz">
      <w:tblPr/>
      <w:tcPr>
        <w:tcBorders>
          <w:insideH w:val="nil"/>
          <w:insideV w:val="nil"/>
        </w:tcBorders>
      </w:tcPr>
    </w:tblStylePr>
  </w:style>
  <w:style w:type="table" w:styleId="LightGridAccent2">
    <w:name w:val="Light Grid Accent 2"/>
    <w:basedOn w:val="TableNormal"/>
    <w:uiPriority w:val="62"/>
    <w:rsid w:val="00A42E4A"/>
    <w:tblPr>
      <w:tblStyleRowBandSize w:val="1"/>
      <w:tblStyleColBandSize w:val="1"/>
      <w:tblBorders>
        <w:top w:val="single" w:sz="8" w:space="0" w:color="2DB9FF" w:themeColor="accent2"/>
        <w:left w:val="single" w:sz="8" w:space="0" w:color="2DB9FF" w:themeColor="accent2"/>
        <w:bottom w:val="single" w:sz="8" w:space="0" w:color="2DB9FF" w:themeColor="accent2"/>
        <w:right w:val="single" w:sz="8" w:space="0" w:color="2DB9FF" w:themeColor="accent2"/>
        <w:insideH w:val="single" w:sz="8" w:space="0" w:color="2DB9FF" w:themeColor="accent2"/>
        <w:insideV w:val="single" w:sz="8" w:space="0" w:color="2DB9F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B9FF" w:themeColor="accent2"/>
          <w:left w:val="single" w:sz="8" w:space="0" w:color="2DB9FF" w:themeColor="accent2"/>
          <w:bottom w:val="single" w:sz="18" w:space="0" w:color="2DB9FF" w:themeColor="accent2"/>
          <w:right w:val="single" w:sz="8" w:space="0" w:color="2DB9FF" w:themeColor="accent2"/>
          <w:insideH w:val="nil"/>
          <w:insideV w:val="single" w:sz="8" w:space="0" w:color="2DB9F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B9FF" w:themeColor="accent2"/>
          <w:left w:val="single" w:sz="8" w:space="0" w:color="2DB9FF" w:themeColor="accent2"/>
          <w:bottom w:val="single" w:sz="8" w:space="0" w:color="2DB9FF" w:themeColor="accent2"/>
          <w:right w:val="single" w:sz="8" w:space="0" w:color="2DB9FF" w:themeColor="accent2"/>
          <w:insideH w:val="nil"/>
          <w:insideV w:val="single" w:sz="8" w:space="0" w:color="2DB9F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B9FF" w:themeColor="accent2"/>
          <w:left w:val="single" w:sz="8" w:space="0" w:color="2DB9FF" w:themeColor="accent2"/>
          <w:bottom w:val="single" w:sz="8" w:space="0" w:color="2DB9FF" w:themeColor="accent2"/>
          <w:right w:val="single" w:sz="8" w:space="0" w:color="2DB9FF" w:themeColor="accent2"/>
        </w:tcBorders>
      </w:tcPr>
    </w:tblStylePr>
    <w:tblStylePr w:type="band1Vert">
      <w:tblPr/>
      <w:tcPr>
        <w:tcBorders>
          <w:top w:val="single" w:sz="8" w:space="0" w:color="2DB9FF" w:themeColor="accent2"/>
          <w:left w:val="single" w:sz="8" w:space="0" w:color="2DB9FF" w:themeColor="accent2"/>
          <w:bottom w:val="single" w:sz="8" w:space="0" w:color="2DB9FF" w:themeColor="accent2"/>
          <w:right w:val="single" w:sz="8" w:space="0" w:color="2DB9FF" w:themeColor="accent2"/>
        </w:tcBorders>
        <w:shd w:val="clear" w:color="auto" w:fill="CBEDFF" w:themeFill="accent2" w:themeFillTint="3F"/>
      </w:tcPr>
    </w:tblStylePr>
    <w:tblStylePr w:type="band1Horz">
      <w:tblPr/>
      <w:tcPr>
        <w:tcBorders>
          <w:top w:val="single" w:sz="8" w:space="0" w:color="2DB9FF" w:themeColor="accent2"/>
          <w:left w:val="single" w:sz="8" w:space="0" w:color="2DB9FF" w:themeColor="accent2"/>
          <w:bottom w:val="single" w:sz="8" w:space="0" w:color="2DB9FF" w:themeColor="accent2"/>
          <w:right w:val="single" w:sz="8" w:space="0" w:color="2DB9FF" w:themeColor="accent2"/>
          <w:insideV w:val="single" w:sz="8" w:space="0" w:color="2DB9FF" w:themeColor="accent2"/>
        </w:tcBorders>
        <w:shd w:val="clear" w:color="auto" w:fill="CBEDFF" w:themeFill="accent2" w:themeFillTint="3F"/>
      </w:tcPr>
    </w:tblStylePr>
    <w:tblStylePr w:type="band2Horz">
      <w:tblPr/>
      <w:tcPr>
        <w:tcBorders>
          <w:top w:val="single" w:sz="8" w:space="0" w:color="2DB9FF" w:themeColor="accent2"/>
          <w:left w:val="single" w:sz="8" w:space="0" w:color="2DB9FF" w:themeColor="accent2"/>
          <w:bottom w:val="single" w:sz="8" w:space="0" w:color="2DB9FF" w:themeColor="accent2"/>
          <w:right w:val="single" w:sz="8" w:space="0" w:color="2DB9FF" w:themeColor="accent2"/>
          <w:insideV w:val="single" w:sz="8" w:space="0" w:color="2DB9FF" w:themeColor="accent2"/>
        </w:tcBorders>
      </w:tcPr>
    </w:tblStylePr>
  </w:style>
  <w:style w:type="paragraph" w:customStyle="1" w:styleId="text">
    <w:name w:val="text"/>
    <w:basedOn w:val="Normal"/>
    <w:rsid w:val="002D09D3"/>
    <w:pPr>
      <w:spacing w:before="100" w:beforeAutospacing="1" w:after="100" w:afterAutospacing="1" w:line="240" w:lineRule="auto"/>
      <w:jc w:val="left"/>
    </w:pPr>
    <w:rPr>
      <w:rFonts w:ascii="Times New Roman" w:hAnsi="Times New Roman" w:cs="Times New Roman"/>
      <w:sz w:val="24"/>
      <w:szCs w:val="24"/>
      <w:lang w:eastAsia="cs-CZ"/>
    </w:rPr>
  </w:style>
  <w:style w:type="paragraph" w:styleId="ListBullet">
    <w:name w:val="List Bullet"/>
    <w:basedOn w:val="Normal"/>
    <w:uiPriority w:val="99"/>
    <w:unhideWhenUsed/>
    <w:rsid w:val="00CD501B"/>
    <w:pPr>
      <w:numPr>
        <w:numId w:val="10"/>
      </w:numPr>
      <w:contextualSpacing/>
    </w:pPr>
  </w:style>
  <w:style w:type="character" w:customStyle="1" w:styleId="Nevyeenzmnka1">
    <w:name w:val="Nevyřešená zmínka1"/>
    <w:basedOn w:val="DefaultParagraphFont"/>
    <w:uiPriority w:val="99"/>
    <w:semiHidden/>
    <w:unhideWhenUsed/>
    <w:rsid w:val="005408C9"/>
    <w:rPr>
      <w:color w:val="605E5C"/>
      <w:shd w:val="clear" w:color="auto" w:fill="E1DFDD"/>
    </w:rPr>
  </w:style>
  <w:style w:type="table" w:customStyle="1" w:styleId="PlainTable1">
    <w:name w:val="Plain Table 1"/>
    <w:basedOn w:val="TableNormal"/>
    <w:uiPriority w:val="41"/>
    <w:rsid w:val="001430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kon">
    <w:name w:val="Zákon"/>
    <w:basedOn w:val="TableNormal"/>
    <w:uiPriority w:val="99"/>
    <w:rsid w:val="001D4949"/>
    <w:rPr>
      <w:rFonts w:ascii="Arial" w:hAnsi="Arial" w:eastAsiaTheme="minorHAnsi" w:cstheme="minorBidi"/>
      <w:sz w:val="18"/>
      <w:szCs w:val="22"/>
      <w:lang w:eastAsia="en-US"/>
    </w:rPr>
    <w:tblPr>
      <w:tblStyleRowBandSize w:val="1"/>
      <w:tblStyleColBandSize w:val="1"/>
      <w:tblBorders>
        <w:top w:val="single" w:sz="4" w:space="0" w:color="2896D3"/>
        <w:left w:val="single" w:sz="4" w:space="0" w:color="2896D3"/>
        <w:bottom w:val="single" w:sz="4" w:space="0" w:color="2896D3"/>
        <w:right w:val="single" w:sz="4" w:space="0" w:color="2896D3"/>
        <w:insideH w:val="single" w:sz="4" w:space="0" w:color="2896D3"/>
        <w:insideV w:val="single" w:sz="4" w:space="0" w:color="2896D3"/>
      </w:tblBorders>
    </w:tblPr>
    <w:tcPr>
      <w:shd w:val="clear" w:color="auto" w:fill="auto"/>
    </w:tcPr>
    <w:tblStylePr w:type="firstRow">
      <w:pPr>
        <w:wordWrap/>
        <w:spacing w:before="80" w:beforeLines="0" w:beforeAutospacing="0" w:after="80" w:afterLines="0" w:afterAutospacing="0" w:line="240" w:lineRule="auto"/>
        <w:ind w:firstLine="57" w:firstLineChars="0"/>
        <w:jc w:val="left"/>
      </w:pPr>
      <w:rPr>
        <w:rFonts w:ascii="Arial" w:hAnsi="Arial"/>
        <w:b/>
        <w:bCs/>
        <w:i w:val="0"/>
        <w:color w:val="FFFFFF" w:themeColor="background1"/>
        <w:sz w:val="18"/>
      </w:rPr>
      <w:tblPr/>
      <w:tcPr>
        <w:shd w:val="clear" w:color="auto" w:fill="51B7E9"/>
      </w:tcPr>
    </w:tblStylePr>
    <w:tblStylePr w:type="lastRow">
      <w:rPr>
        <w:rFonts w:ascii="Arial" w:hAnsi="Arial"/>
        <w:b w:val="0"/>
        <w:bCs/>
        <w:sz w:val="18"/>
      </w:rPr>
      <w:tblPr/>
      <w:tcPr>
        <w:tcBorders>
          <w:top w:val="double" w:sz="4" w:space="0" w:color="FFF13F" w:themeColor="accent3"/>
        </w:tcBorders>
        <w:shd w:val="clear" w:color="auto" w:fill="FFFFFF" w:themeFill="background1"/>
      </w:tcPr>
    </w:tblStylePr>
    <w:tblStylePr w:type="firstCol">
      <w:pPr>
        <w:wordWrap/>
        <w:ind w:firstLine="57" w:firstLineChars="0"/>
        <w:jc w:val="center"/>
      </w:pPr>
      <w:rPr>
        <w:rFonts w:ascii="Arial" w:hAnsi="Arial"/>
        <w:b/>
        <w:bCs/>
        <w:color w:val="auto"/>
        <w:sz w:val="18"/>
      </w:rPr>
      <w:tblPr/>
      <w:tcPr>
        <w:shd w:val="clear" w:color="auto" w:fill="C9F0FF"/>
      </w:tcPr>
    </w:tblStylePr>
    <w:tblStylePr w:type="lastCol">
      <w:rPr>
        <w:rFonts w:ascii="Arial" w:hAnsi="Arial"/>
        <w:b w:val="0"/>
        <w:bCs/>
        <w:sz w:val="18"/>
      </w:rPr>
      <w:tblPr/>
      <w:tcPr>
        <w:shd w:val="clear" w:color="auto" w:fill="FFFFFF" w:themeFill="background1"/>
      </w:tcPr>
    </w:tblStylePr>
    <w:tblStylePr w:type="band1Vert">
      <w:rPr>
        <w:rFonts w:ascii="Arial" w:hAnsi="Arial"/>
        <w:sz w:val="18"/>
      </w:rPr>
      <w:tblPr/>
      <w:tcPr>
        <w:shd w:val="clear" w:color="auto" w:fill="FFFFFF" w:themeFill="background1"/>
      </w:tcPr>
    </w:tblStylePr>
    <w:tblStylePr w:type="band2Vert">
      <w:rPr>
        <w:rFonts w:ascii="Arial" w:hAnsi="Arial"/>
        <w:sz w:val="18"/>
      </w:rPr>
      <w:tblPr/>
      <w:tcPr>
        <w:shd w:val="clear" w:color="auto" w:fill="FFFFFF" w:themeFill="background1"/>
      </w:tcPr>
    </w:tblStylePr>
    <w:tblStylePr w:type="band1Horz">
      <w:pPr>
        <w:wordWrap/>
        <w:spacing w:before="0" w:beforeLines="0" w:beforeAutospacing="0"/>
      </w:pPr>
      <w:rPr>
        <w:rFonts w:ascii="Arial" w:hAnsi="Arial"/>
        <w:sz w:val="18"/>
      </w:rPr>
      <w:tblPr/>
      <w:tcPr>
        <w:shd w:val="clear" w:color="auto" w:fill="FFFFFF" w:themeFill="background1"/>
      </w:tcPr>
    </w:tblStylePr>
    <w:tblStylePr w:type="band2Horz">
      <w:pPr>
        <w:wordWrap/>
        <w:spacing w:before="0" w:beforeLines="0" w:beforeAutospacing="0"/>
      </w:pPr>
      <w:rPr>
        <w:rFonts w:ascii="Arial" w:hAnsi="Arial"/>
        <w:sz w:val="18"/>
      </w:rPr>
      <w:tblPr/>
      <w:tcPr>
        <w:shd w:val="clear" w:color="auto" w:fill="FFFFFF" w:themeFill="background1"/>
      </w:tcPr>
    </w:tblStylePr>
    <w:tblStylePr w:type="neCell">
      <w:rPr>
        <w:rFonts w:ascii="Arial" w:hAnsi="Arial"/>
        <w:sz w:val="18"/>
      </w:rPr>
    </w:tblStylePr>
    <w:tblStylePr w:type="nwCell">
      <w:rPr>
        <w:rFonts w:ascii="Arial" w:hAnsi="Arial"/>
        <w:sz w:val="18"/>
      </w:rPr>
    </w:tblStylePr>
    <w:tblStylePr w:type="seCell">
      <w:rPr>
        <w:rFonts w:ascii="Arial" w:hAnsi="Arial"/>
        <w:sz w:val="18"/>
      </w:rPr>
    </w:tblStylePr>
    <w:tblStylePr w:type="swCell">
      <w:rPr>
        <w:rFonts w:ascii="Arial" w:hAnsi="Arial"/>
        <w:sz w:val="18"/>
      </w:rPr>
    </w:tblStylePr>
  </w:style>
  <w:style w:type="numbering" w:customStyle="1" w:styleId="Tabulkaustanoven">
    <w:name w:val="Tabulka ustanovení"/>
    <w:uiPriority w:val="99"/>
    <w:rsid w:val="001D4949"/>
    <w:pPr>
      <w:numPr>
        <w:numId w:val="11"/>
      </w:numPr>
    </w:pPr>
  </w:style>
  <w:style w:type="table" w:customStyle="1" w:styleId="Styl2">
    <w:name w:val="Styl2"/>
    <w:basedOn w:val="TableNormal"/>
    <w:uiPriority w:val="99"/>
    <w:rsid w:val="00E459FF"/>
    <w:rPr>
      <w:rFonts w:eastAsiaTheme="minorHAnsi"/>
      <w:lang w:eastAsia="en-US"/>
    </w:rPr>
    <w:tblPr>
      <w:jc w:val="center"/>
      <w:tblBorders>
        <w:insideH w:val="single" w:sz="6" w:space="0" w:color="auto"/>
        <w:insideV w:val="single" w:sz="6" w:space="0" w:color="auto"/>
      </w:tblBorders>
    </w:tblPr>
    <w:tblPrEx>
      <w:jc w:val="center"/>
    </w:tblPrEx>
    <w:trPr>
      <w:jc w:val="center"/>
    </w:trPr>
    <w:tcPr>
      <w:vAlign w:val="center"/>
    </w:tcPr>
    <w:tblStylePr w:type="firstRow">
      <w:tblPr/>
      <w:tcPr>
        <w:tcBorders>
          <w:bottom w:val="single" w:sz="12" w:space="0" w:color="auto"/>
        </w:tcBorders>
      </w:tcPr>
    </w:tblStylePr>
  </w:style>
  <w:style w:type="table" w:customStyle="1" w:styleId="GridTable7Colorful">
    <w:name w:val="Grid Table 7 Colorful"/>
    <w:basedOn w:val="TableNormal"/>
    <w:uiPriority w:val="52"/>
    <w:rsid w:val="00E459F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PlaceholderText">
    <w:name w:val="Placeholder Text"/>
    <w:basedOn w:val="DefaultParagraphFont"/>
    <w:uiPriority w:val="99"/>
    <w:semiHidden/>
    <w:rsid w:val="00B17663"/>
    <w:rPr>
      <w:color w:val="808080"/>
    </w:rPr>
  </w:style>
  <w:style w:type="table" w:customStyle="1" w:styleId="PlainTable2">
    <w:name w:val="Plain Table 2"/>
    <w:basedOn w:val="TableNormal"/>
    <w:uiPriority w:val="42"/>
    <w:rsid w:val="00C869E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C869E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basedOn w:val="DefaultParagraphFont"/>
    <w:uiPriority w:val="99"/>
    <w:semiHidden/>
    <w:unhideWhenUsed/>
    <w:rsid w:val="001B7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settings" Target="settings.xml" /><Relationship Id="rId20" Type="http://schemas.openxmlformats.org/officeDocument/2006/relationships/header" Target="header11.xml" /><Relationship Id="rId21" Type="http://schemas.openxmlformats.org/officeDocument/2006/relationships/header" Target="header12.xml" /><Relationship Id="rId22" Type="http://schemas.openxmlformats.org/officeDocument/2006/relationships/header" Target="header1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footer" Target="footer1.xml" /><Relationship Id="rId9" Type="http://schemas.openxmlformats.org/officeDocument/2006/relationships/header" Target="header1.xml" /></Relationships>
</file>

<file path=word/_rels/numbering.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Motiv systému Office">
  <a:themeElements>
    <a:clrScheme name="Motiv4703">
      <a:dk1>
        <a:srgbClr val="000000"/>
      </a:dk1>
      <a:lt1>
        <a:srgbClr val="FFFFFF"/>
      </a:lt1>
      <a:dk2>
        <a:srgbClr val="595959"/>
      </a:dk2>
      <a:lt2>
        <a:srgbClr val="F2F2F2"/>
      </a:lt2>
      <a:accent1>
        <a:srgbClr val="093D93"/>
      </a:accent1>
      <a:accent2>
        <a:srgbClr val="2DB9FF"/>
      </a:accent2>
      <a:accent3>
        <a:srgbClr val="FFF13F"/>
      </a:accent3>
      <a:accent4>
        <a:srgbClr val="FE8F3C"/>
      </a:accent4>
      <a:accent5>
        <a:srgbClr val="C00000"/>
      </a:accent5>
      <a:accent6>
        <a:srgbClr val="437326"/>
      </a:accent6>
      <a:hlink>
        <a:srgbClr val="009DEA"/>
      </a:hlink>
      <a:folHlink>
        <a:srgbClr val="A5A5A5"/>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512DA-8B31-4354-8B55-1D4ED87B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120</TotalTime>
  <Pages>29</Pages>
  <Words>6208</Words>
  <Characters>36633</Characters>
  <Application>Microsoft Office Word</Application>
  <DocSecurity>0</DocSecurity>
  <Lines>305</Lines>
  <Paragraphs>85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135</cp:revision>
  <dcterms:created xsi:type="dcterms:W3CDTF">2026-01-08T15:13:00Z</dcterms:created>
</cp:coreProperties>
</file>