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E76BE7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E76BE7" w:rsidR="00E76BE7">
              <w:rPr>
                <w:rFonts w:ascii="Arial" w:hAnsi="Arial" w:cs="Arial"/>
                <w:b/>
                <w:szCs w:val="20"/>
              </w:rPr>
              <w:t>FM 942, projektový manažer/projektová manažerka v oddělení Informační systémy, v odboru Řízení rozvoje ICT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E76BE7">
            <w:pPr>
              <w:jc w:val="both"/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E76BE7" w:rsidR="00E76BE7">
              <w:rPr>
                <w:rFonts w:ascii="Arial" w:hAnsi="Arial" w:cs="Arial"/>
                <w:b/>
                <w:szCs w:val="20"/>
              </w:rPr>
              <w:t>FM 942, projektový manažer/projektová manažerka v oddělení Informační systémy, v odboru Řízení rozvoje ICT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E76BE7">
        <w:rPr>
          <w:rFonts w:ascii="Times New Roman" w:hAnsi="Times New Roman" w:cs="Times New Roman"/>
        </w:rPr>
        <w:t>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</w:t>
      </w:r>
      <w:r w:rsidR="00E76BE7">
        <w:rPr>
          <w:rFonts w:ascii="Times New Roman" w:hAnsi="Times New Roman" w:cs="Times New Roman"/>
        </w:rPr>
        <w:br/>
      </w:r>
      <w:r w:rsidRPr="002B1C29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9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2"/>
      </w:tblGrid>
      <w:tr w:rsidTr="00E76BE7">
        <w:tblPrEx>
          <w:tblW w:w="9202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531"/>
        </w:trPr>
        <w:tc>
          <w:tcPr>
            <w:tcW w:w="9202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00889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6BE7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E76BE7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E76BE7">
              <w:rPr>
                <w:rFonts w:ascii="Arial" w:hAnsi="Arial" w:cs="Arial"/>
                <w:bCs/>
                <w:sz w:val="20"/>
                <w:szCs w:val="20"/>
              </w:rPr>
              <w:t xml:space="preserve">prostá kopie nebo úředně ověřená kopie listin dokazující způsobilost seznamovat se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bookmarkStart w:id="0" w:name="_GoBack"/>
            <w:bookmarkEnd w:id="0"/>
            <w:r w:rsidRPr="00E76BE7">
              <w:rPr>
                <w:rFonts w:ascii="Arial" w:hAnsi="Arial" w:cs="Arial"/>
                <w:bCs/>
                <w:sz w:val="20"/>
                <w:szCs w:val="20"/>
              </w:rPr>
              <w:t xml:space="preserve">s utajovanými </w:t>
            </w:r>
            <w:r w:rsidRPr="00E76BE7" w:rsidR="00E76BE7">
              <w:rPr>
                <w:rFonts w:ascii="Arial" w:hAnsi="Arial" w:cs="Arial"/>
                <w:bCs/>
                <w:sz w:val="20"/>
                <w:szCs w:val="20"/>
              </w:rPr>
              <w:t>informacemi ve stupni Vyhrazené</w:t>
            </w:r>
            <w:r w:rsidR="00E76BE7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6BE7">
        <w:tblPrEx>
          <w:tblW w:w="9199" w:type="dxa"/>
          <w:tblLook w:val="04A0"/>
        </w:tblPrEx>
        <w:trPr>
          <w:trHeight w:val="112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0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6BE7">
        <w:tblPrEx>
          <w:tblW w:w="9301" w:type="dxa"/>
          <w:tblLook w:val="04A0"/>
        </w:tblPrEx>
        <w:trPr>
          <w:trHeight w:val="1219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2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E76B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E76BE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č. 500/2004 Sb., správní řád, ve znění pozdějších předpisů, a z § 25 a 26 zákona č. 234/2014 Sb., </w:t>
            </w:r>
            <w:r w:rsidR="00E76BE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o státní službě, ve znění pozdějších předpisů. Následkem neposkytnutí požadovaných údajů je vyřazení žádosti z výběrového řízení podle § 27 odst. 2 zákona č. 234/2014 Sb., o státní službě, </w:t>
            </w:r>
            <w:r w:rsidR="00E76BE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ve znění pozdějších předpisů. Poskytnuté osobní údaje zpracovávají jen pověřené úřední osoby </w:t>
            </w:r>
            <w:r w:rsidR="00E76BE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</w:t>
            </w:r>
            <w:r w:rsidR="00E76BE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</w:t>
            </w:r>
            <w:r w:rsidR="00E76BE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>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0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1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2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215ED-DF4D-4F49-B6B0-743619441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Pages>3</Pages>
  <Words>609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