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211961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EC546F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EC546F" w:rsidR="00EC546F">
              <w:rPr>
                <w:rFonts w:ascii="Arial" w:hAnsi="Arial" w:cs="Arial"/>
                <w:b/>
                <w:szCs w:val="20"/>
              </w:rPr>
              <w:t>FM 125, vedoucí oddělení Vzdělávání, v odboru Personální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DE3A4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</w:t>
            </w:r>
            <w:r w:rsidRPr="00EC546F">
              <w:rPr>
                <w:rFonts w:ascii="Arial" w:hAnsi="Arial" w:cs="Arial"/>
                <w:b/>
                <w:szCs w:val="20"/>
              </w:rPr>
              <w:t xml:space="preserve">na služební místo </w:t>
            </w:r>
            <w:r w:rsidRPr="00EC546F" w:rsidR="00EC546F">
              <w:rPr>
                <w:rFonts w:ascii="Arial" w:hAnsi="Arial" w:cs="Arial"/>
                <w:b/>
                <w:szCs w:val="20"/>
              </w:rPr>
              <w:t xml:space="preserve">FM 125, vedoucí oddělení Vzdělávání, </w:t>
            </w:r>
            <w:r w:rsidRPr="00EC546F" w:rsidR="00EC546F">
              <w:rPr>
                <w:rFonts w:ascii="Arial" w:hAnsi="Arial" w:cs="Arial"/>
                <w:b/>
                <w:szCs w:val="20"/>
              </w:rPr>
              <w:br/>
            </w:r>
            <w:r w:rsidRPr="00EC546F" w:rsidR="00EC546F">
              <w:rPr>
                <w:rFonts w:ascii="Arial" w:hAnsi="Arial" w:cs="Arial"/>
                <w:b/>
                <w:szCs w:val="20"/>
              </w:rPr>
              <w:t>v odboru Personální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2A3342">
        <w:rPr>
          <w:rFonts w:ascii="Times New Roman" w:hAnsi="Times New Roman" w:cs="Times New Roman"/>
        </w:rPr>
        <w:t xml:space="preserve">vysokoškolského magisterského vzdělání </w:t>
      </w:r>
      <w:r w:rsidRPr="002B1C29">
        <w:rPr>
          <w:rFonts w:ascii="Times New Roman" w:hAnsi="Times New Roman" w:cs="Times New Roman"/>
        </w:rPr>
        <w:t xml:space="preserve">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2A33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2A3342">
        <w:rPr>
          <w:rFonts w:ascii="Times New Roman" w:hAnsi="Times New Roman" w:cs="Times New Roman"/>
        </w:rPr>
        <w:t>praxe</w:t>
      </w:r>
      <w:r w:rsidRPr="002A3342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státní službě, nebo činnosti obdobné (VO)</w:t>
      </w:r>
      <w:r w:rsidRPr="002A3342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D85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</w:t>
            </w:r>
            <w:r w:rsidRPr="002A3342">
              <w:rPr>
                <w:rFonts w:ascii="Arial" w:hAnsi="Arial" w:cs="Arial"/>
                <w:bCs/>
                <w:sz w:val="20"/>
                <w:szCs w:val="20"/>
              </w:rPr>
              <w:t>směřování oddělení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3342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3342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3342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4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