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AE5310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Pr="00AE5310">
              <w:rPr>
                <w:rFonts w:ascii="Arial" w:hAnsi="Arial" w:cs="Arial"/>
                <w:b/>
                <w:szCs w:val="20"/>
              </w:rPr>
              <w:t>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AE5310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AE5310" w:rsidR="00AE5310">
              <w:rPr>
                <w:rFonts w:ascii="Arial" w:hAnsi="Arial" w:cs="Arial"/>
                <w:b/>
                <w:szCs w:val="20"/>
              </w:rPr>
              <w:t xml:space="preserve">FM 1752, právník/právnička – daňový legislativec v odd. Legislativa nepřímých daní, </w:t>
            </w:r>
            <w:r w:rsidRPr="00AE5310" w:rsidR="00AE5310">
              <w:rPr>
                <w:rFonts w:ascii="Arial" w:hAnsi="Arial" w:cs="Arial"/>
                <w:b/>
                <w:szCs w:val="20"/>
              </w:rPr>
              <w:br/>
              <w:t>v odboru Daňový legislativa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AE5310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AE5310" w:rsidR="00AE5310">
              <w:rPr>
                <w:rFonts w:ascii="Arial" w:hAnsi="Arial" w:cs="Arial"/>
                <w:b/>
                <w:szCs w:val="20"/>
              </w:rPr>
              <w:t>FM 1752, právník/právnička – daňový legislativec v odd. Legislativa nepřímých daní, v odboru Daňový legislativa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AE5310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E34C77">
        <w:rPr>
          <w:rFonts w:ascii="Times New Roman" w:hAnsi="Times New Roman" w:cs="Times New Roman"/>
        </w:rPr>
        <w:t>Právo, právní a veřejnosprávní činnost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9C473A" w:rsidP="009C473A"/>
    <w:p w:rsidR="00AE5310" w:rsidP="009C473A"/>
    <w:p w:rsidR="00AE5310" w:rsidP="009C473A"/>
    <w:p w:rsidR="00AE5310" w:rsidP="009C473A"/>
    <w:p w:rsidR="00AE5310" w:rsidP="009C473A"/>
    <w:p w:rsidR="00AE5310" w:rsidRPr="009C473A" w:rsidP="009C473A"/>
    <w:p w:rsidR="00464FA8" w:rsidP="00464FA8"/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