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9.0.0 -->
  <w:body>
    <w:p w:rsidR="00C45D9C" w:rsidP="000F3B09">
      <w:pPr>
        <w:pStyle w:val="Header"/>
        <w:spacing w:after="60"/>
        <w:jc w:val="right"/>
      </w:pPr>
      <w:r w:rsidRPr="00FB23DF">
        <w:t>Číslo v CES</w:t>
      </w:r>
      <w:r w:rsidRPr="00C45D9C">
        <w:t xml:space="preserve">: </w:t>
      </w:r>
      <w:r w:rsidR="00754174">
        <w:rPr>
          <w:rFonts w:cs="Arial"/>
        </w:rPr>
        <w:t>[</w:t>
      </w:r>
      <w:r w:rsidRPr="00754174" w:rsidR="00754174">
        <w:rPr>
          <w:highlight w:val="green"/>
        </w:rPr>
        <w:t xml:space="preserve">doplní </w:t>
      </w:r>
      <w:r w:rsidR="00AD1AC4">
        <w:rPr>
          <w:highlight w:val="green"/>
        </w:rPr>
        <w:t>Pronajímatel</w:t>
      </w:r>
      <w:r w:rsidRPr="00754174" w:rsidR="00754174">
        <w:rPr>
          <w:highlight w:val="green"/>
        </w:rPr>
        <w:t xml:space="preserve"> před podpisem Smlouvy</w:t>
      </w:r>
      <w:r w:rsidR="00754174">
        <w:rPr>
          <w:rFonts w:cs="Arial"/>
        </w:rPr>
        <w:t>]</w:t>
      </w:r>
    </w:p>
    <w:p w:rsidR="00080C92" w:rsidP="000F3B09">
      <w:pPr>
        <w:pStyle w:val="Header"/>
        <w:spacing w:after="60"/>
        <w:jc w:val="right"/>
        <w:rPr>
          <w:rFonts w:cs="Arial"/>
        </w:rPr>
      </w:pPr>
      <w:r>
        <w:t xml:space="preserve">Č. j.: </w:t>
      </w:r>
      <w:r w:rsidR="00754174">
        <w:rPr>
          <w:rFonts w:cs="Arial"/>
        </w:rPr>
        <w:t>[</w:t>
      </w:r>
      <w:r w:rsidRPr="00754174" w:rsidR="00754174">
        <w:rPr>
          <w:highlight w:val="green"/>
        </w:rPr>
        <w:t xml:space="preserve">doplní </w:t>
      </w:r>
      <w:r w:rsidR="00AD1AC4">
        <w:rPr>
          <w:highlight w:val="green"/>
        </w:rPr>
        <w:t>Pronajímatel</w:t>
      </w:r>
      <w:r w:rsidRPr="00754174" w:rsidR="00754174">
        <w:rPr>
          <w:highlight w:val="green"/>
        </w:rPr>
        <w:t xml:space="preserve"> před podpisem Smlouvy</w:t>
      </w:r>
      <w:r w:rsidR="00754174">
        <w:rPr>
          <w:rFonts w:cs="Arial"/>
        </w:rPr>
        <w:t>]</w:t>
      </w:r>
    </w:p>
    <w:p w:rsidR="000F3B09" w:rsidP="00BD2DCE">
      <w:pPr>
        <w:pStyle w:val="Header"/>
        <w:spacing w:after="0"/>
        <w:jc w:val="right"/>
      </w:pPr>
      <w:r>
        <w:rPr>
          <w:rFonts w:cs="Arial"/>
        </w:rPr>
        <w:t>PID: [</w:t>
      </w:r>
      <w:r w:rsidRPr="00754174">
        <w:rPr>
          <w:highlight w:val="green"/>
        </w:rPr>
        <w:t xml:space="preserve">doplní </w:t>
      </w:r>
      <w:r w:rsidR="00AD1AC4">
        <w:rPr>
          <w:highlight w:val="green"/>
        </w:rPr>
        <w:t>Pronajímatel</w:t>
      </w:r>
      <w:r w:rsidRPr="00754174">
        <w:rPr>
          <w:highlight w:val="green"/>
        </w:rPr>
        <w:t xml:space="preserve"> před podpisem Smlouvy</w:t>
      </w:r>
      <w:r>
        <w:rPr>
          <w:rFonts w:cs="Arial"/>
        </w:rPr>
        <w:t>]</w:t>
      </w:r>
    </w:p>
    <w:p w:rsidR="00CC7293" w:rsidP="00C45D9C">
      <w:pPr>
        <w:pStyle w:val="Header"/>
        <w:jc w:val="right"/>
      </w:pPr>
    </w:p>
    <w:p w:rsidR="00C45D9C" w:rsidP="00BD2DCE">
      <w:pPr>
        <w:pStyle w:val="Header"/>
        <w:spacing w:after="0"/>
        <w:jc w:val="right"/>
      </w:pPr>
    </w:p>
    <w:p w:rsidR="00C45D9C" w:rsidRPr="00C45D9C" w:rsidP="00C45D9C">
      <w:pPr>
        <w:pStyle w:val="Header"/>
        <w:jc w:val="center"/>
        <w:rPr>
          <w:b/>
          <w:sz w:val="48"/>
          <w:szCs w:val="48"/>
        </w:rPr>
      </w:pPr>
      <w:r w:rsidRPr="00C45D9C">
        <w:rPr>
          <w:b/>
          <w:sz w:val="48"/>
          <w:szCs w:val="48"/>
        </w:rPr>
        <w:t xml:space="preserve">SMLOUVA O </w:t>
      </w:r>
      <w:r w:rsidR="00AD1AC4">
        <w:rPr>
          <w:b/>
          <w:sz w:val="48"/>
          <w:szCs w:val="48"/>
        </w:rPr>
        <w:t>NÁJMU PROSTOR SLOUŽÍCÍCH K PODNIKÁNÍ</w:t>
      </w:r>
    </w:p>
    <w:p w:rsidR="00C45D9C" w:rsidP="00C45D9C">
      <w:pPr>
        <w:pStyle w:val="Header"/>
        <w:jc w:val="center"/>
      </w:pPr>
      <w:r w:rsidRPr="00C45D9C">
        <w:t>uzavřená mezi</w:t>
      </w:r>
    </w:p>
    <w:p w:rsidR="00C45D9C" w:rsidP="00BD2DCE">
      <w:pPr>
        <w:pStyle w:val="Header"/>
        <w:spacing w:after="0"/>
        <w:jc w:val="center"/>
      </w:pPr>
    </w:p>
    <w:p w:rsidR="00C45D9C" w:rsidP="00F51B34">
      <w:pPr>
        <w:pStyle w:val="Header"/>
        <w:spacing w:after="0"/>
        <w:jc w:val="center"/>
      </w:pPr>
    </w:p>
    <w:p w:rsidR="00C45D9C" w:rsidRPr="00E352F7" w:rsidP="00C45D9C">
      <w:pPr>
        <w:pStyle w:val="ListParagraph"/>
        <w:numPr>
          <w:ilvl w:val="0"/>
          <w:numId w:val="3"/>
        </w:numPr>
        <w:ind w:left="567" w:hanging="567"/>
        <w:rPr>
          <w:b/>
          <w:snapToGrid w:val="0"/>
        </w:rPr>
      </w:pPr>
      <w:r w:rsidRPr="00E352F7">
        <w:rPr>
          <w:b/>
          <w:snapToGrid w:val="0"/>
        </w:rPr>
        <w:t xml:space="preserve">Česká republika </w:t>
      </w:r>
      <w:r w:rsidR="00B81779">
        <w:rPr>
          <w:b/>
          <w:snapToGrid w:val="0"/>
        </w:rPr>
        <w:t>–</w:t>
      </w:r>
      <w:r w:rsidRPr="00E352F7">
        <w:rPr>
          <w:b/>
          <w:snapToGrid w:val="0"/>
        </w:rPr>
        <w:t xml:space="preserve"> Ministerstvo financí </w:t>
      </w:r>
    </w:p>
    <w:p w:rsidR="00C45D9C" w:rsidRPr="007E62B8" w:rsidP="00C45D9C">
      <w:pPr>
        <w:ind w:firstLine="567"/>
        <w:rPr>
          <w:snapToGrid w:val="0"/>
        </w:rPr>
      </w:pPr>
      <w:r>
        <w:rPr>
          <w:snapToGrid w:val="0"/>
        </w:rPr>
        <w:t>se sídlem</w:t>
      </w:r>
      <w:r w:rsidRPr="007E62B8">
        <w:rPr>
          <w:snapToGrid w:val="0"/>
        </w:rPr>
        <w:t xml:space="preserve">: </w:t>
      </w:r>
      <w:r w:rsidRPr="007E62B8" w:rsidR="0079580B">
        <w:rPr>
          <w:snapToGrid w:val="0"/>
        </w:rPr>
        <w:t xml:space="preserve">Letenská </w:t>
      </w:r>
      <w:r w:rsidR="0079580B">
        <w:rPr>
          <w:snapToGrid w:val="0"/>
        </w:rPr>
        <w:t>525/</w:t>
      </w:r>
      <w:r w:rsidRPr="007E62B8" w:rsidR="0079580B">
        <w:rPr>
          <w:snapToGrid w:val="0"/>
        </w:rPr>
        <w:t xml:space="preserve">15, </w:t>
      </w:r>
      <w:r w:rsidR="0079580B">
        <w:rPr>
          <w:snapToGrid w:val="0"/>
        </w:rPr>
        <w:t xml:space="preserve">118 10 </w:t>
      </w:r>
      <w:r w:rsidRPr="007E62B8" w:rsidR="0079580B">
        <w:t>Praha 1</w:t>
      </w:r>
      <w:r w:rsidR="0079580B">
        <w:t xml:space="preserve"> – Malá Strana</w:t>
      </w:r>
    </w:p>
    <w:p w:rsidR="00C45D9C" w:rsidP="00C45D9C">
      <w:pPr>
        <w:ind w:firstLine="567"/>
        <w:rPr>
          <w:snapToGrid w:val="0"/>
        </w:rPr>
      </w:pPr>
      <w:r>
        <w:rPr>
          <w:snapToGrid w:val="0"/>
        </w:rPr>
        <w:t>za ni</w:t>
      </w:r>
      <w:r w:rsidR="00BE12CA">
        <w:rPr>
          <w:snapToGrid w:val="0"/>
        </w:rPr>
        <w:t>ž jedná</w:t>
      </w:r>
      <w:r>
        <w:rPr>
          <w:snapToGrid w:val="0"/>
        </w:rPr>
        <w:t xml:space="preserve">: </w:t>
      </w:r>
      <w:r w:rsidRPr="007E62B8">
        <w:rPr>
          <w:snapToGrid w:val="0"/>
        </w:rPr>
        <w:t>Michal Kříž</w:t>
      </w:r>
      <w:r>
        <w:rPr>
          <w:snapToGrid w:val="0"/>
        </w:rPr>
        <w:t xml:space="preserve">, </w:t>
      </w:r>
      <w:r w:rsidRPr="00135F1A" w:rsidR="00135F1A">
        <w:rPr>
          <w:snapToGrid w:val="0"/>
        </w:rPr>
        <w:t>ředitel odboru 13 – Hospodářská správa</w:t>
      </w:r>
    </w:p>
    <w:p w:rsidR="00C45D9C" w:rsidRPr="007E62B8" w:rsidP="00C45D9C">
      <w:pPr>
        <w:ind w:firstLine="567"/>
        <w:rPr>
          <w:snapToGrid w:val="0"/>
        </w:rPr>
      </w:pPr>
      <w:r w:rsidRPr="007E62B8">
        <w:rPr>
          <w:snapToGrid w:val="0"/>
        </w:rPr>
        <w:t>IČ</w:t>
      </w:r>
      <w:r w:rsidR="00810DA4">
        <w:rPr>
          <w:snapToGrid w:val="0"/>
        </w:rPr>
        <w:t>O</w:t>
      </w:r>
      <w:r w:rsidRPr="007E62B8">
        <w:rPr>
          <w:snapToGrid w:val="0"/>
        </w:rPr>
        <w:t>: 000</w:t>
      </w:r>
      <w:r>
        <w:rPr>
          <w:snapToGrid w:val="0"/>
        </w:rPr>
        <w:t xml:space="preserve"> </w:t>
      </w:r>
      <w:r w:rsidRPr="007E62B8">
        <w:rPr>
          <w:snapToGrid w:val="0"/>
        </w:rPr>
        <w:t>06</w:t>
      </w:r>
      <w:r>
        <w:rPr>
          <w:snapToGrid w:val="0"/>
        </w:rPr>
        <w:t xml:space="preserve"> </w:t>
      </w:r>
      <w:r w:rsidRPr="007E62B8">
        <w:rPr>
          <w:snapToGrid w:val="0"/>
        </w:rPr>
        <w:t>947</w:t>
      </w:r>
    </w:p>
    <w:p w:rsidR="00C45D9C" w:rsidRPr="007E62B8" w:rsidP="00C45D9C">
      <w:pPr>
        <w:ind w:firstLine="567"/>
        <w:rPr>
          <w:snapToGrid w:val="0"/>
        </w:rPr>
      </w:pPr>
      <w:r w:rsidRPr="007E62B8">
        <w:rPr>
          <w:snapToGrid w:val="0"/>
        </w:rPr>
        <w:t>DIČ: CZ00006947</w:t>
      </w:r>
    </w:p>
    <w:p w:rsidR="00A80935" w:rsidP="00C45D9C">
      <w:pPr>
        <w:ind w:firstLine="567"/>
        <w:rPr>
          <w:snapToGrid w:val="0"/>
        </w:rPr>
      </w:pPr>
      <w:r>
        <w:rPr>
          <w:snapToGrid w:val="0"/>
        </w:rPr>
        <w:t>b</w:t>
      </w:r>
      <w:r w:rsidRPr="007E62B8">
        <w:rPr>
          <w:snapToGrid w:val="0"/>
        </w:rPr>
        <w:t>ankovní spojení: ČNB Praha 1</w:t>
      </w:r>
    </w:p>
    <w:p w:rsidR="00C45D9C" w:rsidP="00C45D9C">
      <w:pPr>
        <w:ind w:firstLine="567"/>
        <w:rPr>
          <w:snapToGrid w:val="0"/>
        </w:rPr>
      </w:pPr>
      <w:r w:rsidRPr="007E62B8">
        <w:rPr>
          <w:snapToGrid w:val="0"/>
        </w:rPr>
        <w:t>č</w:t>
      </w:r>
      <w:r>
        <w:rPr>
          <w:snapToGrid w:val="0"/>
        </w:rPr>
        <w:t>íslo</w:t>
      </w:r>
      <w:r w:rsidRPr="007E62B8">
        <w:rPr>
          <w:snapToGrid w:val="0"/>
        </w:rPr>
        <w:t xml:space="preserve"> ú</w:t>
      </w:r>
      <w:r>
        <w:rPr>
          <w:snapToGrid w:val="0"/>
        </w:rPr>
        <w:t>čtu</w:t>
      </w:r>
      <w:r w:rsidR="00A80935">
        <w:rPr>
          <w:snapToGrid w:val="0"/>
        </w:rPr>
        <w:t xml:space="preserve"> pro platby Nájemného a Movitého vybavení</w:t>
      </w:r>
      <w:r>
        <w:rPr>
          <w:snapToGrid w:val="0"/>
        </w:rPr>
        <w:t>:</w:t>
      </w:r>
      <w:r w:rsidRPr="007E62B8">
        <w:rPr>
          <w:snapToGrid w:val="0"/>
        </w:rPr>
        <w:t xml:space="preserve"> </w:t>
      </w:r>
      <w:r w:rsidR="00A80935">
        <w:rPr>
          <w:snapToGrid w:val="0"/>
        </w:rPr>
        <w:t>19-</w:t>
      </w:r>
      <w:r w:rsidRPr="007E62B8">
        <w:rPr>
          <w:snapToGrid w:val="0"/>
        </w:rPr>
        <w:t>3328001/0710</w:t>
      </w:r>
    </w:p>
    <w:p w:rsidR="00A80935" w:rsidP="00C45D9C">
      <w:pPr>
        <w:ind w:firstLine="567"/>
        <w:rPr>
          <w:snapToGrid w:val="0"/>
        </w:rPr>
      </w:pPr>
      <w:r>
        <w:rPr>
          <w:snapToGrid w:val="0"/>
        </w:rPr>
        <w:t xml:space="preserve">číslo účtu pro platby Služeb: </w:t>
      </w:r>
      <w:r w:rsidRPr="007E62B8">
        <w:rPr>
          <w:snapToGrid w:val="0"/>
        </w:rPr>
        <w:t>3328001/0710</w:t>
      </w:r>
    </w:p>
    <w:p w:rsidR="00C45D9C" w:rsidRPr="007E62B8" w:rsidP="00C45D9C">
      <w:pPr>
        <w:ind w:firstLine="567"/>
        <w:rPr>
          <w:snapToGrid w:val="0"/>
        </w:rPr>
      </w:pPr>
      <w:r>
        <w:rPr>
          <w:snapToGrid w:val="0"/>
        </w:rPr>
        <w:t xml:space="preserve">na straně jedné </w:t>
      </w:r>
      <w:r w:rsidRPr="007E62B8">
        <w:rPr>
          <w:snapToGrid w:val="0"/>
        </w:rPr>
        <w:t>(dále jen „</w:t>
      </w:r>
      <w:r w:rsidR="00AD1AC4">
        <w:rPr>
          <w:b/>
          <w:snapToGrid w:val="0"/>
        </w:rPr>
        <w:t>Pronajímatel</w:t>
      </w:r>
      <w:r w:rsidRPr="007E62B8">
        <w:rPr>
          <w:snapToGrid w:val="0"/>
        </w:rPr>
        <w:t>“)</w:t>
      </w:r>
    </w:p>
    <w:p w:rsidR="00C45D9C" w:rsidRPr="007E62B8" w:rsidP="00C45D9C">
      <w:pPr>
        <w:spacing w:after="60"/>
        <w:rPr>
          <w:snapToGrid w:val="0"/>
        </w:rPr>
      </w:pPr>
    </w:p>
    <w:p w:rsidR="00C45D9C" w:rsidRPr="007E62B8" w:rsidP="00C45D9C">
      <w:pPr>
        <w:spacing w:after="60"/>
        <w:ind w:firstLine="567"/>
        <w:rPr>
          <w:snapToGrid w:val="0"/>
        </w:rPr>
      </w:pPr>
      <w:r w:rsidRPr="007E62B8">
        <w:rPr>
          <w:snapToGrid w:val="0"/>
        </w:rPr>
        <w:t>a</w:t>
      </w:r>
    </w:p>
    <w:p w:rsidR="00C45D9C" w:rsidRPr="007E62B8" w:rsidP="00C45D9C">
      <w:pPr>
        <w:spacing w:after="60"/>
        <w:rPr>
          <w:snapToGrid w:val="0"/>
        </w:rPr>
      </w:pPr>
    </w:p>
    <w:p w:rsidR="00AD1AC4" w:rsidRPr="00AD1AC4" w:rsidP="00C45D9C">
      <w:pPr>
        <w:pStyle w:val="ListParagraph"/>
        <w:numPr>
          <w:ilvl w:val="0"/>
          <w:numId w:val="3"/>
        </w:numPr>
        <w:ind w:left="567" w:hanging="567"/>
        <w:rPr>
          <w:b/>
          <w:bCs/>
          <w:snapToGrid w:val="0"/>
          <w:highlight w:val="yellow"/>
        </w:rPr>
      </w:pPr>
      <w:r w:rsidRPr="00AD1AC4">
        <w:rPr>
          <w:b/>
          <w:bCs/>
          <w:snapToGrid w:val="0"/>
          <w:highlight w:val="yellow"/>
        </w:rPr>
        <w:t>VARIANTA 1 – FYZICKÁ OSOBA</w:t>
      </w:r>
    </w:p>
    <w:p w:rsidR="00AD1AC4" w:rsidP="00AD1AC4">
      <w:pPr>
        <w:pStyle w:val="ListParagraph"/>
        <w:ind w:left="567"/>
        <w:rPr>
          <w:rFonts w:cs="Arial"/>
          <w:snapToGrid w:val="0"/>
        </w:rPr>
      </w:pPr>
      <w:r w:rsidRPr="00AD1AC4">
        <w:rPr>
          <w:snapToGrid w:val="0"/>
        </w:rPr>
        <w:t>titul, jméno, příjmení</w:t>
      </w:r>
      <w:r>
        <w:rPr>
          <w:snapToGrid w:val="0"/>
        </w:rPr>
        <w:t xml:space="preserve">: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 xml:space="preserve">datum narození: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 xml:space="preserve">trvale bytem: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 xml:space="preserve">bankovní spojení: </w:t>
      </w:r>
      <w:r w:rsidRPr="00F51B34">
        <w:rPr>
          <w:rFonts w:cs="Arial"/>
          <w:snapToGrid w:val="0"/>
        </w:rPr>
        <w:t>[</w:t>
      </w:r>
      <w:r>
        <w:rPr>
          <w:rFonts w:cs="Arial"/>
          <w:snapToGrid w:val="0"/>
          <w:highlight w:val="yellow"/>
        </w:rPr>
        <w:t>●</w:t>
      </w:r>
      <w:r w:rsidRPr="00F51B34">
        <w:rPr>
          <w:rFonts w:cs="Arial"/>
          <w:snapToGrid w:val="0"/>
        </w:rPr>
        <w:t>]</w:t>
      </w:r>
      <w:r>
        <w:rPr>
          <w:rFonts w:cs="Arial"/>
          <w:snapToGrid w:val="0"/>
        </w:rPr>
        <w:t xml:space="preserve">, číslo účtu: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na straně druhé (dále jen „</w:t>
      </w:r>
      <w:r w:rsidRPr="00AD1AC4">
        <w:rPr>
          <w:rFonts w:cs="Arial"/>
          <w:b/>
          <w:bCs/>
          <w:snapToGrid w:val="0"/>
        </w:rPr>
        <w:t>Nájemce</w:t>
      </w:r>
      <w:r>
        <w:rPr>
          <w:rFonts w:cs="Arial"/>
          <w:snapToGrid w:val="0"/>
        </w:rPr>
        <w:t>“)</w:t>
      </w:r>
    </w:p>
    <w:p w:rsidR="00AD1AC4" w:rsidRPr="00AD1AC4" w:rsidP="00AD1AC4">
      <w:pPr>
        <w:pStyle w:val="ListParagraph"/>
        <w:ind w:left="567"/>
        <w:rPr>
          <w:snapToGrid w:val="0"/>
        </w:rPr>
      </w:pPr>
    </w:p>
    <w:p w:rsidR="00AD1AC4" w:rsidP="00AD1AC4">
      <w:pPr>
        <w:pStyle w:val="ListParagraph"/>
        <w:ind w:left="567"/>
        <w:rPr>
          <w:b/>
          <w:snapToGrid w:val="0"/>
          <w:highlight w:val="yellow"/>
        </w:rPr>
      </w:pPr>
      <w:r>
        <w:rPr>
          <w:b/>
          <w:snapToGrid w:val="0"/>
          <w:highlight w:val="yellow"/>
        </w:rPr>
        <w:t>VARIANTA 2 – FYZICKÁ OSOBA PODNIKAJÍCÍ</w:t>
      </w:r>
    </w:p>
    <w:p w:rsidR="00AD1AC4" w:rsidP="00AD1AC4">
      <w:pPr>
        <w:pStyle w:val="ListParagraph"/>
        <w:ind w:left="567"/>
        <w:rPr>
          <w:rFonts w:cs="Arial"/>
          <w:snapToGrid w:val="0"/>
        </w:rPr>
      </w:pPr>
      <w:r w:rsidRPr="00AD1AC4">
        <w:rPr>
          <w:bCs/>
          <w:snapToGrid w:val="0"/>
        </w:rPr>
        <w:t xml:space="preserve">titul, jméno, příjmení: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 xml:space="preserve">fyzická osoba podnikající podle živnostenského zákona nezapsaná v obchodním rejstříku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 xml:space="preserve">trvale bytem / se sídlem: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 xml:space="preserve">IČO: </w:t>
      </w:r>
      <w:r w:rsidRPr="00F51B34">
        <w:rPr>
          <w:rFonts w:cs="Arial"/>
          <w:snapToGrid w:val="0"/>
        </w:rPr>
        <w:t>[</w:t>
      </w:r>
      <w:r>
        <w:rPr>
          <w:rFonts w:cs="Arial"/>
          <w:snapToGrid w:val="0"/>
          <w:highlight w:val="yellow"/>
        </w:rPr>
        <w:t>●</w:t>
      </w:r>
      <w:r w:rsidRPr="00F51B34">
        <w:rPr>
          <w:rFonts w:cs="Arial"/>
          <w:snapToGrid w:val="0"/>
        </w:rPr>
        <w:t>]</w:t>
      </w:r>
      <w:r>
        <w:rPr>
          <w:rFonts w:cs="Arial"/>
          <w:snapToGrid w:val="0"/>
        </w:rPr>
        <w:t xml:space="preserve">, DIČ: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 xml:space="preserve">bankovní spojení: </w:t>
      </w:r>
      <w:r w:rsidRPr="00F51B34">
        <w:rPr>
          <w:rFonts w:cs="Arial"/>
          <w:snapToGrid w:val="0"/>
        </w:rPr>
        <w:t>[</w:t>
      </w:r>
      <w:r>
        <w:rPr>
          <w:rFonts w:cs="Arial"/>
          <w:snapToGrid w:val="0"/>
          <w:highlight w:val="yellow"/>
        </w:rPr>
        <w:t>●</w:t>
      </w:r>
      <w:r w:rsidRPr="00F51B34">
        <w:rPr>
          <w:rFonts w:cs="Arial"/>
          <w:snapToGrid w:val="0"/>
        </w:rPr>
        <w:t>]</w:t>
      </w:r>
      <w:r>
        <w:rPr>
          <w:rFonts w:cs="Arial"/>
          <w:snapToGrid w:val="0"/>
        </w:rPr>
        <w:t xml:space="preserve">, číslo účtu: </w:t>
      </w:r>
      <w:r w:rsidRPr="00F51B34">
        <w:rPr>
          <w:rFonts w:cs="Arial"/>
          <w:snapToGrid w:val="0"/>
        </w:rPr>
        <w:t>[</w:t>
      </w:r>
      <w:r>
        <w:rPr>
          <w:rFonts w:cs="Arial"/>
          <w:snapToGrid w:val="0"/>
          <w:highlight w:val="yellow"/>
        </w:rPr>
        <w:t>●</w:t>
      </w:r>
      <w:r w:rsidRPr="00F51B34">
        <w:rPr>
          <w:rFonts w:cs="Arial"/>
          <w:snapToGrid w:val="0"/>
        </w:rPr>
        <w:t>]</w:t>
      </w:r>
    </w:p>
    <w:p w:rsidR="00AD1AC4" w:rsidP="00AD1AC4">
      <w:pPr>
        <w:pStyle w:val="ListParagraph"/>
        <w:ind w:left="567"/>
        <w:rPr>
          <w:rFonts w:cs="Arial"/>
          <w:snapToGrid w:val="0"/>
        </w:rPr>
      </w:pPr>
      <w:r>
        <w:rPr>
          <w:rFonts w:cs="Arial"/>
          <w:snapToGrid w:val="0"/>
        </w:rPr>
        <w:t>na straně druhé (dále jen „</w:t>
      </w:r>
      <w:r w:rsidRPr="00AD1AC4">
        <w:rPr>
          <w:rFonts w:cs="Arial"/>
          <w:b/>
          <w:bCs/>
          <w:snapToGrid w:val="0"/>
        </w:rPr>
        <w:t>Nájemce</w:t>
      </w:r>
      <w:r>
        <w:rPr>
          <w:rFonts w:cs="Arial"/>
          <w:snapToGrid w:val="0"/>
        </w:rPr>
        <w:t>“)</w:t>
      </w:r>
    </w:p>
    <w:p w:rsidR="00AD1AC4" w:rsidP="00AD1AC4">
      <w:pPr>
        <w:pStyle w:val="ListParagraph"/>
        <w:ind w:left="567"/>
        <w:rPr>
          <w:b/>
          <w:snapToGrid w:val="0"/>
          <w:highlight w:val="yellow"/>
        </w:rPr>
      </w:pPr>
    </w:p>
    <w:p w:rsidR="00AD1AC4" w:rsidP="00AD1AC4">
      <w:pPr>
        <w:pStyle w:val="ListParagraph"/>
        <w:ind w:left="567"/>
        <w:rPr>
          <w:b/>
          <w:snapToGrid w:val="0"/>
          <w:highlight w:val="yellow"/>
        </w:rPr>
      </w:pPr>
      <w:r>
        <w:rPr>
          <w:b/>
          <w:snapToGrid w:val="0"/>
          <w:highlight w:val="yellow"/>
        </w:rPr>
        <w:t>VARIANTA 3 – PRÁVNICKÁ OSOBA</w:t>
      </w:r>
    </w:p>
    <w:p w:rsidR="00C45D9C" w:rsidRPr="00AD1AC4" w:rsidP="00AD1AC4">
      <w:pPr>
        <w:pStyle w:val="ListParagraph"/>
        <w:ind w:left="567"/>
        <w:rPr>
          <w:rFonts w:cs="Arial"/>
          <w:snapToGrid w:val="0"/>
        </w:rPr>
      </w:pPr>
      <w:r w:rsidRPr="00AD1AC4">
        <w:rPr>
          <w:rFonts w:cs="Arial"/>
          <w:snapToGrid w:val="0"/>
        </w:rPr>
        <w:t xml:space="preserve">název, obchodní firma: </w:t>
      </w:r>
      <w:r w:rsidRPr="00F51B34">
        <w:rPr>
          <w:rFonts w:cs="Arial"/>
          <w:snapToGrid w:val="0"/>
        </w:rPr>
        <w:t>[</w:t>
      </w:r>
      <w:r>
        <w:rPr>
          <w:rFonts w:cs="Arial"/>
          <w:snapToGrid w:val="0"/>
          <w:highlight w:val="yellow"/>
        </w:rPr>
        <w:t>●</w:t>
      </w:r>
      <w:r w:rsidRPr="00F51B34">
        <w:rPr>
          <w:rFonts w:cs="Arial"/>
          <w:snapToGrid w:val="0"/>
        </w:rPr>
        <w:t>]</w:t>
      </w:r>
    </w:p>
    <w:p w:rsidR="00F51B34" w:rsidP="00F51B34">
      <w:pPr>
        <w:ind w:firstLine="567"/>
        <w:rPr>
          <w:rFonts w:cs="Arial"/>
          <w:snapToGrid w:val="0"/>
        </w:rPr>
      </w:pPr>
      <w:r>
        <w:rPr>
          <w:snapToGrid w:val="0"/>
        </w:rPr>
        <w:t>se sídlem</w:t>
      </w:r>
      <w:r w:rsidR="00810DA4">
        <w:rPr>
          <w:snapToGrid w:val="0"/>
        </w:rPr>
        <w:t>:</w:t>
      </w:r>
      <w:r w:rsidR="00CC7293">
        <w:rPr>
          <w:snapToGrid w:val="0"/>
        </w:rPr>
        <w:t xml:space="preserve"> </w:t>
      </w:r>
      <w:r w:rsidRPr="00F51B34">
        <w:rPr>
          <w:rFonts w:cs="Arial"/>
          <w:snapToGrid w:val="0"/>
        </w:rPr>
        <w:t>[</w:t>
      </w:r>
      <w:r w:rsidR="006F29CA">
        <w:rPr>
          <w:rFonts w:cs="Arial"/>
          <w:snapToGrid w:val="0"/>
          <w:highlight w:val="yellow"/>
        </w:rPr>
        <w:t>●</w:t>
      </w:r>
      <w:r w:rsidRPr="00F51B34">
        <w:rPr>
          <w:rFonts w:cs="Arial"/>
          <w:snapToGrid w:val="0"/>
        </w:rPr>
        <w:t>]</w:t>
      </w:r>
    </w:p>
    <w:p w:rsidR="00C45D9C" w:rsidRPr="00E352F7" w:rsidP="00F51B34">
      <w:pPr>
        <w:ind w:left="567"/>
        <w:rPr>
          <w:snapToGrid w:val="0"/>
        </w:rPr>
      </w:pPr>
      <w:r>
        <w:rPr>
          <w:snapToGrid w:val="0"/>
        </w:rPr>
        <w:t xml:space="preserve">zapsaná v Obchodním rejstříku vedeném </w:t>
      </w:r>
      <w:r w:rsidRPr="00F51B34" w:rsidR="006F29CA">
        <w:rPr>
          <w:rFonts w:cs="Arial"/>
          <w:snapToGrid w:val="0"/>
        </w:rPr>
        <w:t>[</w:t>
      </w:r>
      <w:r w:rsidR="006F29CA">
        <w:rPr>
          <w:rFonts w:cs="Arial"/>
          <w:snapToGrid w:val="0"/>
          <w:highlight w:val="yellow"/>
        </w:rPr>
        <w:t>●</w:t>
      </w:r>
      <w:r w:rsidRPr="00F51B34" w:rsidR="006F29CA">
        <w:rPr>
          <w:rFonts w:cs="Arial"/>
          <w:snapToGrid w:val="0"/>
        </w:rPr>
        <w:t>]</w:t>
      </w:r>
      <w:r>
        <w:rPr>
          <w:snapToGrid w:val="0"/>
        </w:rPr>
        <w:t xml:space="preserve">, oddíl </w:t>
      </w:r>
      <w:r w:rsidRPr="00F51B34" w:rsidR="006F29CA">
        <w:rPr>
          <w:rFonts w:cs="Arial"/>
          <w:snapToGrid w:val="0"/>
        </w:rPr>
        <w:t>[</w:t>
      </w:r>
      <w:r w:rsidR="006F29CA">
        <w:rPr>
          <w:rFonts w:cs="Arial"/>
          <w:snapToGrid w:val="0"/>
          <w:highlight w:val="yellow"/>
        </w:rPr>
        <w:t>●</w:t>
      </w:r>
      <w:r w:rsidRPr="00F51B34" w:rsidR="006F29CA">
        <w:rPr>
          <w:rFonts w:cs="Arial"/>
          <w:snapToGrid w:val="0"/>
        </w:rPr>
        <w:t>]</w:t>
      </w:r>
      <w:r>
        <w:rPr>
          <w:snapToGrid w:val="0"/>
        </w:rPr>
        <w:t xml:space="preserve">, vložka </w:t>
      </w:r>
      <w:r w:rsidRPr="00F51B34" w:rsidR="006F29CA">
        <w:rPr>
          <w:rFonts w:cs="Arial"/>
          <w:snapToGrid w:val="0"/>
        </w:rPr>
        <w:t>[</w:t>
      </w:r>
      <w:r w:rsidR="006F29CA">
        <w:rPr>
          <w:rFonts w:cs="Arial"/>
          <w:snapToGrid w:val="0"/>
          <w:highlight w:val="yellow"/>
        </w:rPr>
        <w:t>●</w:t>
      </w:r>
      <w:r w:rsidRPr="00F51B34" w:rsidR="006F29CA">
        <w:rPr>
          <w:rFonts w:cs="Arial"/>
          <w:snapToGrid w:val="0"/>
        </w:rPr>
        <w:t>]</w:t>
      </w:r>
    </w:p>
    <w:p w:rsidR="00C45D9C" w:rsidP="00C45D9C">
      <w:pPr>
        <w:ind w:firstLine="567"/>
        <w:rPr>
          <w:snapToGrid w:val="0"/>
        </w:rPr>
      </w:pPr>
      <w:r>
        <w:rPr>
          <w:snapToGrid w:val="0"/>
        </w:rPr>
        <w:t>zastoupená:</w:t>
      </w:r>
      <w:r w:rsidRPr="00CC7293">
        <w:rPr>
          <w:rFonts w:cs="Arial"/>
          <w:b/>
          <w:snapToGrid w:val="0"/>
        </w:rPr>
        <w:t xml:space="preserve"> </w:t>
      </w:r>
      <w:r w:rsidRPr="00F51B34" w:rsidR="006F29CA">
        <w:rPr>
          <w:rFonts w:cs="Arial"/>
          <w:snapToGrid w:val="0"/>
        </w:rPr>
        <w:t>[</w:t>
      </w:r>
      <w:r w:rsidR="006F29CA">
        <w:rPr>
          <w:rFonts w:cs="Arial"/>
          <w:snapToGrid w:val="0"/>
          <w:highlight w:val="yellow"/>
        </w:rPr>
        <w:t>●</w:t>
      </w:r>
      <w:r w:rsidRPr="00F51B34" w:rsidR="006F29CA">
        <w:rPr>
          <w:rFonts w:cs="Arial"/>
          <w:snapToGrid w:val="0"/>
        </w:rPr>
        <w:t>]</w:t>
      </w:r>
    </w:p>
    <w:p w:rsidR="00C45D9C" w:rsidRPr="00E352F7" w:rsidP="00C45D9C">
      <w:pPr>
        <w:ind w:firstLine="567"/>
        <w:rPr>
          <w:snapToGrid w:val="0"/>
        </w:rPr>
      </w:pPr>
      <w:r w:rsidRPr="007E62B8">
        <w:rPr>
          <w:snapToGrid w:val="0"/>
        </w:rPr>
        <w:t>IČ</w:t>
      </w:r>
      <w:r w:rsidR="00810DA4">
        <w:rPr>
          <w:snapToGrid w:val="0"/>
        </w:rPr>
        <w:t>O</w:t>
      </w:r>
      <w:r w:rsidRPr="007E62B8">
        <w:rPr>
          <w:snapToGrid w:val="0"/>
        </w:rPr>
        <w:t xml:space="preserve">: </w:t>
      </w:r>
      <w:r w:rsidRPr="00F51B34" w:rsidR="006F29CA">
        <w:rPr>
          <w:rFonts w:cs="Arial"/>
          <w:snapToGrid w:val="0"/>
        </w:rPr>
        <w:t>[</w:t>
      </w:r>
      <w:r w:rsidR="006F29CA">
        <w:rPr>
          <w:rFonts w:cs="Arial"/>
          <w:snapToGrid w:val="0"/>
          <w:highlight w:val="yellow"/>
        </w:rPr>
        <w:t>●</w:t>
      </w:r>
      <w:r w:rsidRPr="00F51B34" w:rsidR="006F29CA">
        <w:rPr>
          <w:rFonts w:cs="Arial"/>
          <w:snapToGrid w:val="0"/>
        </w:rPr>
        <w:t>]</w:t>
      </w:r>
      <w:r w:rsidR="00AD1AC4">
        <w:rPr>
          <w:snapToGrid w:val="0"/>
        </w:rPr>
        <w:t xml:space="preserve">, </w:t>
      </w:r>
      <w:r w:rsidRPr="007E62B8">
        <w:rPr>
          <w:snapToGrid w:val="0"/>
        </w:rPr>
        <w:t xml:space="preserve">DIČ: </w:t>
      </w:r>
      <w:r w:rsidRPr="00F51B34" w:rsidR="006F29CA">
        <w:rPr>
          <w:rFonts w:cs="Arial"/>
          <w:snapToGrid w:val="0"/>
        </w:rPr>
        <w:t>[</w:t>
      </w:r>
      <w:r w:rsidR="006F29CA">
        <w:rPr>
          <w:rFonts w:cs="Arial"/>
          <w:snapToGrid w:val="0"/>
          <w:highlight w:val="yellow"/>
        </w:rPr>
        <w:t>●</w:t>
      </w:r>
      <w:r w:rsidRPr="00F51B34" w:rsidR="006F29CA">
        <w:rPr>
          <w:rFonts w:cs="Arial"/>
          <w:snapToGrid w:val="0"/>
        </w:rPr>
        <w:t>]</w:t>
      </w:r>
    </w:p>
    <w:p w:rsidR="00C45D9C" w:rsidP="00C45D9C">
      <w:pPr>
        <w:ind w:firstLine="567"/>
        <w:rPr>
          <w:rFonts w:cs="Arial"/>
          <w:snapToGrid w:val="0"/>
        </w:rPr>
      </w:pPr>
      <w:r>
        <w:rPr>
          <w:snapToGrid w:val="0"/>
        </w:rPr>
        <w:t>b</w:t>
      </w:r>
      <w:r w:rsidRPr="007E62B8">
        <w:rPr>
          <w:snapToGrid w:val="0"/>
        </w:rPr>
        <w:t xml:space="preserve">ankovní spojení: </w:t>
      </w:r>
      <w:r w:rsidRPr="00F51B34" w:rsidR="006F29CA">
        <w:rPr>
          <w:rFonts w:cs="Arial"/>
          <w:snapToGrid w:val="0"/>
        </w:rPr>
        <w:t>[</w:t>
      </w:r>
      <w:r w:rsidR="006F29CA">
        <w:rPr>
          <w:rFonts w:cs="Arial"/>
          <w:snapToGrid w:val="0"/>
          <w:highlight w:val="yellow"/>
        </w:rPr>
        <w:t>●</w:t>
      </w:r>
      <w:r w:rsidRPr="00F51B34" w:rsidR="006F29CA">
        <w:rPr>
          <w:rFonts w:cs="Arial"/>
          <w:snapToGrid w:val="0"/>
        </w:rPr>
        <w:t>]</w:t>
      </w:r>
      <w:r w:rsidR="00CC7293">
        <w:rPr>
          <w:rFonts w:cs="Arial"/>
          <w:snapToGrid w:val="0"/>
        </w:rPr>
        <w:t xml:space="preserve">, </w:t>
      </w:r>
      <w:r>
        <w:rPr>
          <w:rFonts w:cs="Arial"/>
          <w:snapToGrid w:val="0"/>
        </w:rPr>
        <w:t xml:space="preserve">číslo účtu: </w:t>
      </w:r>
      <w:r w:rsidRPr="00F51B34" w:rsidR="006F29CA">
        <w:rPr>
          <w:rFonts w:cs="Arial"/>
          <w:snapToGrid w:val="0"/>
        </w:rPr>
        <w:t>[</w:t>
      </w:r>
      <w:r w:rsidR="006F29CA">
        <w:rPr>
          <w:rFonts w:cs="Arial"/>
          <w:snapToGrid w:val="0"/>
          <w:highlight w:val="yellow"/>
        </w:rPr>
        <w:t>●</w:t>
      </w:r>
      <w:r w:rsidRPr="00F51B34" w:rsidR="006F29CA">
        <w:rPr>
          <w:rFonts w:cs="Arial"/>
          <w:snapToGrid w:val="0"/>
        </w:rPr>
        <w:t>]</w:t>
      </w:r>
    </w:p>
    <w:p w:rsidR="00C45D9C" w:rsidRPr="007E62B8" w:rsidP="000F3B09">
      <w:pPr>
        <w:spacing w:after="0"/>
        <w:ind w:firstLine="567"/>
        <w:rPr>
          <w:snapToGrid w:val="0"/>
        </w:rPr>
      </w:pPr>
      <w:r>
        <w:rPr>
          <w:snapToGrid w:val="0"/>
        </w:rPr>
        <w:t xml:space="preserve">na straně druhé </w:t>
      </w:r>
      <w:r w:rsidRPr="007E62B8">
        <w:rPr>
          <w:snapToGrid w:val="0"/>
        </w:rPr>
        <w:t>(dále jen „</w:t>
      </w:r>
      <w:r w:rsidR="00AD1AC4">
        <w:rPr>
          <w:b/>
          <w:snapToGrid w:val="0"/>
        </w:rPr>
        <w:t>Nájemce</w:t>
      </w:r>
      <w:r w:rsidRPr="007E62B8">
        <w:rPr>
          <w:snapToGrid w:val="0"/>
        </w:rPr>
        <w:t>“)</w:t>
      </w:r>
    </w:p>
    <w:p w:rsidR="00C45D9C" w:rsidP="00F51B34">
      <w:pPr>
        <w:spacing w:after="0"/>
        <w:rPr>
          <w:snapToGrid w:val="0"/>
          <w:sz w:val="24"/>
          <w:szCs w:val="24"/>
        </w:rPr>
      </w:pPr>
    </w:p>
    <w:p w:rsidR="00C45D9C" w:rsidRPr="00807F79" w:rsidP="000F3B09">
      <w:pPr>
        <w:spacing w:after="0"/>
        <w:ind w:firstLine="567"/>
        <w:rPr>
          <w:rFonts w:cs="Arial"/>
        </w:rPr>
      </w:pPr>
      <w:r w:rsidRPr="00807F79">
        <w:rPr>
          <w:rFonts w:cs="Arial"/>
        </w:rPr>
        <w:t>(společně dále jen „</w:t>
      </w:r>
      <w:r w:rsidRPr="00807F79">
        <w:rPr>
          <w:rFonts w:cs="Arial"/>
          <w:b/>
        </w:rPr>
        <w:t>Smluvní strany</w:t>
      </w:r>
      <w:r w:rsidRPr="00807F79">
        <w:rPr>
          <w:rFonts w:cs="Arial"/>
        </w:rPr>
        <w:t>“ nebo jednotlivě také jen „</w:t>
      </w:r>
      <w:r w:rsidRPr="00807F79">
        <w:rPr>
          <w:rFonts w:cs="Arial"/>
          <w:b/>
        </w:rPr>
        <w:t>Smluvní strana</w:t>
      </w:r>
      <w:r w:rsidRPr="00807F79">
        <w:rPr>
          <w:rFonts w:cs="Arial"/>
        </w:rPr>
        <w:t>“)</w:t>
      </w:r>
    </w:p>
    <w:p w:rsidR="00C45D9C" w:rsidP="00F51B34">
      <w:pPr>
        <w:spacing w:after="0"/>
        <w:rPr>
          <w:snapToGrid w:val="0"/>
          <w:sz w:val="24"/>
          <w:szCs w:val="24"/>
        </w:rPr>
      </w:pPr>
    </w:p>
    <w:p w:rsidR="00C45D9C" w:rsidP="001B4172">
      <w:pPr>
        <w:rPr>
          <w:snapToGrid w:val="0"/>
        </w:rPr>
      </w:pPr>
      <w:r w:rsidRPr="001B4172">
        <w:rPr>
          <w:snapToGrid w:val="0"/>
        </w:rPr>
        <w:t xml:space="preserve">Smluvní strany uzavřely níže uvedeného dne, měsíce a roku </w:t>
      </w:r>
      <w:r w:rsidR="007D5F4E">
        <w:rPr>
          <w:snapToGrid w:val="0"/>
        </w:rPr>
        <w:t>podle</w:t>
      </w:r>
      <w:r w:rsidRPr="001B4172">
        <w:rPr>
          <w:snapToGrid w:val="0"/>
        </w:rPr>
        <w:t xml:space="preserve"> § </w:t>
      </w:r>
      <w:r w:rsidR="00AD1AC4">
        <w:rPr>
          <w:snapToGrid w:val="0"/>
        </w:rPr>
        <w:t>2302</w:t>
      </w:r>
      <w:r w:rsidRPr="001B4172">
        <w:rPr>
          <w:snapToGrid w:val="0"/>
        </w:rPr>
        <w:t xml:space="preserve"> a násl. zákona </w:t>
      </w:r>
      <w:r w:rsidR="00E80A21">
        <w:rPr>
          <w:snapToGrid w:val="0"/>
        </w:rPr>
        <w:br/>
      </w:r>
      <w:r w:rsidRPr="001B4172">
        <w:rPr>
          <w:snapToGrid w:val="0"/>
        </w:rPr>
        <w:t>č. 89/2012 Sb., občanský zákoník</w:t>
      </w:r>
      <w:r w:rsidRPr="001B4172" w:rsidR="00BE12CA">
        <w:rPr>
          <w:snapToGrid w:val="0"/>
        </w:rPr>
        <w:t>, ve znění pozdějších předpisů</w:t>
      </w:r>
      <w:r w:rsidRPr="001B4172">
        <w:rPr>
          <w:snapToGrid w:val="0"/>
        </w:rPr>
        <w:t xml:space="preserve"> (dále jen „</w:t>
      </w:r>
      <w:r w:rsidRPr="001B4172">
        <w:rPr>
          <w:b/>
          <w:snapToGrid w:val="0"/>
        </w:rPr>
        <w:t>Občanský zákoník</w:t>
      </w:r>
      <w:r w:rsidRPr="001B4172">
        <w:rPr>
          <w:snapToGrid w:val="0"/>
        </w:rPr>
        <w:t xml:space="preserve">“) </w:t>
      </w:r>
      <w:r w:rsidR="00E80A21">
        <w:rPr>
          <w:snapToGrid w:val="0"/>
        </w:rPr>
        <w:br/>
      </w:r>
      <w:r w:rsidRPr="001B4172">
        <w:rPr>
          <w:snapToGrid w:val="0"/>
        </w:rPr>
        <w:t xml:space="preserve">a </w:t>
      </w:r>
      <w:r w:rsidR="007D5F4E">
        <w:rPr>
          <w:snapToGrid w:val="0"/>
        </w:rPr>
        <w:t>podle</w:t>
      </w:r>
      <w:r w:rsidRPr="001B4172" w:rsidR="00BE12CA">
        <w:rPr>
          <w:snapToGrid w:val="0"/>
        </w:rPr>
        <w:t xml:space="preserve"> zák</w:t>
      </w:r>
      <w:r w:rsidR="007D5F4E">
        <w:rPr>
          <w:snapToGrid w:val="0"/>
        </w:rPr>
        <w:t>ona</w:t>
      </w:r>
      <w:r w:rsidRPr="001B4172">
        <w:rPr>
          <w:snapToGrid w:val="0"/>
        </w:rPr>
        <w:t xml:space="preserve"> č. </w:t>
      </w:r>
      <w:r w:rsidR="00AD1AC4">
        <w:rPr>
          <w:snapToGrid w:val="0"/>
        </w:rPr>
        <w:t>219</w:t>
      </w:r>
      <w:r w:rsidRPr="001B4172">
        <w:rPr>
          <w:snapToGrid w:val="0"/>
        </w:rPr>
        <w:t>/20</w:t>
      </w:r>
      <w:r w:rsidR="00AD1AC4">
        <w:rPr>
          <w:snapToGrid w:val="0"/>
        </w:rPr>
        <w:t>00</w:t>
      </w:r>
      <w:r w:rsidRPr="001B4172">
        <w:rPr>
          <w:snapToGrid w:val="0"/>
        </w:rPr>
        <w:t xml:space="preserve"> Sb., o </w:t>
      </w:r>
      <w:r w:rsidR="00AD1AC4">
        <w:rPr>
          <w:snapToGrid w:val="0"/>
        </w:rPr>
        <w:t>majetku České republiky a jejím vystupování v právních vztazích</w:t>
      </w:r>
      <w:r w:rsidRPr="001B4172" w:rsidR="00BE12CA">
        <w:rPr>
          <w:snapToGrid w:val="0"/>
        </w:rPr>
        <w:t>, ve znění pozdějších předpisů</w:t>
      </w:r>
      <w:r w:rsidRPr="001B4172">
        <w:rPr>
          <w:snapToGrid w:val="0"/>
        </w:rPr>
        <w:t xml:space="preserve"> (dále jen „</w:t>
      </w:r>
      <w:r w:rsidR="00AD1AC4">
        <w:rPr>
          <w:b/>
          <w:snapToGrid w:val="0"/>
        </w:rPr>
        <w:t>Zákon o majetku státu</w:t>
      </w:r>
      <w:r w:rsidRPr="001B4172">
        <w:rPr>
          <w:snapToGrid w:val="0"/>
        </w:rPr>
        <w:t>“) tuto</w:t>
      </w:r>
      <w:r>
        <w:rPr>
          <w:snapToGrid w:val="0"/>
        </w:rPr>
        <w:t xml:space="preserve"> </w:t>
      </w:r>
    </w:p>
    <w:p w:rsidR="00F51B34" w:rsidP="00833A80">
      <w:pPr>
        <w:spacing w:after="0"/>
        <w:jc w:val="center"/>
        <w:rPr>
          <w:snapToGrid w:val="0"/>
        </w:rPr>
      </w:pPr>
      <w:r>
        <w:rPr>
          <w:snapToGrid w:val="0"/>
        </w:rPr>
        <w:t xml:space="preserve">smlouvu </w:t>
      </w:r>
      <w:r w:rsidR="00AD1AC4">
        <w:rPr>
          <w:snapToGrid w:val="0"/>
        </w:rPr>
        <w:t>o nájmu prostor sloužících k podnikání</w:t>
      </w:r>
      <w:r w:rsidR="00833A80">
        <w:rPr>
          <w:snapToGrid w:val="0"/>
        </w:rPr>
        <w:t xml:space="preserve"> </w:t>
      </w:r>
    </w:p>
    <w:p w:rsidR="00C45D9C" w:rsidP="00833A80">
      <w:pPr>
        <w:spacing w:after="0"/>
        <w:jc w:val="center"/>
        <w:rPr>
          <w:snapToGrid w:val="0"/>
        </w:rPr>
      </w:pPr>
      <w:r>
        <w:rPr>
          <w:snapToGrid w:val="0"/>
        </w:rPr>
        <w:t xml:space="preserve">(dále jen </w:t>
      </w:r>
      <w:r w:rsidR="006F29CA">
        <w:rPr>
          <w:snapToGrid w:val="0"/>
        </w:rPr>
        <w:t>„</w:t>
      </w:r>
      <w:r w:rsidRPr="00E352F7">
        <w:rPr>
          <w:b/>
          <w:snapToGrid w:val="0"/>
        </w:rPr>
        <w:t>Smlouva</w:t>
      </w:r>
      <w:r>
        <w:rPr>
          <w:snapToGrid w:val="0"/>
        </w:rPr>
        <w:t>“)</w:t>
      </w:r>
    </w:p>
    <w:p w:rsidR="00833A80" w:rsidP="00833A80">
      <w:pPr>
        <w:spacing w:after="0"/>
        <w:jc w:val="center"/>
        <w:rPr>
          <w:snapToGrid w:val="0"/>
        </w:rPr>
        <w:sectPr>
          <w:pgSz w:w="11906" w:h="16838"/>
          <w:pgMar w:top="1417" w:right="1417" w:bottom="1417" w:left="1417" w:header="708" w:footer="708" w:gutter="0"/>
          <w:cols w:space="708"/>
          <w:docGrid w:linePitch="360"/>
        </w:sectPr>
      </w:pPr>
    </w:p>
    <w:p w:rsidR="00916B94" w:rsidP="00AD1AC4">
      <w:pPr>
        <w:pStyle w:val="Heading1"/>
        <w:spacing w:before="0"/>
      </w:pPr>
      <w:r>
        <w:t>úvodní ustanovení</w:t>
      </w:r>
    </w:p>
    <w:p w:rsidR="00AD1AC4" w:rsidP="00AD1AC4">
      <w:pPr>
        <w:pStyle w:val="Heading2"/>
      </w:pPr>
      <w:r>
        <w:t xml:space="preserve">Česká republika je výlučným vlastníkem a Ministerstvo financí </w:t>
      </w:r>
      <w:r w:rsidR="00DE5B9E">
        <w:t>je</w:t>
      </w:r>
      <w:r>
        <w:t xml:space="preserve"> podle § 9 Zákona o majetku státu příslušn</w:t>
      </w:r>
      <w:r w:rsidR="00DE5B9E">
        <w:t>é</w:t>
      </w:r>
      <w:r>
        <w:t xml:space="preserve"> hospodař</w:t>
      </w:r>
      <w:r w:rsidR="00DE5B9E">
        <w:t>it</w:t>
      </w:r>
      <w:r>
        <w:t xml:space="preserve"> s budovou č. p. 525 umístěn</w:t>
      </w:r>
      <w:r w:rsidR="00DE5B9E">
        <w:t>ou</w:t>
      </w:r>
      <w:r>
        <w:t xml:space="preserve"> na adrese Letenská 15, Praha 1 – Malá Strana, která je za</w:t>
      </w:r>
      <w:r w:rsidR="00DE5B9E">
        <w:t>ps</w:t>
      </w:r>
      <w:r>
        <w:t>ána na listu vlastnictví č. 172 v katastru nemovitostí vedeném Katastrálním úřadem pro hlavní město Prahu, katastrálním pracovištěm Praha (dále jen „</w:t>
      </w:r>
      <w:r>
        <w:rPr>
          <w:b/>
        </w:rPr>
        <w:t>Objekt</w:t>
      </w:r>
      <w:r>
        <w:t xml:space="preserve">“). </w:t>
      </w:r>
    </w:p>
    <w:p w:rsidR="00AD1AC4" w:rsidP="001B4172">
      <w:pPr>
        <w:pStyle w:val="Heading2"/>
        <w:keepLines/>
      </w:pPr>
      <w:r>
        <w:t xml:space="preserve">Ministerstvo financí </w:t>
      </w:r>
      <w:r w:rsidR="00A24B28">
        <w:t>je</w:t>
      </w:r>
      <w:r>
        <w:t xml:space="preserve"> mimo jiné příslušn</w:t>
      </w:r>
      <w:r w:rsidR="00A24B28">
        <w:t>é</w:t>
      </w:r>
      <w:r>
        <w:t xml:space="preserve"> hospodař</w:t>
      </w:r>
      <w:r w:rsidR="00A24B28">
        <w:t>it</w:t>
      </w:r>
      <w:r>
        <w:t xml:space="preserve"> s nebytovými prostory o celkové výměře 71,13 m</w:t>
      </w:r>
      <w:r w:rsidRPr="00AD1AC4">
        <w:rPr>
          <w:vertAlign w:val="superscript"/>
        </w:rPr>
        <w:t>2</w:t>
      </w:r>
      <w:r>
        <w:t xml:space="preserve"> umístěnými v 1. nadzemním podlaží budovy C Objektu (dále jen „</w:t>
      </w:r>
      <w:r w:rsidRPr="00AD1AC4">
        <w:rPr>
          <w:b/>
          <w:bCs w:val="0"/>
        </w:rPr>
        <w:t>Nebytové</w:t>
      </w:r>
      <w:r>
        <w:t xml:space="preserve"> </w:t>
      </w:r>
      <w:r w:rsidRPr="00AD1AC4">
        <w:rPr>
          <w:b/>
          <w:bCs w:val="0"/>
        </w:rPr>
        <w:t>prostory</w:t>
      </w:r>
      <w:r>
        <w:t xml:space="preserve">“). </w:t>
      </w:r>
    </w:p>
    <w:p w:rsidR="00AD1AC4" w:rsidP="001B4172">
      <w:pPr>
        <w:pStyle w:val="Heading2"/>
        <w:keepLines/>
      </w:pPr>
      <w:r>
        <w:t xml:space="preserve">Vzhledem k tomu, že přenecháním Nebytových prostor do dočasného užívání Nájemce bude podle § 27 </w:t>
      </w:r>
      <w:r w:rsidR="00A24B28">
        <w:t xml:space="preserve">odst. 1 </w:t>
      </w:r>
      <w:r>
        <w:t>Zákona o majetku státu dosaženo jejich účelnějšího a hospodárnějšího využití při zachování hlavního účelu, ke kterému Pronajímateli slouží, dohodly se Smluvní strany na uzavření této Smlouvy.</w:t>
      </w:r>
    </w:p>
    <w:p w:rsidR="00AD1AC4" w:rsidP="00AD1AC4">
      <w:pPr>
        <w:pStyle w:val="Heading1"/>
      </w:pPr>
      <w:r>
        <w:t>předmět smlouvy</w:t>
      </w:r>
    </w:p>
    <w:p w:rsidR="00AD1AC4" w:rsidP="001B4172">
      <w:pPr>
        <w:pStyle w:val="Heading2"/>
        <w:keepLines/>
      </w:pPr>
      <w:r>
        <w:t xml:space="preserve">Touto Smlouvou </w:t>
      </w:r>
      <w:r>
        <w:t xml:space="preserve">Pronajímatel přenechává Nájemci k dočasnému užívání Nebytové prostory </w:t>
      </w:r>
      <w:r>
        <w:br/>
        <w:t>o celkové výměře 71,13 m</w:t>
      </w:r>
      <w:r w:rsidRPr="00AD1AC4">
        <w:rPr>
          <w:vertAlign w:val="superscript"/>
        </w:rPr>
        <w:t>2</w:t>
      </w:r>
      <w:r>
        <w:t xml:space="preserve"> </w:t>
      </w:r>
      <w:r w:rsidR="0000356C">
        <w:t xml:space="preserve">umístěné v 1. nadzemním podlaží budovy C Objektu </w:t>
      </w:r>
      <w:r>
        <w:t xml:space="preserve">tak, jak je blíže specifikováno v Příloze č. 1 Smlouvy – Plán Nebytových prostor, </w:t>
      </w:r>
      <w:r w:rsidR="0000356C">
        <w:t xml:space="preserve">a Nájemce se zavazuje za </w:t>
      </w:r>
      <w:r>
        <w:t xml:space="preserve">to </w:t>
      </w:r>
      <w:r w:rsidR="0000356C">
        <w:t xml:space="preserve">Pronajímateli hradit nájemné </w:t>
      </w:r>
      <w:r w:rsidRPr="00D332C4" w:rsidR="0000356C">
        <w:t xml:space="preserve">specifikované v článku 5 Smlouvy a další platby související s užíváním Nebytových prostor specifikované v článcích 6 a 7 Smlouvy a </w:t>
      </w:r>
      <w:r>
        <w:t>v Příloze č. 2 Smlouvy – Cenová kalkulace</w:t>
      </w:r>
      <w:r w:rsidR="0000356C">
        <w:t xml:space="preserve">. </w:t>
      </w:r>
    </w:p>
    <w:p w:rsidR="0000356C" w:rsidP="001B4172">
      <w:pPr>
        <w:pStyle w:val="Heading2"/>
        <w:keepLines/>
      </w:pPr>
      <w:r>
        <w:t xml:space="preserve">Nebytové prostory jsou Nájemci přenechány do dočasného užívání </w:t>
      </w:r>
      <w:r w:rsidR="00664C07">
        <w:t>výhradně</w:t>
      </w:r>
      <w:r>
        <w:t xml:space="preserve"> za účelem prodeje zboží a výrobků převážně potravinářského charakteru (dále jen „</w:t>
      </w:r>
      <w:r w:rsidRPr="0000356C">
        <w:rPr>
          <w:b/>
          <w:bCs w:val="0"/>
        </w:rPr>
        <w:t>Bufet</w:t>
      </w:r>
      <w:r>
        <w:t xml:space="preserve">“). </w:t>
      </w:r>
    </w:p>
    <w:p w:rsidR="0000356C" w:rsidP="001B4172">
      <w:pPr>
        <w:pStyle w:val="Heading2"/>
        <w:keepLines/>
      </w:pPr>
      <w:r>
        <w:t xml:space="preserve">O předání a převzetí Nebytových prostor a Movitého vybavení (podle definice uvedené v článku 7 Smlouvy) bude mezi zástupci Smluvních stran uzavřen předávací protokol, jehož vzor </w:t>
      </w:r>
      <w:r w:rsidR="00A24B28">
        <w:t xml:space="preserve">je uveden v Příloze č. </w:t>
      </w:r>
      <w:r w:rsidR="00000B4D">
        <w:t>4</w:t>
      </w:r>
      <w:r w:rsidR="00A24B28">
        <w:t xml:space="preserve"> Smlouvy </w:t>
      </w:r>
      <w:r>
        <w:t xml:space="preserve">– Předávací protokol (vzor). </w:t>
      </w:r>
    </w:p>
    <w:p w:rsidR="006F29CA" w:rsidP="006F29CA">
      <w:pPr>
        <w:pStyle w:val="Heading1"/>
      </w:pPr>
      <w:r>
        <w:t>podmínky provozování bufetu</w:t>
      </w:r>
    </w:p>
    <w:p w:rsidR="0000356C" w:rsidRPr="00664C07" w:rsidP="0000356C">
      <w:pPr>
        <w:pStyle w:val="Heading2"/>
        <w:numPr>
          <w:ilvl w:val="0"/>
          <w:numId w:val="0"/>
        </w:numPr>
        <w:ind w:left="576" w:hanging="576"/>
        <w:rPr>
          <w:u w:val="single"/>
        </w:rPr>
      </w:pPr>
      <w:r w:rsidRPr="00664C07">
        <w:rPr>
          <w:u w:val="single"/>
        </w:rPr>
        <w:t>Provozní doba Bufetu a její úpravy:</w:t>
      </w:r>
    </w:p>
    <w:p w:rsidR="0000356C" w:rsidP="001E629A">
      <w:pPr>
        <w:pStyle w:val="Heading2"/>
      </w:pPr>
      <w:r>
        <w:t xml:space="preserve">Nájemce je povinen dodržovat provozní dobu Bufetu v pracovních dnech v době od </w:t>
      </w:r>
      <w:r w:rsidRPr="00F51B34">
        <w:rPr>
          <w:rFonts w:cs="Arial"/>
          <w:snapToGrid w:val="0"/>
        </w:rPr>
        <w:t>[</w:t>
      </w:r>
      <w:r>
        <w:rPr>
          <w:rFonts w:cs="Arial"/>
          <w:snapToGrid w:val="0"/>
          <w:highlight w:val="yellow"/>
        </w:rPr>
        <w:t>●</w:t>
      </w:r>
      <w:r w:rsidRPr="00F51B34">
        <w:rPr>
          <w:rFonts w:cs="Arial"/>
          <w:snapToGrid w:val="0"/>
        </w:rPr>
        <w:t>]</w:t>
      </w:r>
      <w:r>
        <w:rPr>
          <w:rFonts w:cs="Arial"/>
          <w:snapToGrid w:val="0"/>
        </w:rPr>
        <w:t xml:space="preserve"> do </w:t>
      </w:r>
      <w:r w:rsidRPr="00F51B34">
        <w:rPr>
          <w:rFonts w:cs="Arial"/>
          <w:snapToGrid w:val="0"/>
        </w:rPr>
        <w:t>[</w:t>
      </w:r>
      <w:r>
        <w:rPr>
          <w:rFonts w:cs="Arial"/>
          <w:snapToGrid w:val="0"/>
          <w:highlight w:val="yellow"/>
        </w:rPr>
        <w:t>●</w:t>
      </w:r>
      <w:r w:rsidRPr="00F51B34">
        <w:rPr>
          <w:rFonts w:cs="Arial"/>
          <w:snapToGrid w:val="0"/>
        </w:rPr>
        <w:t>]</w:t>
      </w:r>
      <w:r>
        <w:rPr>
          <w:rFonts w:cs="Arial"/>
          <w:snapToGrid w:val="0"/>
        </w:rPr>
        <w:t xml:space="preserve"> hodin (dále jen „</w:t>
      </w:r>
      <w:r w:rsidRPr="0000356C">
        <w:rPr>
          <w:rFonts w:cs="Arial"/>
          <w:b/>
          <w:bCs w:val="0"/>
          <w:snapToGrid w:val="0"/>
        </w:rPr>
        <w:t>Provozní doba</w:t>
      </w:r>
      <w:r>
        <w:rPr>
          <w:rFonts w:cs="Arial"/>
          <w:snapToGrid w:val="0"/>
        </w:rPr>
        <w:t>“). [</w:t>
      </w:r>
      <w:r w:rsidRPr="001164E5">
        <w:rPr>
          <w:rFonts w:cs="Arial"/>
          <w:snapToGrid w:val="0"/>
          <w:highlight w:val="green"/>
        </w:rPr>
        <w:t>Pronajímatel požaduje provozní dobu</w:t>
      </w:r>
      <w:r w:rsidRPr="001164E5" w:rsidR="001164E5">
        <w:rPr>
          <w:rFonts w:cs="Arial"/>
          <w:snapToGrid w:val="0"/>
          <w:highlight w:val="green"/>
        </w:rPr>
        <w:t xml:space="preserve"> minimálně v tomto rozsahu: pracovní dny </w:t>
      </w:r>
      <w:r w:rsidR="001164E5">
        <w:rPr>
          <w:rFonts w:cs="Arial"/>
          <w:snapToGrid w:val="0"/>
          <w:highlight w:val="green"/>
        </w:rPr>
        <w:t xml:space="preserve">od </w:t>
      </w:r>
      <w:r w:rsidRPr="001164E5" w:rsidR="001164E5">
        <w:rPr>
          <w:rFonts w:cs="Arial"/>
          <w:snapToGrid w:val="0"/>
          <w:highlight w:val="green"/>
        </w:rPr>
        <w:t xml:space="preserve">pondělí </w:t>
      </w:r>
      <w:r w:rsidR="001164E5">
        <w:rPr>
          <w:rFonts w:cs="Arial"/>
          <w:snapToGrid w:val="0"/>
          <w:highlight w:val="green"/>
        </w:rPr>
        <w:t xml:space="preserve">do </w:t>
      </w:r>
      <w:r w:rsidRPr="001164E5" w:rsidR="001164E5">
        <w:rPr>
          <w:rFonts w:cs="Arial"/>
          <w:snapToGrid w:val="0"/>
          <w:highlight w:val="green"/>
        </w:rPr>
        <w:t>čtvrt</w:t>
      </w:r>
      <w:r w:rsidR="001164E5">
        <w:rPr>
          <w:rFonts w:cs="Arial"/>
          <w:snapToGrid w:val="0"/>
          <w:highlight w:val="green"/>
        </w:rPr>
        <w:t>ka</w:t>
      </w:r>
      <w:r w:rsidRPr="001164E5" w:rsidR="001164E5">
        <w:rPr>
          <w:rFonts w:cs="Arial"/>
          <w:snapToGrid w:val="0"/>
          <w:highlight w:val="green"/>
        </w:rPr>
        <w:t xml:space="preserve"> od 7:30 hodin do 17:00 hodin a </w:t>
      </w:r>
      <w:r w:rsidR="001164E5">
        <w:rPr>
          <w:rFonts w:cs="Arial"/>
          <w:snapToGrid w:val="0"/>
          <w:highlight w:val="green"/>
        </w:rPr>
        <w:t xml:space="preserve">v </w:t>
      </w:r>
      <w:r w:rsidRPr="001164E5" w:rsidR="001164E5">
        <w:rPr>
          <w:rFonts w:cs="Arial"/>
          <w:snapToGrid w:val="0"/>
          <w:highlight w:val="green"/>
        </w:rPr>
        <w:t>pátek od 7:30 hodin do 15:00 hodin</w:t>
      </w:r>
      <w:r w:rsidR="001164E5">
        <w:rPr>
          <w:rFonts w:cs="Arial"/>
          <w:snapToGrid w:val="0"/>
        </w:rPr>
        <w:t>]</w:t>
      </w:r>
    </w:p>
    <w:p w:rsidR="0000356C" w:rsidP="001E629A">
      <w:pPr>
        <w:pStyle w:val="Heading2"/>
      </w:pPr>
      <w:r>
        <w:t xml:space="preserve">Smluvní strany se dohodly, že Provozní doba může být v odůvodněných případech přerušena, např. z důvodu sanitárního dne apod. Přerušení či úprava Provozní doby však musí být předem písemně schválena Pronajímatelem. </w:t>
      </w:r>
    </w:p>
    <w:p w:rsidR="0000356C" w:rsidP="001E629A">
      <w:pPr>
        <w:pStyle w:val="Heading2"/>
      </w:pPr>
      <w:r>
        <w:t xml:space="preserve">Nájemce je povinen dodržovat Provozní dobu a v případě čerpání dovolené či nemoci obsluhy Bufetu je povinen zajistit její zástup. </w:t>
      </w:r>
    </w:p>
    <w:p w:rsidR="001164E5" w:rsidRPr="001164E5" w:rsidP="001164E5">
      <w:pPr>
        <w:keepNext/>
        <w:rPr>
          <w:u w:val="single"/>
        </w:rPr>
      </w:pPr>
      <w:r w:rsidRPr="001164E5">
        <w:rPr>
          <w:u w:val="single"/>
        </w:rPr>
        <w:t>Sortiment prodávaného zboží a výrobků v Bufetu</w:t>
      </w:r>
    </w:p>
    <w:p w:rsidR="001164E5" w:rsidP="001E629A">
      <w:pPr>
        <w:pStyle w:val="Heading2"/>
      </w:pPr>
      <w:r>
        <w:t>Nájemce je povinen v Nebytových prostorech prodávat zboží a výrobky převážně potravinářského charakteru.</w:t>
      </w:r>
    </w:p>
    <w:p w:rsidR="001164E5" w:rsidP="001E629A">
      <w:pPr>
        <w:pStyle w:val="Heading2"/>
      </w:pPr>
      <w:r>
        <w:t>Nájemce není oprávněn v Nebytových prostorech prodávat alkohol o obsahu nad 20 %, cigarety, zahřívané tabákové výrobky, elektronické cigarety, nebo výrobky odporující dobrým mravům či dobrému jménu Pronajímatele.</w:t>
      </w:r>
    </w:p>
    <w:p w:rsidR="001164E5" w:rsidRPr="00D4525F" w:rsidP="001E629A">
      <w:pPr>
        <w:pStyle w:val="Heading2"/>
      </w:pPr>
      <w:r w:rsidRPr="00D4525F">
        <w:t xml:space="preserve">Nájemce je povinen v Nebytových prostorech prodávat zboží a výrobky za ceny, které nepřevýší průměr cen téhož zboží a výrobků prodávaných ve stejné době za ceny obvyklé v místě prodeje. Pronajímatel si vyhrazuje právo sledovat cenovou hladinu prodávaného zboží a v případě neshody na toto písemně Nájemce upozornit. Pokud Nájemce neshodu ve stanoveném termínu neodstraní, je Pronajímatel oprávněn od Smlouvy v souladu s článkem </w:t>
      </w:r>
      <w:r w:rsidRPr="00D4525F" w:rsidR="00D4525F">
        <w:t>13.3 písm. d)</w:t>
      </w:r>
      <w:r w:rsidRPr="00D4525F">
        <w:t xml:space="preserve"> odstoupit. </w:t>
      </w:r>
    </w:p>
    <w:p w:rsidR="00235ECF" w:rsidP="007574A6">
      <w:pPr>
        <w:pStyle w:val="Heading1"/>
      </w:pPr>
      <w:r>
        <w:t xml:space="preserve">výše </w:t>
      </w:r>
      <w:r>
        <w:t>nájemné</w:t>
      </w:r>
      <w:r>
        <w:t>ho</w:t>
      </w:r>
      <w:r>
        <w:t xml:space="preserve"> a jeho úpravy</w:t>
      </w:r>
    </w:p>
    <w:p w:rsidR="00235ECF" w:rsidP="00235ECF">
      <w:pPr>
        <w:pStyle w:val="Heading2"/>
      </w:pPr>
      <w:r>
        <w:t>Nájemce se zavazuje hradit Pronajímateli za užívání Nebytových prostor měsíční nájemné (dále jen „</w:t>
      </w:r>
      <w:r w:rsidRPr="00235ECF">
        <w:rPr>
          <w:b/>
          <w:bCs w:val="0"/>
        </w:rPr>
        <w:t>Nájemné</w:t>
      </w:r>
      <w:r>
        <w:t xml:space="preserve">“) </w:t>
      </w:r>
      <w:r w:rsidR="00664C07">
        <w:t xml:space="preserve">ve výši </w:t>
      </w:r>
      <w:r w:rsidR="00664C07">
        <w:rPr>
          <w:rFonts w:cs="Arial"/>
        </w:rPr>
        <w:t>[</w:t>
      </w:r>
      <w:r w:rsidRPr="007574A6" w:rsidR="00664C07">
        <w:rPr>
          <w:highlight w:val="green"/>
        </w:rPr>
        <w:t>doplní Pronajímatel před podpisem Smlouvy podle nabídky vybraného Nájemce</w:t>
      </w:r>
      <w:r w:rsidR="00664C07">
        <w:rPr>
          <w:rFonts w:cs="Arial"/>
        </w:rPr>
        <w:t>]</w:t>
      </w:r>
      <w:r>
        <w:t>. Výše Nájemného byla stanovena dohodou Smluvních stran a odpovídá výši, která je v lokalitě Nebytových prostor a v době uzavření Smlouvy obvyklá.</w:t>
      </w:r>
    </w:p>
    <w:p w:rsidR="00664C07" w:rsidRPr="002021C3" w:rsidP="00664C07">
      <w:pPr>
        <w:pStyle w:val="Heading2"/>
      </w:pPr>
      <w:r w:rsidRPr="002021C3">
        <w:t>Vzhledem k tomu, že Smlouva naplňuje podmínky osvobození od daně z přidané hodnoty podle § 56a odst. 1 zákona č. 235/2004 Sb., o dani z přidané hodnoty, ve znění pozdějších předpisů (dále jen „</w:t>
      </w:r>
      <w:r w:rsidRPr="002021C3">
        <w:rPr>
          <w:b/>
          <w:bCs w:val="0"/>
        </w:rPr>
        <w:t>Zákon o DPH</w:t>
      </w:r>
      <w:r w:rsidRPr="002021C3">
        <w:t xml:space="preserve">“), dohodly se Smluvní strany, že výše Nájemného uvedená v článku </w:t>
      </w:r>
      <w:r w:rsidR="00B04100">
        <w:t>4</w:t>
      </w:r>
      <w:r w:rsidRPr="002021C3">
        <w:t xml:space="preserve">.1 Smlouvy je cenou konečnou. </w:t>
      </w:r>
    </w:p>
    <w:p w:rsidR="00235ECF" w:rsidP="00235ECF">
      <w:pPr>
        <w:pStyle w:val="Heading2"/>
        <w:rPr>
          <w:rFonts w:cs="Arial"/>
        </w:rPr>
      </w:pPr>
      <w:r>
        <w:t xml:space="preserve">Nájemné je splatné nejpozději do </w:t>
      </w:r>
      <w:r w:rsidR="00A80935">
        <w:t>15</w:t>
      </w:r>
      <w:r>
        <w:t>. dne kalendářního měsíce, za kter</w:t>
      </w:r>
      <w:r w:rsidR="00D60323">
        <w:t>ý</w:t>
      </w:r>
      <w:r>
        <w:t xml:space="preserve"> je Nájemné hrazeno, </w:t>
      </w:r>
      <w:r w:rsidR="00D60323">
        <w:br/>
      </w:r>
      <w:r>
        <w:t xml:space="preserve">a to bezhotovostním převodem na účet Pronajímatele uvedený v záhlaví Smlouvy, popř. na účet řádně oznámený postupem podle Smlouvy. </w:t>
      </w:r>
      <w:r>
        <w:rPr>
          <w:rFonts w:cs="Arial"/>
        </w:rPr>
        <w:t>[</w:t>
      </w:r>
      <w:r w:rsidRPr="00235ECF">
        <w:rPr>
          <w:highlight w:val="green"/>
        </w:rPr>
        <w:t xml:space="preserve">v případě požadavku Nájemce je možné upravit na čtvrtletní Nájemné. V tom případě </w:t>
      </w:r>
      <w:r>
        <w:rPr>
          <w:highlight w:val="green"/>
        </w:rPr>
        <w:t>Pronajímatel před podpisem Smlouvy</w:t>
      </w:r>
      <w:r w:rsidRPr="00235ECF">
        <w:rPr>
          <w:highlight w:val="green"/>
        </w:rPr>
        <w:t xml:space="preserve"> adekvátně uprav</w:t>
      </w:r>
      <w:r>
        <w:rPr>
          <w:highlight w:val="green"/>
        </w:rPr>
        <w:t>í</w:t>
      </w:r>
      <w:r w:rsidRPr="00235ECF">
        <w:rPr>
          <w:highlight w:val="green"/>
        </w:rPr>
        <w:t xml:space="preserve"> články </w:t>
      </w:r>
      <w:r w:rsidR="00B04100">
        <w:rPr>
          <w:highlight w:val="green"/>
        </w:rPr>
        <w:t>4</w:t>
      </w:r>
      <w:r w:rsidRPr="00235ECF">
        <w:rPr>
          <w:highlight w:val="green"/>
        </w:rPr>
        <w:t xml:space="preserve">.1, </w:t>
      </w:r>
      <w:r w:rsidR="00B04100">
        <w:rPr>
          <w:highlight w:val="green"/>
        </w:rPr>
        <w:t>4</w:t>
      </w:r>
      <w:r w:rsidRPr="00235ECF">
        <w:rPr>
          <w:highlight w:val="green"/>
        </w:rPr>
        <w:t xml:space="preserve">.2 a </w:t>
      </w:r>
      <w:r w:rsidR="00B04100">
        <w:rPr>
          <w:highlight w:val="green"/>
        </w:rPr>
        <w:t>4</w:t>
      </w:r>
      <w:r w:rsidRPr="00235ECF">
        <w:rPr>
          <w:highlight w:val="green"/>
        </w:rPr>
        <w:t>.3 Smlouvy</w:t>
      </w:r>
      <w:r>
        <w:rPr>
          <w:rFonts w:cs="Arial"/>
        </w:rPr>
        <w:t>]</w:t>
      </w:r>
    </w:p>
    <w:p w:rsidR="00235ECF" w:rsidP="00235ECF">
      <w:pPr>
        <w:rPr>
          <w:u w:val="single"/>
        </w:rPr>
      </w:pPr>
      <w:r w:rsidRPr="00235ECF">
        <w:rPr>
          <w:u w:val="single"/>
        </w:rPr>
        <w:t>Úpravy Nájemného</w:t>
      </w:r>
    </w:p>
    <w:p w:rsidR="00235ECF" w:rsidRPr="00235ECF" w:rsidP="00235ECF">
      <w:pPr>
        <w:pStyle w:val="Heading2"/>
      </w:pPr>
      <w:r w:rsidRPr="00235ECF">
        <w:t xml:space="preserve">Pronajímatel je oprávněn zvyšovat Nájemné </w:t>
      </w:r>
      <w:r w:rsidR="00664C07">
        <w:t xml:space="preserve">vždy </w:t>
      </w:r>
      <w:r w:rsidRPr="00235ECF">
        <w:t>k 1. dubnu každého kalendářního roku (dále jen „</w:t>
      </w:r>
      <w:r w:rsidRPr="00235ECF">
        <w:rPr>
          <w:b/>
        </w:rPr>
        <w:t>Den indexace</w:t>
      </w:r>
      <w:r w:rsidRPr="00235ECF">
        <w:t>“), poprvé v roce 202</w:t>
      </w:r>
      <w:r>
        <w:t>7</w:t>
      </w:r>
      <w:r w:rsidRPr="00235ECF">
        <w:t>, a to o hodnotu odpovídající průměrné roční míry inflace k 31. 12. předchozího kalendářního roku vyjádřené přírůstkem průměrného ročního indexu spotřebitelských cen a zveřejňované Českým statistickým úřadem (</w:t>
      </w:r>
      <w:r>
        <w:fldChar w:fldCharType="begin"/>
      </w:r>
      <w:r>
        <w:instrText xml:space="preserve"> HYPERLINK "http://www.csu.gov.cz" </w:instrText>
      </w:r>
      <w:r>
        <w:fldChar w:fldCharType="separate"/>
      </w:r>
      <w:r w:rsidRPr="00F037F7">
        <w:rPr>
          <w:rStyle w:val="Hyperlink"/>
        </w:rPr>
        <w:t>www.csu.gov.cz</w:t>
      </w:r>
      <w:r>
        <w:fldChar w:fldCharType="end"/>
      </w:r>
      <w:r>
        <w:t xml:space="preserve">). </w:t>
      </w:r>
    </w:p>
    <w:p w:rsidR="00235ECF" w:rsidP="00235ECF">
      <w:pPr>
        <w:pStyle w:val="Heading2"/>
      </w:pPr>
      <w:r w:rsidRPr="00235ECF">
        <w:t xml:space="preserve">Dojde-li ke zvýšení Nájemného, vypočte Pronajímatel novou výši Nájemného a oznámí ji Nájemci nejpozději </w:t>
      </w:r>
      <w:r w:rsidR="00A24B28">
        <w:t xml:space="preserve">do </w:t>
      </w:r>
      <w:r w:rsidRPr="00235ECF">
        <w:t>28. února příslušného kalendářního roku. Nájemce je povinen hradit novou výši Nájemného od příslušného Dne indexace.</w:t>
      </w:r>
    </w:p>
    <w:p w:rsidR="00235ECF" w:rsidP="00235ECF">
      <w:pPr>
        <w:pStyle w:val="Heading2"/>
      </w:pPr>
      <w:r w:rsidRPr="00235ECF">
        <w:t xml:space="preserve">Součástí oznámení, jehož prostřednictvím Pronajímatel informuje Nájemce o nové výši Nájemného </w:t>
      </w:r>
      <w:r w:rsidR="00664C07">
        <w:t>podle</w:t>
      </w:r>
      <w:r w:rsidRPr="00235ECF">
        <w:t xml:space="preserve"> článk</w:t>
      </w:r>
      <w:r w:rsidR="00664C07">
        <w:t>u</w:t>
      </w:r>
      <w:r w:rsidRPr="00235ECF">
        <w:t xml:space="preserve"> </w:t>
      </w:r>
      <w:r w:rsidR="00B04100">
        <w:t>4</w:t>
      </w:r>
      <w:r>
        <w:t>.</w:t>
      </w:r>
      <w:r w:rsidR="00B04100">
        <w:t>5</w:t>
      </w:r>
      <w:r w:rsidRPr="00235ECF">
        <w:t xml:space="preserve"> Smlouvy, Pronajímatel dále uvede předpis Nájemného na následujících 12 kalendářních měsíců (období duben až březen).</w:t>
      </w:r>
    </w:p>
    <w:p w:rsidR="00235ECF" w:rsidP="00235ECF">
      <w:pPr>
        <w:pStyle w:val="Heading2"/>
      </w:pPr>
      <w:r w:rsidRPr="00235ECF">
        <w:t xml:space="preserve">Úprava Nájemného nemá za následek jeho snížení. Dojde-li k tomu, že bude hodnota průměrné roční míry inflace kalendářního roku předcházejícího Dni indexace taková, že by to vedlo </w:t>
      </w:r>
      <w:r>
        <w:br/>
      </w:r>
      <w:r w:rsidRPr="00235ECF">
        <w:t>k meziročnímu snížení Nájemného, nebude Nájemné v daném roce upravováno.</w:t>
      </w:r>
    </w:p>
    <w:p w:rsidR="00235ECF" w:rsidRPr="00235ECF" w:rsidP="00235ECF">
      <w:pPr>
        <w:pStyle w:val="Heading2"/>
      </w:pPr>
      <w:r w:rsidRPr="00235ECF">
        <w:t>V případě, že průměrná roční míra inflace přestane být z jakéhokoliv důvodu nadále publikována, nahradí ji jiný podobný index nebo srovnatelný statistický údaj vyhlašovaný příslušném orgánem, který Pronajímatel podle svého rozumného uvážení zvolí.</w:t>
      </w:r>
    </w:p>
    <w:p w:rsidR="00235ECF" w:rsidP="007574A6">
      <w:pPr>
        <w:pStyle w:val="Heading1"/>
      </w:pPr>
      <w:r>
        <w:t>výše nájmu movitého vybavení nebytových prostor</w:t>
      </w:r>
    </w:p>
    <w:p w:rsidR="00235ECF" w:rsidP="00235ECF">
      <w:pPr>
        <w:pStyle w:val="Heading2"/>
      </w:pPr>
      <w:r>
        <w:t>V souvislosti s nájmem Nebytových prostor přenechává Pronajímatel Nájemci</w:t>
      </w:r>
      <w:r w:rsidR="00A24B28">
        <w:t xml:space="preserve"> k dočasnému </w:t>
      </w:r>
      <w:r>
        <w:t>užívání movité vybavení Nebytových prostor (dále jen „</w:t>
      </w:r>
      <w:r w:rsidRPr="00235ECF">
        <w:rPr>
          <w:b/>
          <w:bCs w:val="0"/>
        </w:rPr>
        <w:t>Movité vybavení</w:t>
      </w:r>
      <w:r>
        <w:t xml:space="preserve">“), jehož seznam </w:t>
      </w:r>
      <w:r w:rsidR="00664C07">
        <w:t xml:space="preserve">je uveden v Příloze č. 3 Smlouvy </w:t>
      </w:r>
      <w:r>
        <w:t xml:space="preserve">– </w:t>
      </w:r>
      <w:r w:rsidR="00900ADC">
        <w:t xml:space="preserve">Seznam </w:t>
      </w:r>
      <w:r>
        <w:t>Movité</w:t>
      </w:r>
      <w:r w:rsidR="00900ADC">
        <w:t>ho</w:t>
      </w:r>
      <w:r>
        <w:t xml:space="preserve"> vybavení.</w:t>
      </w:r>
    </w:p>
    <w:p w:rsidR="003D1E11" w:rsidRPr="003D1E11" w:rsidP="003D1E11">
      <w:pPr>
        <w:pStyle w:val="Heading2"/>
      </w:pPr>
      <w:r>
        <w:t>Nájemné za užívání</w:t>
      </w:r>
      <w:r w:rsidR="00235ECF">
        <w:t xml:space="preserve"> Movitého vybavení </w:t>
      </w:r>
      <w:r>
        <w:t xml:space="preserve">činí </w:t>
      </w:r>
      <w:r w:rsidRPr="00947833" w:rsidR="00664C07">
        <w:rPr>
          <w:b/>
        </w:rPr>
        <w:t>2</w:t>
      </w:r>
      <w:r w:rsidR="00664C07">
        <w:rPr>
          <w:b/>
        </w:rPr>
        <w:t xml:space="preserve"> </w:t>
      </w:r>
      <w:r w:rsidRPr="00947833" w:rsidR="00664C07">
        <w:rPr>
          <w:b/>
        </w:rPr>
        <w:t>3</w:t>
      </w:r>
      <w:r w:rsidR="00A23143">
        <w:rPr>
          <w:b/>
        </w:rPr>
        <w:t>55</w:t>
      </w:r>
      <w:r w:rsidRPr="00947833" w:rsidR="00664C07">
        <w:rPr>
          <w:b/>
        </w:rPr>
        <w:t>,</w:t>
      </w:r>
      <w:r w:rsidR="00A23143">
        <w:rPr>
          <w:b/>
        </w:rPr>
        <w:t>80</w:t>
      </w:r>
      <w:r w:rsidR="00664C07">
        <w:rPr>
          <w:b/>
        </w:rPr>
        <w:t xml:space="preserve"> Kč</w:t>
      </w:r>
      <w:r w:rsidR="00A24B28">
        <w:rPr>
          <w:b/>
        </w:rPr>
        <w:t xml:space="preserve"> </w:t>
      </w:r>
      <w:r w:rsidRPr="00A24B28" w:rsidR="00A24B28">
        <w:rPr>
          <w:bCs w:val="0"/>
        </w:rPr>
        <w:t>měsíčně</w:t>
      </w:r>
      <w:r>
        <w:t xml:space="preserve">. </w:t>
      </w:r>
      <w:r w:rsidRPr="003D1E11">
        <w:t xml:space="preserve">K </w:t>
      </w:r>
      <w:r>
        <w:t>n</w:t>
      </w:r>
      <w:r w:rsidRPr="003D1E11">
        <w:t xml:space="preserve">ájemnému </w:t>
      </w:r>
      <w:r>
        <w:t xml:space="preserve">za užívání Movitého vybavení </w:t>
      </w:r>
      <w:r w:rsidRPr="003D1E11">
        <w:t>je nutné hradit i příslušnou sazbu daně z přidané hodnoty.</w:t>
      </w:r>
    </w:p>
    <w:p w:rsidR="003D1E11" w:rsidP="003D1E11">
      <w:pPr>
        <w:pStyle w:val="Heading2"/>
        <w:rPr>
          <w:rFonts w:cs="Arial"/>
        </w:rPr>
      </w:pPr>
      <w:r>
        <w:t xml:space="preserve">Nájemné za užívání Movitého vybavení je splatné nejpozději do </w:t>
      </w:r>
      <w:r w:rsidR="00A80935">
        <w:t>15</w:t>
      </w:r>
      <w:r>
        <w:t>. dne kalendářního měsíce, za kter</w:t>
      </w:r>
      <w:r w:rsidR="00D60323">
        <w:t>ý</w:t>
      </w:r>
      <w:r>
        <w:t xml:space="preserve"> je Nájemné za užívání Movitého vybavení hrazeno, a to bezhotovostním převodem na účet Pronajímatele uvedený v záhlaví Smlouvy, popř. na účet řádně oznámený postupem podle Smlouvy. </w:t>
      </w:r>
      <w:r>
        <w:rPr>
          <w:rFonts w:cs="Arial"/>
        </w:rPr>
        <w:t>[</w:t>
      </w:r>
      <w:r w:rsidRPr="00235ECF">
        <w:rPr>
          <w:highlight w:val="green"/>
        </w:rPr>
        <w:t>v případě požadavku Nájemce je možné upravit na čtvrtletní Nájemné</w:t>
      </w:r>
      <w:r>
        <w:rPr>
          <w:highlight w:val="green"/>
        </w:rPr>
        <w:t xml:space="preserve"> za užívání </w:t>
      </w:r>
      <w:r w:rsidR="00004E3D">
        <w:rPr>
          <w:highlight w:val="green"/>
        </w:rPr>
        <w:t>Movitého vybavení</w:t>
      </w:r>
      <w:r w:rsidRPr="00235ECF">
        <w:rPr>
          <w:highlight w:val="green"/>
        </w:rPr>
        <w:t xml:space="preserve">. V tom případě </w:t>
      </w:r>
      <w:r>
        <w:rPr>
          <w:highlight w:val="green"/>
        </w:rPr>
        <w:t>Pronajímatel před podpisem Smlouvy</w:t>
      </w:r>
      <w:r w:rsidRPr="00235ECF">
        <w:rPr>
          <w:highlight w:val="green"/>
        </w:rPr>
        <w:t xml:space="preserve"> adekvátně uprav</w:t>
      </w:r>
      <w:r>
        <w:rPr>
          <w:highlight w:val="green"/>
        </w:rPr>
        <w:t>í</w:t>
      </w:r>
      <w:r w:rsidRPr="00235ECF">
        <w:rPr>
          <w:highlight w:val="green"/>
        </w:rPr>
        <w:t xml:space="preserve"> články </w:t>
      </w:r>
      <w:r w:rsidR="00B04100">
        <w:rPr>
          <w:highlight w:val="green"/>
        </w:rPr>
        <w:t>5</w:t>
      </w:r>
      <w:r>
        <w:rPr>
          <w:highlight w:val="green"/>
        </w:rPr>
        <w:t xml:space="preserve">.1, </w:t>
      </w:r>
      <w:r w:rsidR="00B04100">
        <w:rPr>
          <w:highlight w:val="green"/>
        </w:rPr>
        <w:t>5</w:t>
      </w:r>
      <w:r>
        <w:rPr>
          <w:highlight w:val="green"/>
        </w:rPr>
        <w:t xml:space="preserve">.2 a </w:t>
      </w:r>
      <w:r w:rsidR="00B04100">
        <w:rPr>
          <w:highlight w:val="green"/>
        </w:rPr>
        <w:t>5</w:t>
      </w:r>
      <w:r>
        <w:rPr>
          <w:highlight w:val="green"/>
        </w:rPr>
        <w:t>.3</w:t>
      </w:r>
      <w:r w:rsidRPr="00235ECF">
        <w:rPr>
          <w:highlight w:val="green"/>
        </w:rPr>
        <w:t xml:space="preserve"> Smlouvy</w:t>
      </w:r>
      <w:r>
        <w:rPr>
          <w:rFonts w:cs="Arial"/>
        </w:rPr>
        <w:t>]</w:t>
      </w:r>
    </w:p>
    <w:p w:rsidR="00A80935" w:rsidP="003D1E11">
      <w:pPr>
        <w:pStyle w:val="Heading2"/>
      </w:pPr>
      <w:r>
        <w:t xml:space="preserve">Pronajímatel preferuje platby Nájemného a nájemného za užívání Movitého vybavení (včetně příslušné sazby daně z přidané hodnoty) jednou platbou. </w:t>
      </w:r>
    </w:p>
    <w:p w:rsidR="003D1E11" w:rsidP="003D1E11">
      <w:pPr>
        <w:pStyle w:val="Heading2"/>
      </w:pPr>
      <w:r>
        <w:t xml:space="preserve">Nájemce bere na vědomí, že Movité vybavení je označeno inventárními štítky Pronajímatele. Pronajímatel je oprávněn provádět pravidelnou inventarizaci Movitého vybavení, k němuž je Nájemce povinen poskytnout Pronajímateli adekvátní součinnost. </w:t>
      </w:r>
    </w:p>
    <w:p w:rsidR="003D1E11" w:rsidP="003D1E11">
      <w:pPr>
        <w:pStyle w:val="Heading2"/>
      </w:pPr>
      <w:r>
        <w:t xml:space="preserve">Smluvní strany mohou po předchozí dohodě provádět úpravy Movitého vybavení. Nová výše nájemného za užívání Movitého vybavení bude hrazena od 1. dne měsíce následujícího po doručení písemného oznámení Pronajímatele o provedení této změny. Součástí oznámení bude též upravená </w:t>
      </w:r>
      <w:r w:rsidR="00664C07">
        <w:t xml:space="preserve">Příloha č. </w:t>
      </w:r>
      <w:r w:rsidR="00900ADC">
        <w:t>2 Smlouvy</w:t>
      </w:r>
      <w:r w:rsidR="00664C07">
        <w:t xml:space="preserve"> – </w:t>
      </w:r>
      <w:r>
        <w:t xml:space="preserve">Cenová kalkulace. </w:t>
      </w:r>
    </w:p>
    <w:p w:rsidR="003D1E11" w:rsidP="003D1E11">
      <w:pPr>
        <w:pStyle w:val="Heading1"/>
      </w:pPr>
      <w:r>
        <w:t>služby spojené s užíváním nebytových prostor</w:t>
      </w:r>
    </w:p>
    <w:p w:rsidR="003D1E11" w:rsidP="003D1E11">
      <w:pPr>
        <w:pStyle w:val="Heading2"/>
      </w:pPr>
      <w:r>
        <w:t xml:space="preserve">Nájemce se zavazuje </w:t>
      </w:r>
      <w:r w:rsidR="00A24B28">
        <w:t xml:space="preserve">hradit </w:t>
      </w:r>
      <w:r>
        <w:t>Pronajímatel</w:t>
      </w:r>
      <w:r w:rsidR="00664C07">
        <w:t>i</w:t>
      </w:r>
      <w:r>
        <w:t xml:space="preserve"> měsíčně zálohy na služby spojené s užíváním Nebytových prostor, jež jsou Pronajímatelem poskytovány nebo zajišťovány (dále jen „</w:t>
      </w:r>
      <w:r w:rsidRPr="00664C07">
        <w:rPr>
          <w:b/>
          <w:bCs w:val="0"/>
        </w:rPr>
        <w:t>Služby</w:t>
      </w:r>
      <w:r>
        <w:t>“), přičemž Službami se pro účely Smlouvy rozumí:</w:t>
      </w:r>
    </w:p>
    <w:p w:rsidR="003D1E11" w:rsidRPr="003D1E11" w:rsidP="003D1E11">
      <w:pPr>
        <w:ind w:left="567"/>
        <w:rPr>
          <w:u w:val="single"/>
        </w:rPr>
      </w:pPr>
      <w:r w:rsidRPr="003D1E11">
        <w:rPr>
          <w:u w:val="single"/>
        </w:rPr>
        <w:t>Služby podléhající vyúčtování (dále jen „</w:t>
      </w:r>
      <w:r w:rsidRPr="003D1E11">
        <w:rPr>
          <w:b/>
          <w:bCs/>
          <w:u w:val="single"/>
        </w:rPr>
        <w:t>Zálohy</w:t>
      </w:r>
      <w:r w:rsidRPr="003D1E11">
        <w:rPr>
          <w:u w:val="single"/>
        </w:rPr>
        <w:t>“)</w:t>
      </w:r>
    </w:p>
    <w:p w:rsidR="003D1E11" w:rsidP="003D1E11">
      <w:pPr>
        <w:pStyle w:val="Heading4"/>
      </w:pPr>
      <w:r>
        <w:t>elektrické energie (podle podružného měření);</w:t>
      </w:r>
    </w:p>
    <w:p w:rsidR="003D1E11" w:rsidRPr="00D60323" w:rsidP="003D1E11">
      <w:pPr>
        <w:pStyle w:val="Heading4"/>
      </w:pPr>
      <w:r>
        <w:t xml:space="preserve">vodné, </w:t>
      </w:r>
      <w:r w:rsidRPr="003D1E11">
        <w:t xml:space="preserve">odvádění odpadních </w:t>
      </w:r>
      <w:r w:rsidRPr="00D60323">
        <w:t xml:space="preserve">vod (podle směrných čísel </w:t>
      </w:r>
      <w:r w:rsidRPr="00D60323" w:rsidR="00D60323">
        <w:t xml:space="preserve">roční </w:t>
      </w:r>
      <w:r w:rsidRPr="00D60323">
        <w:t xml:space="preserve">potřeby vody – Příloha č. 12 vyhlášky č. 120/2011 Sb., kterou se mění vyhláška Ministerstva zemědělství </w:t>
      </w:r>
      <w:r w:rsidR="008B4B61">
        <w:br/>
      </w:r>
      <w:r w:rsidRPr="00D60323">
        <w:t>č. 428/2001 Sb., kterou se provádí zákon č. 274/2001 Sb., o vodovodech a kanalizacích pro veřejnou potřebu a o změně některých zákonů (zákon o vodovodech a kanalizacích), ve znění pozdějších předpisů);</w:t>
      </w:r>
    </w:p>
    <w:p w:rsidR="003D1E11" w:rsidRPr="00D60323" w:rsidP="003D1E11">
      <w:pPr>
        <w:ind w:left="567"/>
        <w:rPr>
          <w:u w:val="single"/>
        </w:rPr>
      </w:pPr>
      <w:r w:rsidRPr="00D60323">
        <w:rPr>
          <w:u w:val="single"/>
        </w:rPr>
        <w:t>Služby paušální (dále jen „</w:t>
      </w:r>
      <w:r w:rsidRPr="00D60323">
        <w:rPr>
          <w:b/>
          <w:bCs/>
          <w:u w:val="single"/>
        </w:rPr>
        <w:t>Platby</w:t>
      </w:r>
      <w:r w:rsidRPr="00D60323">
        <w:rPr>
          <w:u w:val="single"/>
        </w:rPr>
        <w:t>“)</w:t>
      </w:r>
    </w:p>
    <w:p w:rsidR="003D1E11" w:rsidP="003D1E11">
      <w:pPr>
        <w:pStyle w:val="Heading4"/>
      </w:pPr>
      <w:r>
        <w:t>svoz a likvidace odpadu</w:t>
      </w:r>
      <w:r w:rsidR="00D60323">
        <w:t>.</w:t>
      </w:r>
    </w:p>
    <w:p w:rsidR="00D60323" w:rsidP="00D60323">
      <w:pPr>
        <w:pStyle w:val="Heading2"/>
      </w:pPr>
      <w:r>
        <w:t>Výše Záloh a Plateb na jednotlivé Služby je uvedena v</w:t>
      </w:r>
      <w:r w:rsidR="00664C07">
        <w:t xml:space="preserve"> Příloze č. </w:t>
      </w:r>
      <w:r w:rsidR="00900ADC">
        <w:t>2</w:t>
      </w:r>
      <w:r w:rsidR="00664C07">
        <w:t xml:space="preserve"> </w:t>
      </w:r>
      <w:r w:rsidR="00900ADC">
        <w:t>Smlouv</w:t>
      </w:r>
      <w:r w:rsidR="00000B4D">
        <w:t xml:space="preserve">y </w:t>
      </w:r>
      <w:r w:rsidR="00664C07">
        <w:t>– Cenová kalkulace</w:t>
      </w:r>
      <w:r>
        <w:t>.</w:t>
      </w:r>
    </w:p>
    <w:p w:rsidR="00D60323" w:rsidP="00D60323">
      <w:pPr>
        <w:pStyle w:val="Heading2"/>
        <w:rPr>
          <w:rFonts w:cs="Arial"/>
        </w:rPr>
      </w:pPr>
      <w:r>
        <w:t xml:space="preserve">Zálohy a Platby za Služby uvedené v článku </w:t>
      </w:r>
      <w:r w:rsidR="00B04100">
        <w:t>6</w:t>
      </w:r>
      <w:r>
        <w:t xml:space="preserve">.1 Smlouvy jsou splatné nejpozději do </w:t>
      </w:r>
      <w:r w:rsidR="00A80935">
        <w:t>15</w:t>
      </w:r>
      <w:r>
        <w:t xml:space="preserve">. dne kalendářního měsíce, za který jsou Služby poskytovány nebo zajišťovány, a to bezhotovostním převodem na účet Pronajímatele uvedený v záhlaví Smlouvy, popř. na účet řádně oznámený postupem podle Smlouvy. </w:t>
      </w:r>
      <w:r>
        <w:rPr>
          <w:rFonts w:cs="Arial"/>
        </w:rPr>
        <w:t>[</w:t>
      </w:r>
      <w:r w:rsidRPr="00235ECF">
        <w:rPr>
          <w:highlight w:val="green"/>
        </w:rPr>
        <w:t xml:space="preserve">v případě požadavku Nájemce je možné upravit na čtvrtletní </w:t>
      </w:r>
      <w:r>
        <w:rPr>
          <w:highlight w:val="green"/>
        </w:rPr>
        <w:t xml:space="preserve">Zálohy </w:t>
      </w:r>
      <w:r w:rsidR="00D332C4">
        <w:rPr>
          <w:highlight w:val="green"/>
        </w:rPr>
        <w:br/>
      </w:r>
      <w:r>
        <w:rPr>
          <w:highlight w:val="green"/>
        </w:rPr>
        <w:t>a Plat</w:t>
      </w:r>
      <w:r w:rsidR="00E03414">
        <w:rPr>
          <w:highlight w:val="green"/>
        </w:rPr>
        <w:t>by</w:t>
      </w:r>
      <w:r w:rsidRPr="00235ECF">
        <w:rPr>
          <w:highlight w:val="green"/>
        </w:rPr>
        <w:t xml:space="preserve">. V tom případě </w:t>
      </w:r>
      <w:r>
        <w:rPr>
          <w:highlight w:val="green"/>
        </w:rPr>
        <w:t>Pronajímatel před podpisem Smlouvy</w:t>
      </w:r>
      <w:r w:rsidRPr="00235ECF">
        <w:rPr>
          <w:highlight w:val="green"/>
        </w:rPr>
        <w:t xml:space="preserve"> adekvátně uprav</w:t>
      </w:r>
      <w:r>
        <w:rPr>
          <w:highlight w:val="green"/>
        </w:rPr>
        <w:t>í</w:t>
      </w:r>
      <w:r w:rsidRPr="00235ECF">
        <w:rPr>
          <w:highlight w:val="green"/>
        </w:rPr>
        <w:t xml:space="preserve"> články </w:t>
      </w:r>
      <w:r w:rsidR="00B04100">
        <w:rPr>
          <w:highlight w:val="green"/>
        </w:rPr>
        <w:t>6</w:t>
      </w:r>
      <w:r>
        <w:rPr>
          <w:highlight w:val="green"/>
        </w:rPr>
        <w:t xml:space="preserve">.1 a </w:t>
      </w:r>
      <w:r w:rsidR="00B04100">
        <w:rPr>
          <w:highlight w:val="green"/>
        </w:rPr>
        <w:t>6</w:t>
      </w:r>
      <w:r>
        <w:rPr>
          <w:highlight w:val="green"/>
        </w:rPr>
        <w:t>.3</w:t>
      </w:r>
      <w:r w:rsidRPr="00235ECF">
        <w:rPr>
          <w:highlight w:val="green"/>
        </w:rPr>
        <w:t xml:space="preserve"> Smlouvy</w:t>
      </w:r>
      <w:r>
        <w:rPr>
          <w:rFonts w:cs="Arial"/>
        </w:rPr>
        <w:t>]</w:t>
      </w:r>
    </w:p>
    <w:p w:rsidR="00D60323" w:rsidP="00D60323">
      <w:pPr>
        <w:pStyle w:val="Heading2"/>
      </w:pPr>
      <w:r>
        <w:t xml:space="preserve">Smluvní strany se dohodly, že vylučují jakékoliv navýšení cen za Služby z důvodu inflace. Pronajímatel je však oprávněn provádět úpravy Záloh a Plateb </w:t>
      </w:r>
      <w:r w:rsidR="00A24B28">
        <w:t>n</w:t>
      </w:r>
      <w:r>
        <w:t xml:space="preserve">a Služby, maximálně však 1x ročně vždy k 1. </w:t>
      </w:r>
      <w:r w:rsidR="00A80935">
        <w:t>dubnu</w:t>
      </w:r>
      <w:r>
        <w:t xml:space="preserve"> na následujících 12 kalendářních měsíců. Pronajímatel je povinen takové změny písemně oznámit Nájemci nejpozději do </w:t>
      </w:r>
      <w:r w:rsidR="00A80935">
        <w:t>28</w:t>
      </w:r>
      <w:r>
        <w:t xml:space="preserve">. </w:t>
      </w:r>
      <w:r w:rsidR="00A80935">
        <w:t>únor</w:t>
      </w:r>
      <w:r>
        <w:t xml:space="preserve">a. </w:t>
      </w:r>
      <w:r w:rsidR="00B04100">
        <w:t xml:space="preserve">Součástí oznámení bude též upravená Příloha č. </w:t>
      </w:r>
      <w:r w:rsidR="00900ADC">
        <w:t>2</w:t>
      </w:r>
      <w:r w:rsidR="00B04100">
        <w:t xml:space="preserve"> </w:t>
      </w:r>
      <w:r w:rsidR="00000B4D">
        <w:t xml:space="preserve">Smlouvy </w:t>
      </w:r>
      <w:r w:rsidR="00B04100">
        <w:t>– Cenová kalkulace.</w:t>
      </w:r>
    </w:p>
    <w:p w:rsidR="00D60323" w:rsidP="00D60323">
      <w:pPr>
        <w:rPr>
          <w:u w:val="single"/>
        </w:rPr>
      </w:pPr>
      <w:r w:rsidRPr="00D60323">
        <w:rPr>
          <w:u w:val="single"/>
        </w:rPr>
        <w:t>Vyúčtování Záloh na Služby</w:t>
      </w:r>
    </w:p>
    <w:p w:rsidR="00D60323" w:rsidP="00D60323">
      <w:pPr>
        <w:pStyle w:val="Heading2"/>
      </w:pPr>
      <w:r>
        <w:t>Pronajímatel je povinen provádět vyúčtování Záloh na Služby uveden</w:t>
      </w:r>
      <w:r w:rsidR="00664C07">
        <w:t>ých</w:t>
      </w:r>
      <w:r>
        <w:t xml:space="preserve"> v článku 6.1 písm. a) </w:t>
      </w:r>
      <w:r>
        <w:br/>
        <w:t>a písm. b) Smlouvy vždy k 30. dubnu za předcházející kalendářní rok (dále jen „</w:t>
      </w:r>
      <w:r w:rsidRPr="00D60323">
        <w:rPr>
          <w:b/>
          <w:bCs w:val="0"/>
        </w:rPr>
        <w:t>Vyúčtování</w:t>
      </w:r>
      <w:r>
        <w:t>“).</w:t>
      </w:r>
    </w:p>
    <w:p w:rsidR="00DD611D" w:rsidP="00DD611D">
      <w:pPr>
        <w:pStyle w:val="Heading2"/>
      </w:pPr>
      <w:r>
        <w:t xml:space="preserve">Vznikne-li na základě Vyúčtování podle článku </w:t>
      </w:r>
      <w:r w:rsidR="00B04100">
        <w:t>6</w:t>
      </w:r>
      <w:r>
        <w:t>.5 Smlouvy přeplatek, je Pronajímatel povinen tento v plné výši vrátit na bankovní účet Nájemce uvedený v záhlaví Smlouvy nebo na bankovní účet řádně oznámen</w:t>
      </w:r>
      <w:r w:rsidR="00A24B28">
        <w:t>ý</w:t>
      </w:r>
      <w:r>
        <w:t xml:space="preserve"> postupem podle Smlouvy, pokud se Smluvní strany nedohodnou jinak.</w:t>
      </w:r>
    </w:p>
    <w:p w:rsidR="00DD611D" w:rsidP="00DD611D">
      <w:pPr>
        <w:pStyle w:val="Heading2"/>
      </w:pPr>
      <w:r>
        <w:t xml:space="preserve">Vznikne-li na základě Vyúčtování podle článku </w:t>
      </w:r>
      <w:r w:rsidR="00B04100">
        <w:t>6</w:t>
      </w:r>
      <w:r>
        <w:t>.5 Smlouvy nedoplatek, je Nájemce povinen tento v plné výši uhradit na bankovní účet Pronajímatele uvedený na daňovém dokladu vystaveném Pronajímatelem (dále jen „</w:t>
      </w:r>
      <w:r w:rsidRPr="00DD611D">
        <w:rPr>
          <w:b/>
          <w:bCs w:val="0"/>
        </w:rPr>
        <w:t>Faktura</w:t>
      </w:r>
      <w:r>
        <w:t>“), popř. na bankovní účet řádně oznámený postupem podle Smlouvy.</w:t>
      </w:r>
    </w:p>
    <w:p w:rsidR="00DD611D" w:rsidRPr="003D2C09" w:rsidP="00FF2338">
      <w:pPr>
        <w:pStyle w:val="Heading2"/>
        <w:rPr>
          <w:i/>
        </w:rPr>
      </w:pPr>
      <w:r>
        <w:t xml:space="preserve">Faktura vystavená v elektronické podobě </w:t>
      </w:r>
      <w:r>
        <w:t xml:space="preserve">bude zaslána na e-mailovou adresu </w:t>
      </w:r>
      <w:r w:rsidR="00A24B28">
        <w:t>o</w:t>
      </w:r>
      <w:r>
        <w:t>právněné osoby Nájemce</w:t>
      </w:r>
      <w:r w:rsidR="00A24B28">
        <w:t xml:space="preserve"> uvedené v článku 15.3 písm. b) Smlouvy (dále jen „</w:t>
      </w:r>
      <w:r w:rsidRPr="00A24B28" w:rsidR="00A24B28">
        <w:rPr>
          <w:b/>
          <w:bCs w:val="0"/>
        </w:rPr>
        <w:t>Oprávněná osoba Nájemce</w:t>
      </w:r>
      <w:r w:rsidR="00A24B28">
        <w:t>“)</w:t>
      </w:r>
      <w:r>
        <w:t xml:space="preserve"> nebo do datové schránky Nájemce</w:t>
      </w:r>
      <w:r>
        <w:t>, popř. do řádně oznámené datové schránky či na adresu oznámenou postupem podle Smlouvy</w:t>
      </w:r>
      <w:r>
        <w:t xml:space="preserve">. </w:t>
      </w:r>
      <w:r>
        <w:t xml:space="preserve">V případě předchozího požadavku Nájemce Pronajímatel vystaví Fakturu v </w:t>
      </w:r>
      <w:r>
        <w:t>listinné podobě</w:t>
      </w:r>
      <w:r>
        <w:t xml:space="preserve">, v takovém případě bude Faktura zaslána </w:t>
      </w:r>
      <w:r>
        <w:t xml:space="preserve">na adresu </w:t>
      </w:r>
      <w:r w:rsidRPr="00A24B28">
        <w:rPr>
          <w:highlight w:val="green"/>
        </w:rPr>
        <w:t xml:space="preserve">trvalého bydliště nebo </w:t>
      </w:r>
      <w:r w:rsidRPr="00A24B28">
        <w:rPr>
          <w:highlight w:val="green"/>
        </w:rPr>
        <w:t>sídla</w:t>
      </w:r>
      <w:r>
        <w:t xml:space="preserve"> Pronajímatele uveden</w:t>
      </w:r>
      <w:r>
        <w:t>ou</w:t>
      </w:r>
      <w:r>
        <w:t xml:space="preserve"> v záhlaví Smlouvy</w:t>
      </w:r>
      <w:r>
        <w:t xml:space="preserve">, popř. na adresu oznámenou postupem podle Smlouvy. </w:t>
      </w:r>
    </w:p>
    <w:p w:rsidR="00DD611D" w:rsidP="00DD611D">
      <w:pPr>
        <w:pStyle w:val="Heading2"/>
      </w:pPr>
      <w:r>
        <w:t xml:space="preserve">Nájemce je oprávněn před uplynutím lhůty splatnosti Faktury vystavené podle článku </w:t>
      </w:r>
      <w:r w:rsidR="00A24B28">
        <w:t>6</w:t>
      </w:r>
      <w:r>
        <w:t xml:space="preserve">.8 Smlouvy požádat oprávněnou osobu Pronajímatele uvedenou v článku </w:t>
      </w:r>
      <w:r w:rsidR="00D332C4">
        <w:t>1</w:t>
      </w:r>
      <w:r w:rsidR="00B04100">
        <w:t>5</w:t>
      </w:r>
      <w:r w:rsidR="00D332C4">
        <w:t>.3 písm. a)</w:t>
      </w:r>
      <w:r>
        <w:t xml:space="preserve"> Smlouvy (dále jen „</w:t>
      </w:r>
      <w:r w:rsidRPr="00DD611D">
        <w:rPr>
          <w:b/>
          <w:bCs w:val="0"/>
        </w:rPr>
        <w:t>Oprávněná osoba Pronajímatele</w:t>
      </w:r>
      <w:r>
        <w:t xml:space="preserve">“) o vystavení nové Faktury, aniž by došlo k prodlení s její úhradou, neobsahuje-li původní Faktura náležitosti nebo údaje stanovené Smlouvou nebo obecně závaznými právními předpisy, obsahuje-li jiné cenové údaje nebo chybné údaje. Nová lhůta splatnosti počne plynout ode dne doručení nové Faktury Nájemci. </w:t>
      </w:r>
    </w:p>
    <w:p w:rsidR="00FF2338" w:rsidP="00FF2338">
      <w:pPr>
        <w:pStyle w:val="Heading2"/>
      </w:pPr>
      <w:r>
        <w:t>Veškeré platby podle Smlouvy budou probíhat výhradně v korunách českých a rovněž veškeré cenové údaje budou uvedeny v této měně.</w:t>
      </w:r>
    </w:p>
    <w:p w:rsidR="007574A6" w:rsidP="007574A6">
      <w:pPr>
        <w:pStyle w:val="Heading1"/>
      </w:pPr>
      <w:r>
        <w:t>práva a povinnosti smluvních stran</w:t>
      </w:r>
    </w:p>
    <w:p w:rsidR="00CA5A5A" w:rsidRPr="00146F35" w:rsidP="00CA5A5A">
      <w:pPr>
        <w:pStyle w:val="Heading2"/>
        <w:numPr>
          <w:ilvl w:val="0"/>
          <w:numId w:val="0"/>
        </w:numPr>
        <w:rPr>
          <w:u w:val="single"/>
        </w:rPr>
      </w:pPr>
      <w:r w:rsidRPr="00146F35">
        <w:rPr>
          <w:u w:val="single"/>
        </w:rPr>
        <w:t xml:space="preserve">Práva a povinnosti </w:t>
      </w:r>
      <w:r>
        <w:rPr>
          <w:u w:val="single"/>
        </w:rPr>
        <w:t>Nájemc</w:t>
      </w:r>
      <w:r w:rsidRPr="00146F35">
        <w:rPr>
          <w:u w:val="single"/>
        </w:rPr>
        <w:t>e</w:t>
      </w:r>
    </w:p>
    <w:p w:rsidR="00CA5A5A" w:rsidRPr="00D4525F" w:rsidP="00CA5A5A">
      <w:pPr>
        <w:pStyle w:val="Heading2"/>
      </w:pPr>
      <w:r>
        <w:t>Nájemce</w:t>
      </w:r>
      <w:r w:rsidRPr="002E59D5">
        <w:t xml:space="preserve"> je povinen </w:t>
      </w:r>
      <w:r>
        <w:t xml:space="preserve">nejpozději 2 pracovní dny před prvním vstupem do Objektu </w:t>
      </w:r>
      <w:r w:rsidRPr="002E59D5">
        <w:t xml:space="preserve">doložit </w:t>
      </w:r>
      <w:r>
        <w:t>Pronajímatel</w:t>
      </w:r>
      <w:r w:rsidRPr="002E59D5">
        <w:t xml:space="preserve">i jmenný seznam všech </w:t>
      </w:r>
      <w:r>
        <w:t>zaměstnanců či p</w:t>
      </w:r>
      <w:r w:rsidRPr="002E59D5">
        <w:t xml:space="preserve">racovníků </w:t>
      </w:r>
      <w:r>
        <w:t xml:space="preserve">Nájemce, kteří budou vstupovat do Nebytových prostor </w:t>
      </w:r>
      <w:r w:rsidR="00A24B28">
        <w:t xml:space="preserve">za účelem provozování Bufetu </w:t>
      </w:r>
      <w:r>
        <w:t>(dále jen „</w:t>
      </w:r>
      <w:r w:rsidRPr="00B74C37">
        <w:rPr>
          <w:b/>
          <w:bCs w:val="0"/>
        </w:rPr>
        <w:t>Pracovníci Nájemce</w:t>
      </w:r>
      <w:r>
        <w:t>“),</w:t>
      </w:r>
      <w:r w:rsidRPr="002E59D5">
        <w:t xml:space="preserve"> </w:t>
      </w:r>
      <w:r w:rsidR="00A24B28">
        <w:br/>
      </w:r>
      <w:r w:rsidRPr="002E59D5">
        <w:t xml:space="preserve">a u těchto Pracovníků </w:t>
      </w:r>
      <w:r>
        <w:t>Nájemce</w:t>
      </w:r>
      <w:r w:rsidRPr="002E59D5">
        <w:t xml:space="preserve"> doložit údaje požadované </w:t>
      </w:r>
      <w:r>
        <w:t>Pronajímatel</w:t>
      </w:r>
      <w:r w:rsidRPr="002E59D5">
        <w:t xml:space="preserve">em, které jsou potřebné pro vydání povolení ke vstupu Pracovníků </w:t>
      </w:r>
      <w:r>
        <w:t>Nájemce</w:t>
      </w:r>
      <w:r w:rsidRPr="002E59D5">
        <w:t xml:space="preserve"> do </w:t>
      </w:r>
      <w:r>
        <w:t>Objektu. Nájemce</w:t>
      </w:r>
      <w:r w:rsidRPr="002E59D5">
        <w:t xml:space="preserve"> je povinen předložit jmenný seznam Pracovníků </w:t>
      </w:r>
      <w:r>
        <w:t>Nájemce</w:t>
      </w:r>
      <w:r w:rsidRPr="002E59D5">
        <w:t xml:space="preserve"> analogově či na paměťovém médiu do rukou Oprávněné osoby </w:t>
      </w:r>
      <w:r>
        <w:t>Pronajímatel</w:t>
      </w:r>
      <w:r w:rsidRPr="002E59D5">
        <w:t>e či zaslat</w:t>
      </w:r>
      <w:r>
        <w:t xml:space="preserve"> do datové schránky Pronajímatele.</w:t>
      </w:r>
      <w:r w:rsidRPr="002E59D5">
        <w:t xml:space="preserve"> </w:t>
      </w:r>
      <w:r>
        <w:t>Pronajímatel</w:t>
      </w:r>
      <w:r w:rsidRPr="002E59D5">
        <w:t xml:space="preserve"> s ohledem na Nařízení Evropského parlamentu a Rady (EU) 2016/679 ze dne 27. dubna 2016 o ochraně fyzických osob v souvislosti se zpracováním osobních údajů a o volném pohybu těchto údajů </w:t>
      </w:r>
      <w:r w:rsidR="00A24B28">
        <w:br/>
      </w:r>
      <w:r w:rsidRPr="002E59D5">
        <w:t xml:space="preserve">a o zrušení směrnice 95/46/ES (obecné nařízení o ochraně osobních údajů) nepřijímá jmenný seznam </w:t>
      </w:r>
      <w:r>
        <w:t>P</w:t>
      </w:r>
      <w:r w:rsidRPr="002E59D5">
        <w:t xml:space="preserve">racovníků </w:t>
      </w:r>
      <w:r>
        <w:t>Nájemce</w:t>
      </w:r>
      <w:r w:rsidRPr="002E59D5">
        <w:t xml:space="preserve"> v jiné formě, např</w:t>
      </w:r>
      <w:r>
        <w:t>íklad prostřednictvím e-mailu. J</w:t>
      </w:r>
      <w:r w:rsidRPr="002E59D5">
        <w:t xml:space="preserve">menný seznam Pracovníků </w:t>
      </w:r>
      <w:r>
        <w:t>Nájemce</w:t>
      </w:r>
      <w:r w:rsidRPr="002E59D5">
        <w:t xml:space="preserve"> bude obsahovat jméno a příjmení pracovníka, rok narození a číslo </w:t>
      </w:r>
      <w:r w:rsidRPr="00D4525F">
        <w:t>občanského průkazu nebo cestovního pasu. V případě změny Pracovníků Nájemce, kteří budou vstupovat do Objektu, je Nájemce povinen postupovat obdobně.</w:t>
      </w:r>
    </w:p>
    <w:p w:rsidR="00CA5A5A" w:rsidRPr="00D4525F" w:rsidP="00CA5A5A">
      <w:pPr>
        <w:pStyle w:val="Heading2"/>
      </w:pPr>
      <w:r w:rsidRPr="00D4525F">
        <w:t>Nájemce bere na vědomí, že do Objektu budou vpuštěny pouze bezúhonní Pracovníci Nájemce, přičemž Nájemce je povinen na vyžádání Pronajímatele předložit kopie výpisů z rejstříku trestů Pracovníků Nájemce.</w:t>
      </w:r>
    </w:p>
    <w:p w:rsidR="00A24B28" w:rsidP="00A24B28">
      <w:pPr>
        <w:pStyle w:val="Heading2"/>
        <w:keepLines/>
      </w:pPr>
      <w:r>
        <w:t xml:space="preserve">Nájemce je povinen užívat Nebytové prostory pouze k účelu uvedenému v článku 2.2 Smlouvy. </w:t>
      </w:r>
      <w:r w:rsidRPr="0000356C">
        <w:t>Nájemce není oprávněn provozovat v</w:t>
      </w:r>
      <w:r>
        <w:t> Nebytových prostorech</w:t>
      </w:r>
      <w:r w:rsidRPr="0000356C">
        <w:t xml:space="preserve"> jinou činnost nebo změnit způsob a podmínky jejího výkonu, ledaže k tomu dostal předem od Pronajímatele písemný souhlas.</w:t>
      </w:r>
    </w:p>
    <w:p w:rsidR="00CA5A5A" w:rsidP="00CA5A5A">
      <w:pPr>
        <w:pStyle w:val="Heading2"/>
      </w:pPr>
      <w:r>
        <w:t xml:space="preserve">Nájemce je povinen zajistit, aby jakákoliv činnost vykonávaná Nájemcem v souvislosti s užíváním Nebytových prostor </w:t>
      </w:r>
      <w:r w:rsidR="00A24B28">
        <w:t xml:space="preserve">a Movitého vybavení </w:t>
      </w:r>
      <w:r>
        <w:t>neodporovala dobrým mravům, účelu Smlouvy či zájmům Pronajímatele stanovených příslušnými právními předpisy.</w:t>
      </w:r>
    </w:p>
    <w:p w:rsidR="00CA5A5A" w:rsidP="00CA5A5A">
      <w:pPr>
        <w:pStyle w:val="Heading2"/>
      </w:pPr>
      <w:r>
        <w:t xml:space="preserve">Nájemce je povinen plnit závazky stanovené Smlouvou, následnými dohodami mezi Smluvními stranami, rozhodnutími příslušných orgánů a úřadů, jakož i obecně závaznými právními předpisy souvisejícími s užíváním Nebytových prostor a Movitého vybavení.  </w:t>
      </w:r>
    </w:p>
    <w:p w:rsidR="00CA5A5A" w:rsidP="00CA5A5A">
      <w:pPr>
        <w:pStyle w:val="Heading2"/>
      </w:pPr>
      <w:r>
        <w:t xml:space="preserve">Nájemce je povinen při plnění Smlouvy respektovat nutnost zajištění nerušeného užívání a chodu všech prostor Pronajímatele v Objektu. </w:t>
      </w:r>
    </w:p>
    <w:p w:rsidR="00CA5A5A" w:rsidP="00CA5A5A">
      <w:pPr>
        <w:pStyle w:val="Heading2"/>
      </w:pPr>
      <w:r w:rsidRPr="00BF7D86">
        <w:t xml:space="preserve">Nájemce je povinen umožnit Pronajímateli vstup do </w:t>
      </w:r>
      <w:r>
        <w:t>Nebytových prostor</w:t>
      </w:r>
      <w:r w:rsidRPr="00BF7D86">
        <w:t xml:space="preserve"> za účelem kontroly dodržování podmínek Smlouvy, provedení oprav</w:t>
      </w:r>
      <w:r w:rsidR="00A24B28">
        <w:t>,</w:t>
      </w:r>
      <w:r w:rsidRPr="00BF7D86">
        <w:t xml:space="preserve"> údržby apod.</w:t>
      </w:r>
    </w:p>
    <w:p w:rsidR="00CA5A5A" w:rsidP="00CA5A5A">
      <w:pPr>
        <w:pStyle w:val="Heading2"/>
      </w:pPr>
      <w:r>
        <w:t>Nájemce je povinen chránit Nebytové prostory a Movité vybavení před poškozením, nadměrným opotřebením či zničením, a v případě potřeby provádět drobné opravy a běžnou údržbu Nebytových prostor a Movitého vybavení.</w:t>
      </w:r>
    </w:p>
    <w:p w:rsidR="00CA5A5A" w:rsidP="00CA5A5A">
      <w:pPr>
        <w:pStyle w:val="Heading2"/>
      </w:pPr>
      <w:r w:rsidRPr="00BF7D86">
        <w:t>Nájemce je povinen</w:t>
      </w:r>
      <w:r>
        <w:t xml:space="preserve"> řádně a včas</w:t>
      </w:r>
      <w:r w:rsidRPr="00BF7D86">
        <w:t xml:space="preserve"> hradit veškeré platby vyplývající ze Smlouvy.</w:t>
      </w:r>
    </w:p>
    <w:p w:rsidR="00900ADC" w:rsidP="00900ADC">
      <w:pPr>
        <w:pStyle w:val="Heading2"/>
      </w:pPr>
      <w:r>
        <w:t>Nájemce je povinen při prodeji a skladování zboží a přípravě výrobků dodržovat veškeré hygienické a další předpisy vztahující se k účelu užívání Nebytových prostor.</w:t>
      </w:r>
    </w:p>
    <w:p w:rsidR="00900ADC" w:rsidP="00900ADC">
      <w:pPr>
        <w:pStyle w:val="Heading2"/>
      </w:pPr>
      <w:r>
        <w:t>Nájemce je povinen používat v Nebytových prostorech jen schválená elektrická zařízení podle platných právních předpisů.</w:t>
      </w:r>
    </w:p>
    <w:p w:rsidR="00900ADC" w:rsidP="00900ADC">
      <w:pPr>
        <w:pStyle w:val="Heading2"/>
      </w:pPr>
      <w:r>
        <w:t>Nájemce je povinen provádět ukládání a likvidaci odpadu vzniklého při užívání Nebytových prostor do vyhrazených, Pronajímatelem určených nádob.</w:t>
      </w:r>
    </w:p>
    <w:p w:rsidR="00900ADC" w:rsidP="00900ADC">
      <w:pPr>
        <w:pStyle w:val="Heading2"/>
      </w:pPr>
      <w:r>
        <w:t>Nájemce není oprávněn v Nebytových prostorech či jejich blízkosti používat, skladovat či jinak nakládat s jakýmikoliv hmotami, materiály či odpadem podléhajícími regulaci podle příslušných právních předpisů, které jsou v danou chvíli platné a které se týkají zejména toxických či jinak nebezpečných látek a materiálů.</w:t>
      </w:r>
      <w:r w:rsidRPr="00900ADC">
        <w:t xml:space="preserve"> </w:t>
      </w:r>
      <w:r>
        <w:t>Nájemce není oprávněn v Nebytových prostorech manipulovat s otevřeným ohněm, hořlavými látkami a pyrotechnickými prostředky.</w:t>
      </w:r>
    </w:p>
    <w:p w:rsidR="00CA5A5A" w:rsidP="00CA5A5A">
      <w:pPr>
        <w:pStyle w:val="Heading2"/>
      </w:pPr>
      <w:r w:rsidRPr="00BF7D86">
        <w:t xml:space="preserve">Nájemce </w:t>
      </w:r>
      <w:r w:rsidR="00A24B28">
        <w:t>není</w:t>
      </w:r>
      <w:r w:rsidRPr="00BF7D86">
        <w:t xml:space="preserve"> oprávněn bez předchozího písemného souhlasu Pronajímatele přenechat </w:t>
      </w:r>
      <w:r>
        <w:t>Nebytové prostory</w:t>
      </w:r>
      <w:r w:rsidRPr="00BF7D86">
        <w:t xml:space="preserve"> </w:t>
      </w:r>
      <w:r>
        <w:t>n</w:t>
      </w:r>
      <w:r w:rsidRPr="00BF7D86">
        <w:t>ebo je</w:t>
      </w:r>
      <w:r>
        <w:t>jich</w:t>
      </w:r>
      <w:r w:rsidRPr="00BF7D86">
        <w:t xml:space="preserve"> část do podnájmu třetí osobě. </w:t>
      </w:r>
    </w:p>
    <w:p w:rsidR="00CA5A5A" w:rsidP="00CA5A5A">
      <w:pPr>
        <w:pStyle w:val="Heading2"/>
      </w:pPr>
      <w:r w:rsidRPr="00BF7D86">
        <w:t>Nájemce není oprávněn bez předchozího písemného souhlasu Pronajímatele zcela nebo zčásti převést nebo postoupit na třetí osobu žádná ze svých práv nebo povinností podle Smlouvy, a to ani v případě, že takováto možnost převodu práv a povinností vyplývá z právních předpisů.</w:t>
      </w:r>
    </w:p>
    <w:p w:rsidR="00CA5A5A" w:rsidP="00CA5A5A">
      <w:pPr>
        <w:pStyle w:val="Heading2"/>
      </w:pPr>
      <w:r w:rsidRPr="00BF7D86">
        <w:t>Nájemce není oprávněn bez předchozího písemného souhlasu Pronajímatele provádět jakékoli stavební</w:t>
      </w:r>
      <w:r w:rsidR="00A24B28">
        <w:t>,</w:t>
      </w:r>
      <w:r w:rsidRPr="00BF7D86">
        <w:t xml:space="preserve"> technické </w:t>
      </w:r>
      <w:r w:rsidR="00A24B28">
        <w:t xml:space="preserve">či jiné </w:t>
      </w:r>
      <w:r w:rsidRPr="00BF7D86">
        <w:t xml:space="preserve">úpravy </w:t>
      </w:r>
      <w:r>
        <w:t>Nebytových prostor</w:t>
      </w:r>
      <w:r w:rsidRPr="00BF7D86">
        <w:t>.</w:t>
      </w:r>
    </w:p>
    <w:p w:rsidR="00CA5A5A" w:rsidP="00CA5A5A">
      <w:pPr>
        <w:pStyle w:val="Heading2"/>
        <w:ind w:left="567" w:hanging="567"/>
      </w:pPr>
      <w:r>
        <w:t>Nájemce</w:t>
      </w:r>
      <w:r w:rsidRPr="00BD49B3">
        <w:t xml:space="preserve"> je povinen informovat </w:t>
      </w:r>
      <w:r>
        <w:t>Pronajímatel</w:t>
      </w:r>
      <w:r w:rsidRPr="00BD49B3">
        <w:t>e o změně vlastnické struktury</w:t>
      </w:r>
      <w:r>
        <w:t xml:space="preserve"> Nájemce</w:t>
      </w:r>
      <w:r w:rsidRPr="00BD49B3">
        <w:t xml:space="preserve">, </w:t>
      </w:r>
      <w:r>
        <w:t>dosáhne-li vlastnictví podílu představujícího alespoň 25% účasti společníka v obchodní společnosti veřejný funkcionář uvedený v § 2 odst. 1 písm. c) zákona č. 159/2006 Sb., o střetu zájmů, ve znění pozdějších předpisů, nebo jím ovládaná osoba (dále jen „</w:t>
      </w:r>
      <w:r w:rsidRPr="0048451B">
        <w:rPr>
          <w:b/>
        </w:rPr>
        <w:t>Veřejný funkcionář</w:t>
      </w:r>
      <w:r>
        <w:t>“). V</w:t>
      </w:r>
      <w:r w:rsidRPr="00967794">
        <w:t xml:space="preserve"> případě zjištění, že </w:t>
      </w:r>
      <w:r>
        <w:t xml:space="preserve">Veřejný funkcionář </w:t>
      </w:r>
      <w:r w:rsidRPr="00967794">
        <w:t xml:space="preserve">v obchodní společnosti </w:t>
      </w:r>
      <w:r>
        <w:t xml:space="preserve">Nájemce vlastní podíl představující </w:t>
      </w:r>
      <w:r w:rsidRPr="00967794">
        <w:t xml:space="preserve">alespoň 25% účasti společníka </w:t>
      </w:r>
      <w:r>
        <w:t>v obchodní společnosti</w:t>
      </w:r>
      <w:r w:rsidRPr="00C47DBD">
        <w:t xml:space="preserve">, je </w:t>
      </w:r>
      <w:r>
        <w:t>Pronajímatel</w:t>
      </w:r>
      <w:r w:rsidRPr="00C47DBD">
        <w:t xml:space="preserve"> oprávněn bez jakýchkoliv sankcí okamžitě odstoupit od </w:t>
      </w:r>
      <w:r>
        <w:t>Smlouvy</w:t>
      </w:r>
      <w:r w:rsidRPr="00C47DBD">
        <w:t xml:space="preserve"> v souladu s </w:t>
      </w:r>
      <w:r w:rsidRPr="00D332C4">
        <w:t>článkem 1</w:t>
      </w:r>
      <w:r w:rsidR="00327EB6">
        <w:t>3</w:t>
      </w:r>
      <w:r w:rsidRPr="00D332C4">
        <w:t>.5 Smlouvy</w:t>
      </w:r>
      <w:r>
        <w:t xml:space="preserve">. </w:t>
      </w:r>
      <w:r>
        <w:rPr>
          <w:rFonts w:cs="Arial"/>
        </w:rPr>
        <w:t>[</w:t>
      </w:r>
      <w:r w:rsidRPr="00A60FD7">
        <w:rPr>
          <w:highlight w:val="green"/>
        </w:rPr>
        <w:t>v případě, že bude Nájemce fyzickou osobou, bude před podpisem Smlouvy odstraněno</w:t>
      </w:r>
      <w:r>
        <w:rPr>
          <w:rFonts w:cs="Arial"/>
        </w:rPr>
        <w:t>]</w:t>
      </w:r>
    </w:p>
    <w:p w:rsidR="00CA5A5A" w:rsidRPr="00705A35" w:rsidP="00CA5A5A">
      <w:pPr>
        <w:pStyle w:val="Heading2"/>
      </w:pPr>
      <w:bookmarkStart w:id="0" w:name="_Hlk200618348"/>
      <w:r>
        <w:t>Nájemce</w:t>
      </w:r>
      <w:r w:rsidRPr="00474A9B">
        <w:t xml:space="preserve"> se zavazuje, že v rámci plnění povinností vyplývajících </w:t>
      </w:r>
      <w:r>
        <w:t>ze Smlouvy</w:t>
      </w:r>
      <w:r w:rsidRPr="00474A9B">
        <w:t xml:space="preserve"> nevyužije třetí subjekt, na který se vztahuje sankční režim EU </w:t>
      </w:r>
      <w:r>
        <w:t>podle</w:t>
      </w:r>
      <w:r w:rsidRPr="00474A9B">
        <w:t xml:space="preserve"> nařízení Rady (EU) č. 269/2014 </w:t>
      </w:r>
      <w:r w:rsidRPr="00920C4A">
        <w:t xml:space="preserve">ze dne </w:t>
      </w:r>
      <w:r>
        <w:br/>
      </w:r>
      <w:r w:rsidRPr="00920C4A">
        <w:t>17. března 2014</w:t>
      </w:r>
      <w:r>
        <w:t xml:space="preserve"> o omezujících opatřeních vzhledem k činnostem narušujícím nebo ohrožujícím územní celistvost, svrchovanost a nezávislost Ukrajiny (dále jen „</w:t>
      </w:r>
      <w:r>
        <w:rPr>
          <w:b/>
        </w:rPr>
        <w:t>N</w:t>
      </w:r>
      <w:r w:rsidRPr="00B152B6">
        <w:rPr>
          <w:b/>
        </w:rPr>
        <w:t xml:space="preserve">ařízení Rady (EU) </w:t>
      </w:r>
      <w:r>
        <w:rPr>
          <w:b/>
        </w:rPr>
        <w:br/>
      </w:r>
      <w:r w:rsidRPr="00B152B6">
        <w:rPr>
          <w:b/>
        </w:rPr>
        <w:t>č. 269/2014</w:t>
      </w:r>
      <w:r>
        <w:t xml:space="preserve">“) </w:t>
      </w:r>
      <w:r w:rsidRPr="00474A9B">
        <w:t>a nařízení Rady (EU) č. 833/2014</w:t>
      </w:r>
      <w:r>
        <w:t xml:space="preserve"> ze dne 31. července 2014 o omezujících </w:t>
      </w:r>
      <w:r>
        <w:t>opatřeních vzhledem k činnostem Ruska destabilizujícím situaci na Ukrajině (dále jen „</w:t>
      </w:r>
      <w:r>
        <w:rPr>
          <w:b/>
        </w:rPr>
        <w:t>N</w:t>
      </w:r>
      <w:r w:rsidRPr="00B152B6">
        <w:rPr>
          <w:b/>
        </w:rPr>
        <w:t>ařízení Rady (EU) č. 833/2014</w:t>
      </w:r>
      <w:r>
        <w:t>“). Porušení této povinnosti se považuje za podstatné porušení Smlouvy.</w:t>
      </w:r>
    </w:p>
    <w:p w:rsidR="00CA5A5A" w:rsidP="00CA5A5A">
      <w:pPr>
        <w:pStyle w:val="Heading2"/>
      </w:pPr>
      <w:bookmarkEnd w:id="0"/>
      <w:r>
        <w:t xml:space="preserve">Nájemce bere na </w:t>
      </w:r>
      <w:r w:rsidRPr="00BC7D21">
        <w:rPr>
          <w:rStyle w:val="Nadpis2Char"/>
        </w:rPr>
        <w:t>v</w:t>
      </w:r>
      <w:r>
        <w:t xml:space="preserve">ědomí, že je povinen umožnit osobám oprávněným k výkonu kontroly, např. podle zákona č. 218/2000 Sb., o rozpočtových pravidlech, ve znění pozdějších předpisů, provést kontrolu dokladů souvisejících s plněním </w:t>
      </w:r>
      <w:r w:rsidR="00B04100">
        <w:t>Smlouvy</w:t>
      </w:r>
      <w:r>
        <w:t xml:space="preserve">, a to v rozsahu jejich oprávnění, a po dobu danou právními předpisy České republiky k jejich archivaci (Zákon o účetnictví a Zákon </w:t>
      </w:r>
      <w:r>
        <w:br/>
        <w:t>o DPH).</w:t>
      </w:r>
    </w:p>
    <w:p w:rsidR="007574A6" w:rsidRPr="00146F35" w:rsidP="007574A6">
      <w:pPr>
        <w:pStyle w:val="Heading2"/>
        <w:numPr>
          <w:ilvl w:val="0"/>
          <w:numId w:val="0"/>
        </w:numPr>
        <w:ind w:left="576" w:hanging="576"/>
        <w:rPr>
          <w:u w:val="single"/>
        </w:rPr>
      </w:pPr>
      <w:r w:rsidRPr="00146F35">
        <w:rPr>
          <w:u w:val="single"/>
        </w:rPr>
        <w:t xml:space="preserve">Práva a povinnosti </w:t>
      </w:r>
      <w:r>
        <w:rPr>
          <w:u w:val="single"/>
        </w:rPr>
        <w:t>Pronajímatel</w:t>
      </w:r>
      <w:r w:rsidRPr="00146F35">
        <w:rPr>
          <w:u w:val="single"/>
        </w:rPr>
        <w:t>e</w:t>
      </w:r>
    </w:p>
    <w:p w:rsidR="005A6386" w:rsidP="005A6386">
      <w:pPr>
        <w:pStyle w:val="Heading2"/>
      </w:pPr>
      <w:r>
        <w:t>Pronajímatel je povinen zajistit řádný a nerušený výkon nájemních práv Nájemce po celou Dobu nájmu</w:t>
      </w:r>
      <w:r w:rsidR="00B04100">
        <w:t xml:space="preserve"> uvedenou v článku 12.2 Smlouvy</w:t>
      </w:r>
      <w:r>
        <w:t xml:space="preserve">, a to zejména tak, aby bylo možné dosáhnout účelu užívání Nebytových prostor podle </w:t>
      </w:r>
      <w:r w:rsidR="00A24B28">
        <w:t xml:space="preserve">článku 2.2 </w:t>
      </w:r>
      <w:r>
        <w:t>Smlouvy.</w:t>
      </w:r>
    </w:p>
    <w:p w:rsidR="005A6386" w:rsidP="007574A6">
      <w:pPr>
        <w:pStyle w:val="Heading2"/>
      </w:pPr>
      <w:r>
        <w:t xml:space="preserve">Pronajímatel je povinen umožnit Nájemci neomezený přístup do Objektu a Nebytových prostor. Pronajímatel je povinen umožnit Nájemci vjezd do dvora budovy C </w:t>
      </w:r>
      <w:r w:rsidR="00A24B28">
        <w:t xml:space="preserve">Objektu </w:t>
      </w:r>
      <w:r>
        <w:t xml:space="preserve">za účelem zásobování Nebytových prostor, a to za asistence pracovníka Pronajímatele. </w:t>
      </w:r>
    </w:p>
    <w:p w:rsidR="005A6386" w:rsidP="007574A6">
      <w:pPr>
        <w:pStyle w:val="Heading2"/>
      </w:pPr>
      <w:r>
        <w:t xml:space="preserve">Pronajímatel je oprávněn vstoupit do Nebytových prostor za účelem kontroly dodržování podmínek Smlouvy, jakož i provádění oprav a údržby Nebytových prostor </w:t>
      </w:r>
      <w:r w:rsidR="00A24B28">
        <w:t xml:space="preserve">a Movitého vybavení </w:t>
      </w:r>
      <w:r>
        <w:t>nad rámec povinností Nájemce, a to vždy po předchozí dohodě s Nájemcem.</w:t>
      </w:r>
    </w:p>
    <w:p w:rsidR="005A6386" w:rsidRPr="005A6386" w:rsidP="005A6386">
      <w:pPr>
        <w:pStyle w:val="Heading2"/>
      </w:pPr>
      <w:r>
        <w:t xml:space="preserve">Pronajímatel je oprávněn vstoupit do Nebytových prostor ve výjimečných případech i bez předchozí dohody s Nájemcem, pokud to vyžaduje náhle vzniklý havarijní stav či bezprostředně hrozící nebezpečí, musí však o tom Nájemce neprodleně poté uvědomit. </w:t>
      </w:r>
    </w:p>
    <w:p w:rsidR="00A80935" w:rsidP="00A80935">
      <w:pPr>
        <w:pStyle w:val="Heading2"/>
      </w:pPr>
      <w:r>
        <w:t xml:space="preserve">Pronajímatel je povinen neprodleně informovat Nájemce o vzniku mimořádných situací, kterými se pro účely Smlouvy rozumí zejména povodeň, požár či jiná takováto událost. </w:t>
      </w:r>
    </w:p>
    <w:p w:rsidR="005A6386" w:rsidP="005A6386">
      <w:pPr>
        <w:pStyle w:val="Heading2"/>
      </w:pPr>
      <w:r>
        <w:t xml:space="preserve">Pronajímatel je povinen poskytovat Nájemci </w:t>
      </w:r>
      <w:r w:rsidRPr="0064280D">
        <w:t xml:space="preserve">potřebnou součinnost tak, aby </w:t>
      </w:r>
      <w:r>
        <w:t>Nájemce</w:t>
      </w:r>
      <w:r w:rsidRPr="0064280D">
        <w:t xml:space="preserve"> mohl řádně </w:t>
      </w:r>
      <w:r>
        <w:t xml:space="preserve">užívat Nebytové prostory </w:t>
      </w:r>
      <w:r w:rsidR="00401657">
        <w:t xml:space="preserve">a Movité vybavení </w:t>
      </w:r>
      <w:r>
        <w:t>ke sjednanému účelu</w:t>
      </w:r>
      <w:r w:rsidRPr="0064280D">
        <w:t xml:space="preserve">, </w:t>
      </w:r>
      <w:r>
        <w:t xml:space="preserve">přičemž Nájemce je povinen </w:t>
      </w:r>
      <w:r w:rsidRPr="00BD4C26">
        <w:t>si</w:t>
      </w:r>
      <w:r>
        <w:t> </w:t>
      </w:r>
      <w:r w:rsidRPr="00BD4C26">
        <w:t>potřebnou</w:t>
      </w:r>
      <w:r>
        <w:t xml:space="preserve"> součinnost v případě potřeby včas vyžádat a Pronajímatele na ni upozornit.</w:t>
      </w:r>
    </w:p>
    <w:p w:rsidR="005A6386" w:rsidP="007574A6">
      <w:pPr>
        <w:pStyle w:val="Heading2"/>
      </w:pPr>
      <w:r>
        <w:t xml:space="preserve">Pronajímatel není oprávněn Nebytové prostory dále pronajmout či jinak umožnit užívání Nebytových prostor </w:t>
      </w:r>
      <w:r w:rsidR="00A24B28">
        <w:t xml:space="preserve">a Movitého vybavení </w:t>
      </w:r>
      <w:r>
        <w:t xml:space="preserve">třetí osobou. </w:t>
      </w:r>
    </w:p>
    <w:p w:rsidR="005A6386" w:rsidRPr="00CC5BF3" w:rsidP="007574A6">
      <w:pPr>
        <w:pStyle w:val="Heading2"/>
      </w:pPr>
      <w:r>
        <w:t xml:space="preserve">Pronajímatel neodpovídá za zničení, odcizení či jakékoliv znehodnocení či škodu v jakémkoliv </w:t>
      </w:r>
      <w:r w:rsidRPr="00CC5BF3">
        <w:t>rozsahu na věcech, zdraví či životu Nájemce</w:t>
      </w:r>
      <w:r w:rsidRPr="00CC5BF3" w:rsidR="00A24B28">
        <w:t>,</w:t>
      </w:r>
      <w:r w:rsidRPr="00CC5BF3">
        <w:t xml:space="preserve"> Pracovníků Nájemce nebo třetích osob nacházejících se v Nebytových prostorech. </w:t>
      </w:r>
    </w:p>
    <w:p w:rsidR="00CA5A5A" w:rsidRPr="00CC5BF3" w:rsidP="00CA5A5A">
      <w:pPr>
        <w:pStyle w:val="Heading2"/>
      </w:pPr>
      <w:r w:rsidRPr="00CC5BF3">
        <w:t xml:space="preserve">Pronajímatel je povinen před vstupem Nájemce do Objektu za účelem plnění Smlouvy jej prokazatelně seznámit se zvláštními bezpečnostními a požárními opatřeními Pronajímatele </w:t>
      </w:r>
      <w:r w:rsidRPr="00CC5BF3">
        <w:br/>
        <w:t>a zvláštními předpisy platnými pro Objekt</w:t>
      </w:r>
      <w:r w:rsidRPr="00CC5BF3" w:rsidR="00A82558">
        <w:t>, jakož i režimem vstupu do Objektu</w:t>
      </w:r>
      <w:r w:rsidRPr="00CC5BF3">
        <w:t>. Nájemce se podpisem Smlouvy zavazuje, že následně provede řádné seznámení všech Pracovníků Nájemce a bude nést plnou odpovědnost za případné porušení výše uvedených opatření a předpisů Pracovníky Nájemce.</w:t>
      </w:r>
    </w:p>
    <w:p w:rsidR="00CA5A5A" w:rsidP="0020795C">
      <w:pPr>
        <w:pStyle w:val="Heading1"/>
      </w:pPr>
      <w:r>
        <w:t>odpovědnost nájemce za vady, náhrada škody</w:t>
      </w:r>
    </w:p>
    <w:p w:rsidR="00CA5A5A" w:rsidP="00CA5A5A">
      <w:pPr>
        <w:pStyle w:val="Heading2"/>
      </w:pPr>
      <w:r>
        <w:t xml:space="preserve">Nájemce je plně odpovědný za ztrátu Movitého vybavení nebo poškození, zničení či jakékoliv jiné znehodnocení Nebytových prostor, Movitého vybavení, Objektu nebo dalšího vybavení Pronajímatele </w:t>
      </w:r>
      <w:r w:rsidR="00A24B28">
        <w:t xml:space="preserve">či třetích osob </w:t>
      </w:r>
      <w:r>
        <w:t xml:space="preserve">v Objektu. Nájemce je odpovědný i za škody způsobené třetími osobami nebo vzniklé v důsledku požáru, povodně či jiné nehody, závady či živelní události. </w:t>
      </w:r>
    </w:p>
    <w:p w:rsidR="00CA5A5A" w:rsidP="00CA5A5A">
      <w:pPr>
        <w:pStyle w:val="Heading2"/>
      </w:pPr>
      <w:r>
        <w:t>Nájemce je povinen vzniklé škody ve lhůtě stanovené v písemném oznámení Pronajímatele odeslaného Nájemci nahradit nebo odstranit na své náklady, avšak pouze za předpokladu, že takové náklady nebudou uhrazeny z pojistného plnění.</w:t>
      </w:r>
    </w:p>
    <w:p w:rsidR="00CA5A5A" w:rsidRPr="00D644FB" w:rsidP="00CA5A5A">
      <w:pPr>
        <w:pStyle w:val="Heading2"/>
      </w:pPr>
      <w:r>
        <w:t>Nájemce je povinen neprodleně informovat Pronajímatele o jakékoliv škodě Nebytových prostor, Movitého vybavení, Objektu nebo jiného vybavení Pronajímatele</w:t>
      </w:r>
      <w:r w:rsidR="00A24B28">
        <w:t xml:space="preserve"> či třetích osob</w:t>
      </w:r>
      <w:r>
        <w:t>, a to včetně vysvětlení povahy takové škody.</w:t>
      </w:r>
    </w:p>
    <w:p w:rsidR="00CA5A5A" w:rsidP="00CA5A5A">
      <w:pPr>
        <w:pStyle w:val="Heading2"/>
      </w:pPr>
      <w:r>
        <w:t xml:space="preserve">Škodu hradí škůdce v penězích, nežádá-li poškozený uvedení do předešlého stavu. Náhrada </w:t>
      </w:r>
      <w:r w:rsidRPr="00D644FB">
        <w:t>škody je splatná ve lhůtě 30 kalendářních dnů od doručení písemné výzvy oprávněné Smluvní strany Smluvní straně povinné z náhrady škody, pokud nebude mezi Smluvními stranami dohodnuto jinak.</w:t>
      </w:r>
    </w:p>
    <w:p w:rsidR="00CA5A5A" w:rsidP="00CA5A5A">
      <w:pPr>
        <w:pStyle w:val="Heading2"/>
      </w:pPr>
      <w:r>
        <w:t xml:space="preserve">Nájemce je povinen uvést </w:t>
      </w:r>
      <w:r w:rsidR="00A24B28">
        <w:t>Nebytové prostory a Movité vybavení</w:t>
      </w:r>
      <w:r>
        <w:t xml:space="preserve"> do stavu, v jakém se </w:t>
      </w:r>
      <w:r w:rsidR="00A24B28">
        <w:t xml:space="preserve">tyto </w:t>
      </w:r>
      <w:r>
        <w:t>nacházel</w:t>
      </w:r>
      <w:r w:rsidR="00A24B28">
        <w:t>y</w:t>
      </w:r>
      <w:r>
        <w:t xml:space="preserve"> před vznikem škod, nedojde-li mezi Smluvními stranami k jiné dohodě. </w:t>
      </w:r>
    </w:p>
    <w:p w:rsidR="0020795C" w:rsidP="0020795C">
      <w:pPr>
        <w:pStyle w:val="Heading1"/>
      </w:pPr>
      <w:r>
        <w:t>pojištění</w:t>
      </w:r>
    </w:p>
    <w:p w:rsidR="00CA5A5A" w:rsidRPr="00F33B7A" w:rsidP="00CA5A5A">
      <w:pPr>
        <w:pStyle w:val="Heading2"/>
        <w:keepLines/>
      </w:pPr>
      <w:bookmarkStart w:id="1" w:name="_Ref388887009"/>
      <w:bookmarkStart w:id="2" w:name="_Ref388886991"/>
      <w:r>
        <w:t>Nájemce</w:t>
      </w:r>
      <w:r w:rsidRPr="00F33B7A">
        <w:t xml:space="preserve"> </w:t>
      </w:r>
      <w:r>
        <w:t>se zavazuje, že zajistí a po dobu trvání Smlouvy bude udržovat v platností a účinnosti na své náklady pojištění odpovědnosti za škodu, která bude krýt škody způsobené Pronajímateli i třetím stranám v souvislosti s</w:t>
      </w:r>
      <w:r w:rsidR="00A24B28">
        <w:t> užíváním Nebytových prostor</w:t>
      </w:r>
      <w:r>
        <w:t xml:space="preserve"> </w:t>
      </w:r>
      <w:r w:rsidRPr="00F33B7A">
        <w:t>(dále jen „</w:t>
      </w:r>
      <w:r w:rsidRPr="00F33B7A">
        <w:rPr>
          <w:b/>
        </w:rPr>
        <w:t>Pojištění</w:t>
      </w:r>
      <w:r w:rsidRPr="00F33B7A">
        <w:t xml:space="preserve">“). </w:t>
      </w:r>
    </w:p>
    <w:p w:rsidR="0020795C" w:rsidRPr="005952ED" w:rsidP="0020795C">
      <w:pPr>
        <w:pStyle w:val="Heading2"/>
        <w:keepLines/>
      </w:pPr>
      <w:r w:rsidRPr="005952ED">
        <w:t>Pojištění bude pokrývat odpovědnost za újmu, která vznikne při a/nebo v souvislosti s</w:t>
      </w:r>
      <w:r w:rsidR="00FF2338">
        <w:t> užíváním Nebytových prostor a Movitého vybavení</w:t>
      </w:r>
      <w:r w:rsidRPr="005952ED">
        <w:t>, tj.: (i) újma na zdraví, (</w:t>
      </w:r>
      <w:r w:rsidRPr="005952ED">
        <w:t>ii</w:t>
      </w:r>
      <w:r w:rsidRPr="005952ED">
        <w:t>) škoda na věci včetně jejího poškození, zničení nebo ztráty, (</w:t>
      </w:r>
      <w:r w:rsidRPr="005952ED">
        <w:t>iii</w:t>
      </w:r>
      <w:r w:rsidRPr="005952ED">
        <w:t xml:space="preserve">) jiná majetková škoda z toho vyplývající. Pojištění bude </w:t>
      </w:r>
      <w:r w:rsidR="00AD1AC4">
        <w:t>Nájemce</w:t>
      </w:r>
      <w:r w:rsidRPr="005952ED">
        <w:t xml:space="preserve">m uzavřeno s limitem pojistného plnění ve výši minimálně </w:t>
      </w:r>
      <w:r w:rsidR="00FF2338">
        <w:t xml:space="preserve">500 000 Kč. </w:t>
      </w:r>
    </w:p>
    <w:p w:rsidR="0020795C" w:rsidRPr="007E3CAC" w:rsidP="0020795C">
      <w:pPr>
        <w:pStyle w:val="Heading2"/>
      </w:pPr>
      <w:bookmarkEnd w:id="1"/>
      <w:bookmarkEnd w:id="2"/>
      <w:r>
        <w:t>Nájemce</w:t>
      </w:r>
      <w:r w:rsidRPr="007E3CAC">
        <w:t xml:space="preserve"> se zavazuje udržovat platnost a účinnost Pojištění po celou </w:t>
      </w:r>
      <w:r w:rsidR="00FF2338">
        <w:t>Dobu nájmu</w:t>
      </w:r>
      <w:r w:rsidR="00B04100">
        <w:t xml:space="preserve"> uveden</w:t>
      </w:r>
      <w:r w:rsidR="00A24B28">
        <w:t>ou</w:t>
      </w:r>
      <w:r w:rsidR="00B04100">
        <w:t xml:space="preserve"> v článku 12.2 Smlouvy</w:t>
      </w:r>
      <w:r w:rsidRPr="007E3CAC">
        <w:t xml:space="preserve"> </w:t>
      </w:r>
      <w:r>
        <w:t>a bude za tímto účelem plnit povinnosti vyplývající pro něj z předmětné pojistné smlouvy, zejména platit pojistné a plnit oznamovací povinnosti</w:t>
      </w:r>
      <w:r w:rsidRPr="007E3CAC">
        <w:t>.</w:t>
      </w:r>
    </w:p>
    <w:p w:rsidR="0020795C" w:rsidRPr="007E3CAC" w:rsidP="0020795C">
      <w:pPr>
        <w:pStyle w:val="Heading2"/>
      </w:pPr>
      <w:r>
        <w:t xml:space="preserve">Doklady o platném Pojištění, včetně dokladů o zaplacení pojistného, </w:t>
      </w:r>
      <w:r w:rsidRPr="007E3CAC">
        <w:t xml:space="preserve">je </w:t>
      </w:r>
      <w:r w:rsidR="00AD1AC4">
        <w:t>Nájemce</w:t>
      </w:r>
      <w:r w:rsidRPr="007E3CAC">
        <w:t xml:space="preserve"> povinen předložit </w:t>
      </w:r>
      <w:r w:rsidR="00AD1AC4">
        <w:t>Pronajímatel</w:t>
      </w:r>
      <w:r>
        <w:t xml:space="preserve">i </w:t>
      </w:r>
      <w:r w:rsidRPr="007E3CAC">
        <w:t>kdykoliv běhe</w:t>
      </w:r>
      <w:r>
        <w:t xml:space="preserve">m trvání Smlouvy, a to do </w:t>
      </w:r>
      <w:r w:rsidR="00F03ED8">
        <w:t>7 pracovních</w:t>
      </w:r>
      <w:r w:rsidRPr="007E3CAC">
        <w:t xml:space="preserve"> dnů od písemné výzvy </w:t>
      </w:r>
      <w:r w:rsidR="00AD1AC4">
        <w:t>Pronajímatel</w:t>
      </w:r>
      <w:r>
        <w:t>e</w:t>
      </w:r>
      <w:r w:rsidRPr="007E3CAC">
        <w:t>.</w:t>
      </w:r>
    </w:p>
    <w:p w:rsidR="0020795C" w:rsidRPr="00303D4E" w:rsidP="0020795C">
      <w:pPr>
        <w:pStyle w:val="Heading2"/>
      </w:pPr>
      <w:r>
        <w:t xml:space="preserve">V případě, že </w:t>
      </w:r>
      <w:r w:rsidR="00AD1AC4">
        <w:t>Nájemce</w:t>
      </w:r>
      <w:r w:rsidRPr="007E3CAC">
        <w:t xml:space="preserve"> </w:t>
      </w:r>
      <w:r>
        <w:t xml:space="preserve">nesplní podmínky uložené mu pojistnou smlouvou na Pojištění, kterou byl povinen uzavřít, je </w:t>
      </w:r>
      <w:r w:rsidR="00AD1AC4">
        <w:t>Nájemce</w:t>
      </w:r>
      <w:r w:rsidRPr="007E3CAC">
        <w:t xml:space="preserve"> </w:t>
      </w:r>
      <w:r>
        <w:t xml:space="preserve">povinen uhradit </w:t>
      </w:r>
      <w:r w:rsidR="00AD1AC4">
        <w:t>Pronajímatel</w:t>
      </w:r>
      <w:r>
        <w:t xml:space="preserve">i veškeré újmy a nároky vzniklé v rámci </w:t>
      </w:r>
      <w:r w:rsidR="00FF2338">
        <w:t>užívání Nebytových prostor a Movitého vybavení podle Smlouvy</w:t>
      </w:r>
      <w:r>
        <w:t xml:space="preserve"> z takového porušení povinnosti.</w:t>
      </w:r>
    </w:p>
    <w:p w:rsidR="002C1EA5" w:rsidP="002C1EA5">
      <w:pPr>
        <w:pStyle w:val="Heading1"/>
      </w:pPr>
      <w:r>
        <w:t>mlčenlivost</w:t>
      </w:r>
    </w:p>
    <w:p w:rsidR="00A21CF8" w:rsidRPr="005D10B7" w:rsidP="00A21CF8">
      <w:pPr>
        <w:pStyle w:val="Heading2"/>
        <w:widowControl w:val="0"/>
        <w:ind w:left="578" w:hanging="578"/>
      </w:pPr>
      <w:r w:rsidRPr="00921859">
        <w:t>Smluvní</w:t>
      </w:r>
      <w:r w:rsidRPr="005D10B7">
        <w:t xml:space="preserve"> strany se zavazují udržovat v</w:t>
      </w:r>
      <w:r>
        <w:t> </w:t>
      </w:r>
      <w:r w:rsidRPr="005D10B7">
        <w:t>tajnosti</w:t>
      </w:r>
      <w:r>
        <w:t xml:space="preserve"> neveřejné informace, </w:t>
      </w:r>
      <w:r w:rsidRPr="005D10B7">
        <w:t>podniknou</w:t>
      </w:r>
      <w:r>
        <w:t xml:space="preserve">t všechny nezbytné kroky k jejich </w:t>
      </w:r>
      <w:r w:rsidRPr="005D10B7">
        <w:t xml:space="preserve">zabezpečení a nezpřístupnit třetím osobám </w:t>
      </w:r>
      <w:r>
        <w:t>neveřejné</w:t>
      </w:r>
      <w:r w:rsidRPr="005D10B7">
        <w:t xml:space="preserve"> informace (dále jen „</w:t>
      </w:r>
      <w:r>
        <w:rPr>
          <w:b/>
        </w:rPr>
        <w:t>Neveřejné</w:t>
      </w:r>
      <w:r w:rsidRPr="006F32A2">
        <w:rPr>
          <w:b/>
        </w:rPr>
        <w:t xml:space="preserve"> informace</w:t>
      </w:r>
      <w:r w:rsidRPr="005D10B7">
        <w:t xml:space="preserve">“). Povinnost poskytovat informace podle zákona č. 106/1999 Sb., </w:t>
      </w:r>
      <w:r>
        <w:br/>
      </w:r>
      <w:r w:rsidRPr="005D10B7">
        <w:t>o svobodném přístupu k informacím, ve znění pozdějších předpisů</w:t>
      </w:r>
      <w:r>
        <w:t xml:space="preserve"> (dále jen „</w:t>
      </w:r>
      <w:r w:rsidRPr="00A21CF8">
        <w:rPr>
          <w:b/>
        </w:rPr>
        <w:t xml:space="preserve">Zákon </w:t>
      </w:r>
      <w:r>
        <w:rPr>
          <w:b/>
        </w:rPr>
        <w:br/>
      </w:r>
      <w:r w:rsidRPr="00A21CF8">
        <w:rPr>
          <w:b/>
        </w:rPr>
        <w:t>o svobodném přístupu k informacím</w:t>
      </w:r>
      <w:r>
        <w:t>“)</w:t>
      </w:r>
      <w:r w:rsidRPr="005D10B7">
        <w:t>, není tímto ustanovením dotčena. Za</w:t>
      </w:r>
      <w:r>
        <w:t> Neveřejné</w:t>
      </w:r>
      <w:r w:rsidRPr="005D10B7">
        <w:t xml:space="preserve"> informace se považují veškeré následující informace:</w:t>
      </w:r>
    </w:p>
    <w:p w:rsidR="008D41FF" w:rsidRPr="00D55A5A" w:rsidP="00CA5A5A">
      <w:pPr>
        <w:pStyle w:val="Heading4"/>
        <w:numPr>
          <w:ilvl w:val="0"/>
          <w:numId w:val="21"/>
        </w:numPr>
        <w:ind w:left="1134" w:hanging="567"/>
      </w:pPr>
      <w:r w:rsidRPr="00D55A5A">
        <w:t xml:space="preserve">veškeré </w:t>
      </w:r>
      <w:r w:rsidRPr="00D332C4">
        <w:t>informace</w:t>
      </w:r>
      <w:r w:rsidRPr="00D55A5A">
        <w:t xml:space="preserve"> poskytnuté </w:t>
      </w:r>
      <w:r w:rsidR="00FF2338">
        <w:t>Nájemci</w:t>
      </w:r>
      <w:r>
        <w:t xml:space="preserve"> </w:t>
      </w:r>
      <w:r w:rsidR="00AD1AC4">
        <w:t>Pronajímatel</w:t>
      </w:r>
      <w:r>
        <w:t xml:space="preserve">em </w:t>
      </w:r>
      <w:r w:rsidRPr="00D55A5A">
        <w:t xml:space="preserve">v souvislosti </w:t>
      </w:r>
      <w:r w:rsidR="00601398">
        <w:t>se</w:t>
      </w:r>
      <w:r w:rsidRPr="00D55A5A">
        <w:t xml:space="preserve"> Smlouv</w:t>
      </w:r>
      <w:r>
        <w:t>ou</w:t>
      </w:r>
      <w:r w:rsidRPr="00D55A5A">
        <w:t xml:space="preserve"> (pokud nejsou výslovně obsaženy ve znění Smlouvy zveřejňovaném </w:t>
      </w:r>
      <w:r w:rsidR="001E2600">
        <w:t>po</w:t>
      </w:r>
      <w:r w:rsidRPr="00D55A5A">
        <w:t xml:space="preserve">dle </w:t>
      </w:r>
      <w:r w:rsidRPr="00D332C4">
        <w:t>článku 1</w:t>
      </w:r>
      <w:r w:rsidR="00CA5A5A">
        <w:t>5</w:t>
      </w:r>
      <w:r w:rsidRPr="00D332C4">
        <w:t>.6</w:t>
      </w:r>
      <w:r w:rsidRPr="00B93B97">
        <w:t xml:space="preserve"> </w:t>
      </w:r>
      <w:r>
        <w:t>Smlouvy)</w:t>
      </w:r>
      <w:r w:rsidRPr="00D55A5A">
        <w:t>;</w:t>
      </w:r>
    </w:p>
    <w:p w:rsidR="008D41FF" w:rsidP="008D41FF">
      <w:pPr>
        <w:pStyle w:val="Heading4"/>
      </w:pPr>
      <w:r w:rsidRPr="005D10B7">
        <w:t>informace, na kter</w:t>
      </w:r>
      <w:r w:rsidR="007D21C2">
        <w:t>é</w:t>
      </w:r>
      <w:r w:rsidRPr="005D10B7">
        <w:t xml:space="preserve"> se vztahuje zákonem</w:t>
      </w:r>
      <w:r w:rsidR="0047265C">
        <w:t xml:space="preserve"> uložená povinnost mlčenlivosti</w:t>
      </w:r>
      <w:r w:rsidR="00FF2338">
        <w:t>.</w:t>
      </w:r>
    </w:p>
    <w:p w:rsidR="008D41FF" w:rsidRPr="005D10B7" w:rsidP="008D41FF">
      <w:pPr>
        <w:pStyle w:val="Heading2"/>
        <w:keepNext/>
        <w:ind w:left="578" w:hanging="578"/>
      </w:pPr>
      <w:r w:rsidRPr="00921859">
        <w:t>Povinnost</w:t>
      </w:r>
      <w:r w:rsidRPr="005D10B7">
        <w:t xml:space="preserve"> zachovávat mlčenlivost uvedená v předchozím článku se nevztahuje na informace:</w:t>
      </w:r>
    </w:p>
    <w:p w:rsidR="008D41FF" w:rsidP="00743020">
      <w:pPr>
        <w:pStyle w:val="Heading4"/>
        <w:numPr>
          <w:ilvl w:val="0"/>
          <w:numId w:val="14"/>
        </w:numPr>
        <w:ind w:left="1134" w:hanging="567"/>
      </w:pPr>
      <w:r w:rsidRPr="005D10B7">
        <w:t xml:space="preserve">které je </w:t>
      </w:r>
      <w:r w:rsidR="00AD1AC4">
        <w:t>Pronajímatel</w:t>
      </w:r>
      <w:r>
        <w:t xml:space="preserve"> </w:t>
      </w:r>
      <w:r w:rsidRPr="005D10B7">
        <w:t xml:space="preserve">povinen poskytnout třetím osobám </w:t>
      </w:r>
      <w:r w:rsidR="00A21CF8">
        <w:t>podle Z</w:t>
      </w:r>
      <w:r>
        <w:t>ákona o </w:t>
      </w:r>
      <w:r w:rsidRPr="005D10B7">
        <w:t>svobodném přístupu k informacím;</w:t>
      </w:r>
    </w:p>
    <w:p w:rsidR="008D41FF" w:rsidRPr="005D10B7" w:rsidP="008D41FF">
      <w:pPr>
        <w:pStyle w:val="Heading4"/>
      </w:pPr>
      <w:r w:rsidRPr="005D10B7">
        <w:t xml:space="preserve">jejichž sdělení vyžaduje </w:t>
      </w:r>
      <w:r>
        <w:t>jiný právní předpis;</w:t>
      </w:r>
    </w:p>
    <w:p w:rsidR="008D41FF" w:rsidRPr="005D10B7" w:rsidP="008D41FF">
      <w:pPr>
        <w:pStyle w:val="Heading4"/>
      </w:pPr>
      <w:r w:rsidRPr="005D10B7">
        <w:t>které jsou nebo se stanou všeobecně a veřejně přístupnými jinak než porušením právních povinností ze strany některé ze Smluvních stran;</w:t>
      </w:r>
    </w:p>
    <w:p w:rsidR="008D41FF" w:rsidRPr="005D10B7" w:rsidP="008D41FF">
      <w:pPr>
        <w:pStyle w:val="Heading4"/>
      </w:pPr>
      <w:r w:rsidRPr="005D10B7">
        <w:t xml:space="preserve">u nichž je </w:t>
      </w:r>
      <w:r w:rsidR="00AD1AC4">
        <w:t>Nájemce</w:t>
      </w:r>
      <w:r w:rsidRPr="005D10B7">
        <w:t xml:space="preserve"> schopen prokázat, že mu byly známy ještě před přijetím těchto informací od </w:t>
      </w:r>
      <w:r w:rsidR="00AD1AC4">
        <w:t>Pronajímatel</w:t>
      </w:r>
      <w:r>
        <w:t>e</w:t>
      </w:r>
      <w:r w:rsidRPr="005D10B7">
        <w:t>, avšak pouze za podmínky, že se na tyto informace nevztahuje povinnost mlčenlivosti z jiných důvodů;</w:t>
      </w:r>
    </w:p>
    <w:p w:rsidR="008D41FF" w:rsidRPr="004A6AE1" w:rsidP="008D41FF">
      <w:pPr>
        <w:pStyle w:val="Heading4"/>
        <w:rPr>
          <w:szCs w:val="26"/>
        </w:rPr>
      </w:pPr>
      <w:r w:rsidRPr="005D10B7">
        <w:t xml:space="preserve">které budou </w:t>
      </w:r>
      <w:r w:rsidR="00FF2338">
        <w:t>Nájemci</w:t>
      </w:r>
      <w:r>
        <w:t xml:space="preserve"> p</w:t>
      </w:r>
      <w:r w:rsidRPr="005D10B7">
        <w:t>o uzavření Smlouvy sděleny bez závazku mlčenlivosti třetí stranou, jež rovněž není ve vztahu k těmto informacím nijak vázána</w:t>
      </w:r>
      <w:r>
        <w:t>.</w:t>
      </w:r>
    </w:p>
    <w:p w:rsidR="008D41FF" w:rsidRPr="00921859" w:rsidP="008D41FF">
      <w:pPr>
        <w:pStyle w:val="Heading2"/>
      </w:pPr>
      <w:r w:rsidRPr="00921859">
        <w:t>Jako s </w:t>
      </w:r>
      <w:r>
        <w:t>Neveřejnými</w:t>
      </w:r>
      <w:r w:rsidRPr="00921859">
        <w:t xml:space="preserve"> informacemi musí být nakládáno také s informacemi, které splňují podmínky uvedené v</w:t>
      </w:r>
      <w:r>
        <w:t xml:space="preserve"> článku </w:t>
      </w:r>
      <w:r w:rsidR="00FF2338">
        <w:t>10</w:t>
      </w:r>
      <w:r>
        <w:t>.1 Smlouvy</w:t>
      </w:r>
      <w:r w:rsidRPr="00921859">
        <w:t xml:space="preserve">, i když byly získané náhodně nebo bez vědomí </w:t>
      </w:r>
      <w:r w:rsidR="00AD1AC4">
        <w:t>Pronajímatel</w:t>
      </w:r>
      <w:r>
        <w:t>e</w:t>
      </w:r>
      <w:r w:rsidRPr="00921859">
        <w:t xml:space="preserve">, a dále s veškerými informacemi získanými od jakékoliv třetí strany, pokud se týkají </w:t>
      </w:r>
      <w:r w:rsidR="00AD1AC4">
        <w:t>Pronajímatel</w:t>
      </w:r>
      <w:r>
        <w:t xml:space="preserve">e </w:t>
      </w:r>
      <w:r w:rsidRPr="00921859">
        <w:t>či plnění Smlouvy.</w:t>
      </w:r>
    </w:p>
    <w:p w:rsidR="008D41FF" w:rsidP="008D41FF">
      <w:pPr>
        <w:pStyle w:val="Heading2"/>
      </w:pPr>
      <w:r>
        <w:t>Nájemce</w:t>
      </w:r>
      <w:r>
        <w:t xml:space="preserve"> </w:t>
      </w:r>
      <w:r w:rsidRPr="00921859">
        <w:t xml:space="preserve">se zavazuje, že </w:t>
      </w:r>
      <w:r>
        <w:t>Neveřejné</w:t>
      </w:r>
      <w:r w:rsidRPr="00921859">
        <w:t xml:space="preserve"> informace užije pouze za účelem plnění Smlouvy. K jinému použití je třeba předchozí písemn</w:t>
      </w:r>
      <w:r>
        <w:t xml:space="preserve">ý souhlas </w:t>
      </w:r>
      <w:r>
        <w:t>Pronajímatel</w:t>
      </w:r>
      <w:r>
        <w:t>e</w:t>
      </w:r>
      <w:r w:rsidRPr="00921859">
        <w:t>.</w:t>
      </w:r>
    </w:p>
    <w:p w:rsidR="008D41FF" w:rsidP="008D41FF">
      <w:pPr>
        <w:pStyle w:val="Heading2"/>
      </w:pPr>
      <w:r>
        <w:t>Nájemce</w:t>
      </w:r>
      <w:r>
        <w:t xml:space="preserve"> je povinen zavázat povinností mlčenlivosti a respektováním práv </w:t>
      </w:r>
      <w:r>
        <w:t>Pronajímatel</w:t>
      </w:r>
      <w:r>
        <w:t>e také třetí osoby, a to nejméně ve stejném rozsahu, v jakém je v tomto smluvním vztahu vázán sám.</w:t>
      </w:r>
    </w:p>
    <w:p w:rsidR="008D41FF" w:rsidRPr="00921859" w:rsidP="008D41FF">
      <w:pPr>
        <w:pStyle w:val="Heading2"/>
        <w:ind w:left="578" w:hanging="578"/>
      </w:pPr>
      <w:r w:rsidRPr="00D82D37">
        <w:t>Závazky vyplývající z</w:t>
      </w:r>
      <w:r w:rsidR="00A21CF8">
        <w:t xml:space="preserve"> článku </w:t>
      </w:r>
      <w:r w:rsidR="00FF2338">
        <w:t>10</w:t>
      </w:r>
      <w:r w:rsidR="00A21CF8">
        <w:t xml:space="preserve"> Smlouvy</w:t>
      </w:r>
      <w:r w:rsidRPr="00D82D37">
        <w:t xml:space="preserve"> není žádná ze Smluvních stran oprávněna vypovědět ani jiným způsobem jednostranně ukončit.</w:t>
      </w:r>
    </w:p>
    <w:p w:rsidR="0020795C" w:rsidP="0020795C">
      <w:pPr>
        <w:pStyle w:val="Heading1"/>
      </w:pPr>
      <w:r w:rsidRPr="004519F2">
        <w:t>smluvní pokuty a úrok z</w:t>
      </w:r>
      <w:r>
        <w:t> </w:t>
      </w:r>
      <w:r w:rsidRPr="004519F2">
        <w:t>prodlení</w:t>
      </w:r>
    </w:p>
    <w:p w:rsidR="00FF2338" w:rsidP="00FF2338">
      <w:pPr>
        <w:pStyle w:val="Heading2"/>
      </w:pPr>
      <w:r>
        <w:t xml:space="preserve">V případě, že Nájemce bude v prodlení s úhradou jakékoliv platby vyplývající ze Smlouvy nebo </w:t>
      </w:r>
      <w:r w:rsidR="00A24B28">
        <w:br/>
      </w:r>
      <w:r w:rsidR="00327EB6">
        <w:t>s úhradou</w:t>
      </w:r>
      <w:r>
        <w:t xml:space="preserve"> Faktury, je Pronajímatel oprávněn požadovat úhradu úroku z prodlení ve výši stanovené příslušnými právními předpisy.</w:t>
      </w:r>
    </w:p>
    <w:p w:rsidR="00FF2338" w:rsidP="0020795C">
      <w:pPr>
        <w:pStyle w:val="Heading2"/>
      </w:pPr>
      <w:r>
        <w:t xml:space="preserve">V případě, že Nájemce poruší některou z povinností </w:t>
      </w:r>
      <w:r w:rsidR="00327EB6">
        <w:t>stanovených</w:t>
      </w:r>
      <w:r>
        <w:t xml:space="preserve"> v článcích </w:t>
      </w:r>
      <w:r w:rsidR="00B307FD">
        <w:t>7</w:t>
      </w:r>
      <w:r>
        <w:t xml:space="preserve">.1 až </w:t>
      </w:r>
      <w:r w:rsidR="00B307FD">
        <w:t>7.1</w:t>
      </w:r>
      <w:r w:rsidR="00900ADC">
        <w:t>3</w:t>
      </w:r>
      <w:r>
        <w:t xml:space="preserve"> Smlouvy, je Pronajímatel oprávněn požadovat úhradu smluvní pokuty ve výši 10 000 Kč za každý jednotlivý případ porušení. </w:t>
      </w:r>
    </w:p>
    <w:p w:rsidR="0047265C" w:rsidP="0047265C">
      <w:pPr>
        <w:pStyle w:val="Heading2"/>
      </w:pPr>
      <w:bookmarkStart w:id="3" w:name="_Hlk200618911"/>
      <w:r>
        <w:t xml:space="preserve">V případě, že </w:t>
      </w:r>
      <w:r w:rsidR="00AD1AC4">
        <w:t>Nájemce</w:t>
      </w:r>
      <w:r>
        <w:t xml:space="preserve"> poruší povinnost stanovenou v článku </w:t>
      </w:r>
      <w:r w:rsidR="00B307FD">
        <w:t>7.1</w:t>
      </w:r>
      <w:r w:rsidR="00000B4D">
        <w:t>7</w:t>
      </w:r>
      <w:r>
        <w:t xml:space="preserve"> Smlouvy, tj. poruší povinnost informovat</w:t>
      </w:r>
      <w:r w:rsidRPr="00AF1C5C">
        <w:t xml:space="preserve"> </w:t>
      </w:r>
      <w:r w:rsidR="00AD1AC4">
        <w:t>Pronajímatel</w:t>
      </w:r>
      <w:r w:rsidRPr="00AF1C5C">
        <w:t xml:space="preserve">e o změně vlastnické struktury </w:t>
      </w:r>
      <w:r w:rsidR="00B74C37">
        <w:t>Nájemce</w:t>
      </w:r>
      <w:r w:rsidRPr="00AF1C5C">
        <w:t xml:space="preserve"> </w:t>
      </w:r>
      <w:r w:rsidR="00C4610E">
        <w:t>ve prospěch Veřejného funkcionáře</w:t>
      </w:r>
      <w:r>
        <w:t xml:space="preserve">, je </w:t>
      </w:r>
      <w:r w:rsidR="00AD1AC4">
        <w:t>Pronajímatel</w:t>
      </w:r>
      <w:r>
        <w:t xml:space="preserve"> oprávněn požadovat úhradu smluvní pokuty ve výši 10</w:t>
      </w:r>
      <w:r w:rsidR="005019B5">
        <w:t xml:space="preserve"> </w:t>
      </w:r>
      <w:r>
        <w:t>000 Kč za každý jednotlivý případ porušení.</w:t>
      </w:r>
    </w:p>
    <w:p w:rsidR="00EC0DFD" w:rsidRPr="00277704" w:rsidP="00EC0DFD">
      <w:pPr>
        <w:pStyle w:val="Heading2"/>
      </w:pPr>
      <w:r w:rsidRPr="00277704">
        <w:t xml:space="preserve">V případě, že </w:t>
      </w:r>
      <w:r w:rsidR="00AD1AC4">
        <w:t>Nájemce</w:t>
      </w:r>
      <w:r w:rsidRPr="00277704">
        <w:t xml:space="preserve"> poruší povinnost stanovenou v článku </w:t>
      </w:r>
      <w:r w:rsidR="00B307FD">
        <w:t>7.1</w:t>
      </w:r>
      <w:r w:rsidR="00000B4D">
        <w:t>8</w:t>
      </w:r>
      <w:r>
        <w:t xml:space="preserve"> Smlouvy</w:t>
      </w:r>
      <w:r w:rsidRPr="00277704">
        <w:t xml:space="preserve">, tj. poruší povinnost, že nevyužije třetí subjekt, na který se vztahuje sankční režim EU, je </w:t>
      </w:r>
      <w:r w:rsidR="00AD1AC4">
        <w:t>Pronajímatel</w:t>
      </w:r>
      <w:r w:rsidR="004C5560">
        <w:t xml:space="preserve"> </w:t>
      </w:r>
      <w:r w:rsidRPr="00277704">
        <w:t>oprávněn požadovat úhradu smluvní pokuty až do výše 1</w:t>
      </w:r>
      <w:r w:rsidR="005019B5">
        <w:t> </w:t>
      </w:r>
      <w:r w:rsidRPr="00277704">
        <w:t>000</w:t>
      </w:r>
      <w:r w:rsidR="005019B5">
        <w:t xml:space="preserve"> </w:t>
      </w:r>
      <w:r w:rsidRPr="00277704">
        <w:t>000 Kč.</w:t>
      </w:r>
    </w:p>
    <w:p w:rsidR="00082CD7" w:rsidRPr="00693737" w:rsidP="00082CD7">
      <w:pPr>
        <w:pStyle w:val="Heading2"/>
      </w:pPr>
      <w:bookmarkEnd w:id="3"/>
      <w:r w:rsidRPr="00921859">
        <w:t>V</w:t>
      </w:r>
      <w:r>
        <w:t> </w:t>
      </w:r>
      <w:r w:rsidRPr="00921859">
        <w:t>případě</w:t>
      </w:r>
      <w:r>
        <w:t xml:space="preserve">, že </w:t>
      </w:r>
      <w:r w:rsidR="00AD1AC4">
        <w:t>Nájemce</w:t>
      </w:r>
      <w:r>
        <w:t xml:space="preserve"> poruší povinnost týkající se Pojištění uvedenou v člán</w:t>
      </w:r>
      <w:r w:rsidR="00B74C37">
        <w:t>cích</w:t>
      </w:r>
      <w:r>
        <w:t xml:space="preserve"> </w:t>
      </w:r>
      <w:r w:rsidR="00B74C37">
        <w:t>9</w:t>
      </w:r>
      <w:r w:rsidR="0047265C">
        <w:t xml:space="preserve">.1, </w:t>
      </w:r>
      <w:r w:rsidR="00B74C37">
        <w:t>9</w:t>
      </w:r>
      <w:r w:rsidR="0047265C">
        <w:t xml:space="preserve">.2 nebo </w:t>
      </w:r>
      <w:r w:rsidR="00B74C37">
        <w:t>9</w:t>
      </w:r>
      <w:r w:rsidR="0047265C">
        <w:t>.3</w:t>
      </w:r>
      <w:r>
        <w:t xml:space="preserve"> Smlouvy</w:t>
      </w:r>
      <w:r>
        <w:t>,</w:t>
      </w:r>
      <w:r w:rsidRPr="00082CD7">
        <w:t xml:space="preserve"> </w:t>
      </w:r>
      <w:r w:rsidRPr="00693737">
        <w:t xml:space="preserve">smluvní povinnost týkající se mlčenlivosti uvedenou v článku </w:t>
      </w:r>
      <w:r w:rsidR="00B74C37">
        <w:t>10</w:t>
      </w:r>
      <w:r w:rsidRPr="00693737">
        <w:t xml:space="preserve"> Smlouvy nebo povinnost </w:t>
      </w:r>
      <w:r w:rsidR="00235A34">
        <w:t xml:space="preserve">týkající se zákazu postoupení pohledávek ze Smlouvy </w:t>
      </w:r>
      <w:r w:rsidR="001E2600">
        <w:t>po</w:t>
      </w:r>
      <w:r w:rsidRPr="00693737">
        <w:t xml:space="preserve">dle </w:t>
      </w:r>
      <w:r w:rsidRPr="00D332C4">
        <w:t>článku 1</w:t>
      </w:r>
      <w:r w:rsidR="00327EB6">
        <w:t>5</w:t>
      </w:r>
      <w:r w:rsidRPr="00D332C4">
        <w:t>.9 Smlouvy</w:t>
      </w:r>
      <w:r w:rsidRPr="00693737">
        <w:t xml:space="preserve">, je </w:t>
      </w:r>
      <w:r w:rsidR="00AD1AC4">
        <w:t>Pronajímatel</w:t>
      </w:r>
      <w:r w:rsidRPr="00693737">
        <w:t xml:space="preserve"> oprávněn požadovat úhradu smluvní pokuty ve výši 50</w:t>
      </w:r>
      <w:r w:rsidR="005019B5">
        <w:t xml:space="preserve"> </w:t>
      </w:r>
      <w:r w:rsidRPr="00693737">
        <w:t>000 Kč za každý jednotlivý případ porušení.</w:t>
      </w:r>
    </w:p>
    <w:p w:rsidR="0047265C" w:rsidP="0047265C">
      <w:pPr>
        <w:pStyle w:val="Heading2"/>
      </w:pPr>
      <w:r>
        <w:t xml:space="preserve">V případě, že </w:t>
      </w:r>
      <w:r w:rsidR="00AD1AC4">
        <w:t>Nájemce</w:t>
      </w:r>
      <w:r>
        <w:t xml:space="preserve"> bude v prodlení s předložením dokladů o platném Pojištění, včetně dokladů o zaplacení pojistného, </w:t>
      </w:r>
      <w:r w:rsidR="00F71AE1">
        <w:t>v souladu s článkem</w:t>
      </w:r>
      <w:r>
        <w:t xml:space="preserve"> </w:t>
      </w:r>
      <w:r w:rsidR="00B74C37">
        <w:t>9</w:t>
      </w:r>
      <w:r>
        <w:t xml:space="preserve">.4 Smlouvy, je </w:t>
      </w:r>
      <w:r w:rsidR="00AD1AC4">
        <w:t>Pronajímatel</w:t>
      </w:r>
      <w:r>
        <w:t xml:space="preserve"> oprávněn požadovat úhradu smluvní pokuty ve výši 500 Kč za každý započatý pracovní den prodlení. </w:t>
      </w:r>
    </w:p>
    <w:p w:rsidR="00327EB6" w:rsidP="00327EB6">
      <w:pPr>
        <w:pStyle w:val="Heading2"/>
      </w:pPr>
      <w:r w:rsidRPr="008F6442">
        <w:t>V případě, že Nájemce poruší některou z povinností stanovených v článku 1</w:t>
      </w:r>
      <w:r>
        <w:t>4</w:t>
      </w:r>
      <w:r w:rsidRPr="008F6442">
        <w:t xml:space="preserve"> Smlouvy a nevyklidí a</w:t>
      </w:r>
      <w:r>
        <w:t>/nebo</w:t>
      </w:r>
      <w:r w:rsidRPr="008F6442">
        <w:t xml:space="preserve"> nepředá </w:t>
      </w:r>
      <w:r>
        <w:t>Nebytové prostory a Movité vybavení</w:t>
      </w:r>
      <w:r w:rsidRPr="008F6442">
        <w:t xml:space="preserve"> po ukončení Smlouvy</w:t>
      </w:r>
      <w:r>
        <w:t>, nebo k datu, na kterém se Smluvní strany dohodnou podle článku 14.3 Smlouvy,</w:t>
      </w:r>
      <w:r w:rsidRPr="008F6442">
        <w:t xml:space="preserve"> je Pronajímatel oprávněn požadovat úhradu smluvní pokuty ve výši </w:t>
      </w:r>
      <w:r>
        <w:t>5</w:t>
      </w:r>
      <w:r w:rsidRPr="008F6442">
        <w:t xml:space="preserve"> 000 Kč za každý započatý kalendářní den prodlení.</w:t>
      </w:r>
    </w:p>
    <w:p w:rsidR="0020795C" w:rsidRPr="00EA3E3B" w:rsidP="0020795C">
      <w:pPr>
        <w:pStyle w:val="Heading2"/>
        <w:rPr>
          <w:i/>
        </w:rPr>
      </w:pPr>
      <w:r>
        <w:t>Pronajímatel</w:t>
      </w:r>
      <w:r w:rsidRPr="00FC0DEF">
        <w:t xml:space="preserve"> je oprávněn uplatňovat vůči </w:t>
      </w:r>
      <w:r w:rsidR="00B74C37">
        <w:t>Nájemci</w:t>
      </w:r>
      <w:r w:rsidRPr="00FC0DEF">
        <w:t xml:space="preserve"> veškeré smluvní pokuty, na které mu bude </w:t>
      </w:r>
      <w:r w:rsidR="00327EB6">
        <w:br/>
      </w:r>
      <w:r w:rsidRPr="00FC0DEF">
        <w:t xml:space="preserve">z porušení Smlouvy </w:t>
      </w:r>
      <w:r w:rsidR="00B74C37">
        <w:t>Nájemcem</w:t>
      </w:r>
      <w:r w:rsidRPr="00FC0DEF">
        <w:t xml:space="preserve"> vyplývat nárok </w:t>
      </w:r>
      <w:r w:rsidR="001E2600">
        <w:t>po</w:t>
      </w:r>
      <w:r w:rsidRPr="00FC0DEF">
        <w:t xml:space="preserve">dle tohoto </w:t>
      </w:r>
      <w:r w:rsidRPr="006E125A">
        <w:t>článku</w:t>
      </w:r>
      <w:r w:rsidR="002340C2">
        <w:t xml:space="preserve"> 1</w:t>
      </w:r>
      <w:r w:rsidR="00B74C37">
        <w:t>1</w:t>
      </w:r>
      <w:r w:rsidR="002340C2">
        <w:t xml:space="preserve"> Smlouvy</w:t>
      </w:r>
      <w:r w:rsidRPr="006E125A">
        <w:t xml:space="preserve">. </w:t>
      </w:r>
      <w:bookmarkStart w:id="4" w:name="_Hlk200619027"/>
      <w:r w:rsidRPr="006E125A">
        <w:t xml:space="preserve">Zaplacení smluvní pokuty nezbavuje </w:t>
      </w:r>
      <w:r w:rsidR="00B74C37">
        <w:t>Nájemce</w:t>
      </w:r>
      <w:r w:rsidRPr="006E125A">
        <w:t xml:space="preserve"> povinnosti splnit závazek utvrzený smluvní pokutou. </w:t>
      </w:r>
      <w:bookmarkEnd w:id="4"/>
      <w:r w:rsidRPr="00EA3E3B">
        <w:t xml:space="preserve">Zaplacením smluvní pokuty není dotčeno právo na náhradu škody vzniklé z porušení povinnosti, ke které se smluvní pokuta vztahuje. Zaplacením smluvní pokuty není dotčeno právo na úrok z prodlení </w:t>
      </w:r>
      <w:r w:rsidR="001E2600">
        <w:t>po</w:t>
      </w:r>
      <w:r w:rsidRPr="00EA3E3B">
        <w:t>dle platných právních předpisů.</w:t>
      </w:r>
    </w:p>
    <w:p w:rsidR="0020795C" w:rsidP="0020795C">
      <w:pPr>
        <w:pStyle w:val="Heading2"/>
      </w:pPr>
      <w:r w:rsidRPr="00EA3E3B">
        <w:t>Smluvní pokuta nebo úrok z prodlení j</w:t>
      </w:r>
      <w:r>
        <w:t>sou</w:t>
      </w:r>
      <w:r w:rsidRPr="00EA3E3B">
        <w:t xml:space="preserve"> splatn</w:t>
      </w:r>
      <w:r>
        <w:t>é</w:t>
      </w:r>
      <w:r w:rsidRPr="00EA3E3B">
        <w:t xml:space="preserve"> </w:t>
      </w:r>
      <w:r>
        <w:t xml:space="preserve">ve lhůtě 30 kalendářních </w:t>
      </w:r>
      <w:r w:rsidRPr="00EA3E3B">
        <w:t xml:space="preserve">dnů od doručení </w:t>
      </w:r>
      <w:r>
        <w:t>písemné výzvy oprávněné Smluvní strany Smluvní straně povinné ze smluvní sankce. Výzva musí obsahovat kromě vyčíslení</w:t>
      </w:r>
      <w:r w:rsidRPr="00EA3E3B">
        <w:t xml:space="preserve"> výše smluvní pokuty nebo úroku</w:t>
      </w:r>
      <w:r>
        <w:t xml:space="preserve"> z prodlení také informaci </w:t>
      </w:r>
      <w:r w:rsidR="000658D0">
        <w:br/>
      </w:r>
      <w:r>
        <w:t>o způsobu úhrady.</w:t>
      </w:r>
    </w:p>
    <w:p w:rsidR="00CA5A5A" w:rsidRPr="00E80FE6" w:rsidP="00CA5A5A">
      <w:pPr>
        <w:pStyle w:val="Heading1"/>
      </w:pPr>
      <w:r>
        <w:t>doba nájmu</w:t>
      </w:r>
    </w:p>
    <w:p w:rsidR="00CA5A5A" w:rsidP="00CA5A5A">
      <w:pPr>
        <w:pStyle w:val="Heading2"/>
        <w:ind w:left="578" w:hanging="578"/>
      </w:pPr>
      <w:r w:rsidRPr="004519F2">
        <w:t>Tato Smlouva nabývá platnosti dnem jejího podpisu oběma Smluvními stranami a účinnosti dne</w:t>
      </w:r>
      <w:r>
        <w:t xml:space="preserve"> </w:t>
      </w:r>
      <w:r w:rsidRPr="00DE5B9E">
        <w:t>1. 6. 2026 nebo</w:t>
      </w:r>
      <w:r>
        <w:t xml:space="preserve"> dnem</w:t>
      </w:r>
      <w:r w:rsidRPr="004519F2">
        <w:t xml:space="preserve"> </w:t>
      </w:r>
      <w:r w:rsidRPr="00176A4E">
        <w:t>uveřejnění v</w:t>
      </w:r>
      <w:r>
        <w:t> </w:t>
      </w:r>
      <w:r w:rsidRPr="00176A4E">
        <w:t xml:space="preserve">registru smluv </w:t>
      </w:r>
      <w:r>
        <w:t>podle zákona</w:t>
      </w:r>
      <w:r w:rsidRPr="00176A4E">
        <w:t xml:space="preserve"> č. 340/2015 Sb., o zvláštních podmínkách účinnosti některých smluv, uveřejňování těchto smluv a o registru smluv (zákon </w:t>
      </w:r>
      <w:r>
        <w:br/>
      </w:r>
      <w:r w:rsidRPr="00176A4E">
        <w:t>o registru smluv)</w:t>
      </w:r>
      <w:r>
        <w:t>, ve znění pozdějších předpisů (dále jen „</w:t>
      </w:r>
      <w:r w:rsidRPr="0018205C">
        <w:rPr>
          <w:b/>
        </w:rPr>
        <w:t>Zákon o registru smluv</w:t>
      </w:r>
      <w:r>
        <w:t xml:space="preserve">“), </w:t>
      </w:r>
      <w:r w:rsidRPr="007574A6">
        <w:t>podle toho, která z těchto skutečností nastane později.</w:t>
      </w:r>
      <w:r w:rsidRPr="00176A4E">
        <w:t xml:space="preserve"> </w:t>
      </w:r>
      <w:r>
        <w:t xml:space="preserve">Pronajímatel se zavazuje, že tuto Smlouvu včetně jejích příloh (s vyloučením jinak chráněných informací) </w:t>
      </w:r>
      <w:r>
        <w:rPr>
          <w:rStyle w:val="h1a"/>
        </w:rPr>
        <w:t>uveřejní v registru smluv a o jejím uveřejnění bude prostřednictvím e-mailové zprávy informovat Oprávněnou osobu Nájemce uvedenou v článku 14.3 písm. b) Smlouvy (dále jen „</w:t>
      </w:r>
      <w:r w:rsidRPr="007574A6">
        <w:rPr>
          <w:rStyle w:val="h1a"/>
          <w:b/>
          <w:bCs w:val="0"/>
        </w:rPr>
        <w:t>Oprávněná osoba Nájemce</w:t>
      </w:r>
      <w:r>
        <w:rPr>
          <w:rStyle w:val="h1a"/>
        </w:rPr>
        <w:t>“).</w:t>
      </w:r>
    </w:p>
    <w:p w:rsidR="00CA5A5A" w:rsidP="00CA5A5A">
      <w:pPr>
        <w:pStyle w:val="Heading2"/>
      </w:pPr>
      <w:r>
        <w:t xml:space="preserve">Tato Smlouva se podle § 27 odst. 2 Zákona o majetku státu uzavírá na dobu určitou do </w:t>
      </w:r>
      <w:r>
        <w:rPr>
          <w:rFonts w:cs="Arial"/>
        </w:rPr>
        <w:t>[</w:t>
      </w:r>
      <w:r w:rsidRPr="007574A6">
        <w:rPr>
          <w:highlight w:val="green"/>
        </w:rPr>
        <w:t>doplní Pronajímatel před podpisem Smlouvy podle nabídky vybraného Nájemce</w:t>
      </w:r>
      <w:r>
        <w:rPr>
          <w:rFonts w:cs="Arial"/>
        </w:rPr>
        <w:t>]</w:t>
      </w:r>
      <w:r>
        <w:t xml:space="preserve"> (dále jen „</w:t>
      </w:r>
      <w:r w:rsidRPr="007574A6">
        <w:rPr>
          <w:b/>
          <w:bCs w:val="0"/>
        </w:rPr>
        <w:t>Doba nájmu</w:t>
      </w:r>
      <w:r>
        <w:t>“).</w:t>
      </w:r>
    </w:p>
    <w:p w:rsidR="00CA5A5A" w:rsidP="00CA5A5A">
      <w:pPr>
        <w:pStyle w:val="Heading2"/>
      </w:pPr>
      <w:r>
        <w:t>Smluvní strany se výslovně dohodly na vyloučení opětovného uzavření Smlouvy podle § 2230 Občanského zákoníku a ujednávají si, že Smlouva končí k datu sjednanému v článku 1</w:t>
      </w:r>
      <w:r w:rsidR="00A24B28">
        <w:t>2</w:t>
      </w:r>
      <w:r>
        <w:t>.2 Smlouvy, a případné další užívání Předmětu nájmu Nájemcem nebude pokládáno za opětovné uzavření Smlouvy. Toto ujednání zároveň Smluvní strany pokládají za sdělení o ukončení Smlouvy podle § 2230 odst. 2 Občanského zákoníku ke sjednanému datu a případné další užívání Předmětu nájmu Nájemcem nebude pokládáno za opětovné uzavření Smlouvy.</w:t>
      </w:r>
    </w:p>
    <w:p w:rsidR="00CA5A5A" w:rsidRPr="00613BFB" w:rsidP="00CA5A5A">
      <w:pPr>
        <w:pStyle w:val="Heading2"/>
      </w:pPr>
      <w:r>
        <w:t xml:space="preserve">Za předpokladu, že by prodloužení Doby nájmu splňovalo podmínky podle § 27 odst. 2 Zákona o majetku státu, je Nájemce oprávněn před ukončením Doby nájmu požádat Pronajímatele </w:t>
      </w:r>
      <w:r>
        <w:br/>
        <w:t>o prodloužení Smlouvy. V případě, že se Smluvní strany před ukončením Doby nájmu písemně na prodloužení Smlouvy nedohodnou, je Nájemce povinen Předmět nájmu ke dni ukončení Doby nájmu, popř. ke dni vzájemně dohodnutému oběma Smluvními stranami, vyklidit a předat Pronajímateli, o čemž bude mezi Smluvními stranami sepsán předávací protokol.</w:t>
      </w:r>
    </w:p>
    <w:p w:rsidR="00F51B34" w:rsidRPr="004519F2" w:rsidP="00601045">
      <w:pPr>
        <w:pStyle w:val="Heading1"/>
      </w:pPr>
      <w:r>
        <w:t>ukončení smlouvy</w:t>
      </w:r>
    </w:p>
    <w:p w:rsidR="00B74C37" w:rsidP="0020795C">
      <w:pPr>
        <w:pStyle w:val="Heading2"/>
        <w:ind w:left="578" w:hanging="578"/>
      </w:pPr>
      <w:r>
        <w:t xml:space="preserve">Před uplynutím sjednané Doby nájmu lze Smlouvu ukončit pouze jedním z následujících způsobů: </w:t>
      </w:r>
    </w:p>
    <w:p w:rsidR="00F51B34" w:rsidP="00743020">
      <w:pPr>
        <w:pStyle w:val="Heading4"/>
        <w:numPr>
          <w:ilvl w:val="0"/>
          <w:numId w:val="5"/>
        </w:numPr>
        <w:ind w:left="1134" w:hanging="567"/>
      </w:pPr>
      <w:r>
        <w:t>písemnou dohodou Smluvních stran; v takovém případě končí platnost Smlouvy dnem uvedeným v dohodě;</w:t>
      </w:r>
    </w:p>
    <w:p w:rsidR="00B74C37" w:rsidP="00743020">
      <w:pPr>
        <w:pStyle w:val="Heading4"/>
        <w:numPr>
          <w:ilvl w:val="0"/>
          <w:numId w:val="4"/>
        </w:numPr>
        <w:ind w:left="1134" w:hanging="567"/>
      </w:pPr>
      <w:r w:rsidRPr="00B74C37">
        <w:t xml:space="preserve">písemnou výpovědí Pronajímatele bez výpovědní doby, pokud přestanou být plněny podmínky uvedené v § 27 odst. 1 Zákona o majetku státu; v takovém případě je okamžité ukončení užívacího vztahu založeného Smlouvou účinné dnem doručení oznámení Nájemci; </w:t>
      </w:r>
    </w:p>
    <w:p w:rsidR="00F51B34" w:rsidP="00743020">
      <w:pPr>
        <w:pStyle w:val="Heading4"/>
        <w:numPr>
          <w:ilvl w:val="0"/>
          <w:numId w:val="4"/>
        </w:numPr>
        <w:ind w:left="1134" w:hanging="567"/>
      </w:pPr>
      <w:r>
        <w:t xml:space="preserve">písemnou </w:t>
      </w:r>
      <w:r w:rsidRPr="00D4525F">
        <w:t>výpovědí kterékoliv ze Smluvních stran, a to i bez uvedení důvodu; výpověd</w:t>
      </w:r>
      <w:r w:rsidRPr="00D4525F" w:rsidR="003473FD">
        <w:t xml:space="preserve">ní doba činí </w:t>
      </w:r>
      <w:r w:rsidRPr="00D4525F" w:rsidR="00B74C37">
        <w:t>2 kalendářní měsíce</w:t>
      </w:r>
      <w:r w:rsidRPr="00D4525F">
        <w:t xml:space="preserve"> a počíná</w:t>
      </w:r>
      <w:r>
        <w:t xml:space="preserve"> běžet p</w:t>
      </w:r>
      <w:r w:rsidR="00E336EF">
        <w:t>rvním dnem měsíce následujícího po měsíci, v němž bylo písemné vyhotovení výpovědi prokazatelně doručen</w:t>
      </w:r>
      <w:r w:rsidR="009F48CF">
        <w:t>o</w:t>
      </w:r>
      <w:r w:rsidR="00E336EF">
        <w:t xml:space="preserve"> druhé </w:t>
      </w:r>
      <w:r>
        <w:t>Smluvní straně;</w:t>
      </w:r>
    </w:p>
    <w:p w:rsidR="00F51B34" w:rsidRPr="0011114A" w:rsidP="00743020">
      <w:pPr>
        <w:pStyle w:val="Heading4"/>
        <w:numPr>
          <w:ilvl w:val="0"/>
          <w:numId w:val="4"/>
        </w:numPr>
        <w:ind w:left="1134" w:hanging="567"/>
      </w:pPr>
      <w:r>
        <w:t xml:space="preserve">písemným odstoupením od Smlouvy za podmínek </w:t>
      </w:r>
      <w:r w:rsidR="00E336EF">
        <w:t>stanovených v</w:t>
      </w:r>
      <w:r w:rsidR="00120428">
        <w:t> </w:t>
      </w:r>
      <w:r w:rsidRPr="0020795C" w:rsidR="00E336EF">
        <w:t>člán</w:t>
      </w:r>
      <w:r w:rsidR="00DD6411">
        <w:t>cích</w:t>
      </w:r>
      <w:r w:rsidRPr="0020795C" w:rsidR="00E336EF">
        <w:t xml:space="preserve"> </w:t>
      </w:r>
      <w:r w:rsidR="00DD6411">
        <w:t>1</w:t>
      </w:r>
      <w:r w:rsidR="00327EB6">
        <w:t>3</w:t>
      </w:r>
      <w:r w:rsidR="00DD6411">
        <w:t>.2</w:t>
      </w:r>
      <w:r w:rsidR="00E336EF">
        <w:t xml:space="preserve"> </w:t>
      </w:r>
      <w:r w:rsidR="00DD6411">
        <w:t>a 1</w:t>
      </w:r>
      <w:r w:rsidR="00327EB6">
        <w:t>3</w:t>
      </w:r>
      <w:r w:rsidR="00DD6411">
        <w:t xml:space="preserve">.3 </w:t>
      </w:r>
      <w:r w:rsidR="00E336EF">
        <w:t>Smlouvy</w:t>
      </w:r>
      <w:r>
        <w:t>.</w:t>
      </w:r>
    </w:p>
    <w:p w:rsidR="0020795C" w:rsidP="0020795C">
      <w:pPr>
        <w:pStyle w:val="Heading2"/>
      </w:pPr>
      <w:r w:rsidRPr="007C0013">
        <w:t>Smluvní strany jsou oprávněny od Smlouvy odstoupit, nastanou-li okolnosti předvídané § 2002 Občanského zákoníku.</w:t>
      </w:r>
      <w:r>
        <w:t xml:space="preserve"> Odstoupením se závazek Smlouvou založený zrušuje pouze ohledně nesplněného zbytku plnění </w:t>
      </w:r>
      <w:r w:rsidRPr="007C0013">
        <w:t xml:space="preserve">okamžikem účinnosti odstoupení od Smlouvy (ex </w:t>
      </w:r>
      <w:r w:rsidRPr="007C0013">
        <w:t>nunc</w:t>
      </w:r>
      <w:r w:rsidRPr="007C0013">
        <w:t>)</w:t>
      </w:r>
      <w:r>
        <w:t>. Smluvní strany si jsou povinny vyrovna</w:t>
      </w:r>
      <w:r w:rsidR="000658D0">
        <w:t>t dosavadní vzájemné závazky ze</w:t>
      </w:r>
      <w:r>
        <w:t xml:space="preserve"> Smlouvy, a to bez zbytečného odkladu, nejpozději však do 30 kalendářních dnů od doručení oznámení Smluvní strany </w:t>
      </w:r>
      <w:r w:rsidR="00D332C4">
        <w:br/>
      </w:r>
      <w:r>
        <w:t>o odstoupení od Smlouvy</w:t>
      </w:r>
      <w:r w:rsidRPr="006330B3">
        <w:t xml:space="preserve">. </w:t>
      </w:r>
    </w:p>
    <w:p w:rsidR="0020795C" w:rsidP="00DD6411">
      <w:pPr>
        <w:pStyle w:val="Heading2"/>
        <w:keepNext/>
        <w:ind w:left="567" w:hanging="567"/>
      </w:pPr>
      <w:r>
        <w:t xml:space="preserve">Za podstatné porušení Smlouvy se </w:t>
      </w:r>
      <w:r w:rsidR="005019B5">
        <w:t>podle</w:t>
      </w:r>
      <w:r>
        <w:t xml:space="preserve"> § 2002 Občanského zákoníku považují zejména případy, kdy:</w:t>
      </w:r>
    </w:p>
    <w:p w:rsidR="00DD6411" w:rsidP="00743020">
      <w:pPr>
        <w:pStyle w:val="Heading4"/>
        <w:numPr>
          <w:ilvl w:val="0"/>
          <w:numId w:val="11"/>
        </w:numPr>
        <w:ind w:left="1134" w:hanging="567"/>
      </w:pPr>
      <w:r>
        <w:t>Pronajímatel je v prodlení s poskytováním či zajišťováním Služeb déle než 30 kalendářních dnů;</w:t>
      </w:r>
    </w:p>
    <w:p w:rsidR="0020795C" w:rsidRPr="00134B64" w:rsidP="00743020">
      <w:pPr>
        <w:pStyle w:val="Heading4"/>
        <w:numPr>
          <w:ilvl w:val="0"/>
          <w:numId w:val="11"/>
        </w:numPr>
        <w:ind w:left="1134" w:hanging="567"/>
      </w:pPr>
      <w:r>
        <w:t>Nájemce</w:t>
      </w:r>
      <w:r w:rsidRPr="00134B64">
        <w:t xml:space="preserve"> je v prodlení s úhradou </w:t>
      </w:r>
      <w:r w:rsidR="00DD6411">
        <w:t>jakékoliv platby vyplývající ze Smlouvy déle než 30 kalendářních dnů;</w:t>
      </w:r>
    </w:p>
    <w:p w:rsidR="00327EB6" w:rsidP="00327EB6">
      <w:pPr>
        <w:pStyle w:val="Heading4"/>
      </w:pPr>
      <w:r>
        <w:t xml:space="preserve">Nájemce v rozporu s článkem 2.2 Smlouvy užívá Nebytové prostory k jinému účelu; </w:t>
      </w:r>
    </w:p>
    <w:p w:rsidR="00D4525F" w:rsidP="00D02789">
      <w:pPr>
        <w:pStyle w:val="Heading4"/>
      </w:pPr>
      <w:r>
        <w:t>Nájemce v rozporu s článkem 3.6 Smlouvy neodstraní neshody cen zboží a výrobků prodávaných v Bufetu;</w:t>
      </w:r>
    </w:p>
    <w:p w:rsidR="00327EB6" w:rsidP="00D02789">
      <w:pPr>
        <w:pStyle w:val="Heading4"/>
      </w:pPr>
      <w:r>
        <w:t xml:space="preserve">Nájemce v rozporu s článkem </w:t>
      </w:r>
      <w:r>
        <w:t>7.1</w:t>
      </w:r>
      <w:r w:rsidR="00000B4D">
        <w:t>4</w:t>
      </w:r>
      <w:r>
        <w:t xml:space="preserve"> Smlouvy </w:t>
      </w:r>
      <w:r w:rsidRPr="00BF7D86">
        <w:t>přenecha</w:t>
      </w:r>
      <w:r>
        <w:t>l</w:t>
      </w:r>
      <w:r w:rsidRPr="00BF7D86">
        <w:t xml:space="preserve"> </w:t>
      </w:r>
      <w:r>
        <w:t>Nebytové prostory</w:t>
      </w:r>
      <w:r w:rsidRPr="00BF7D86">
        <w:t xml:space="preserve"> </w:t>
      </w:r>
      <w:r>
        <w:t>n</w:t>
      </w:r>
      <w:r w:rsidRPr="00BF7D86">
        <w:t>ebo je</w:t>
      </w:r>
      <w:r>
        <w:t>jich</w:t>
      </w:r>
      <w:r w:rsidRPr="00BF7D86">
        <w:t xml:space="preserve"> část do podnájmu třetí osobě</w:t>
      </w:r>
      <w:r>
        <w:t xml:space="preserve"> bez předchozího písemného souhlasu Pronajímatele</w:t>
      </w:r>
      <w:r>
        <w:t xml:space="preserve"> nebo v</w:t>
      </w:r>
      <w:r>
        <w:t xml:space="preserve"> rozporu s článkem </w:t>
      </w:r>
      <w:r>
        <w:t>7.1</w:t>
      </w:r>
      <w:r w:rsidR="00000B4D">
        <w:t>5</w:t>
      </w:r>
      <w:r>
        <w:t xml:space="preserve"> </w:t>
      </w:r>
      <w:r w:rsidRPr="00DD6411">
        <w:t>Smlouvy postoupil práva či převedl povinnosti Nájemce na třetí osobu bez předchozího písemného souhlasu Pronajímatele</w:t>
      </w:r>
      <w:r>
        <w:t xml:space="preserve"> nebo v rozporu s článkem 7.1</w:t>
      </w:r>
      <w:r w:rsidR="00000B4D">
        <w:t>6</w:t>
      </w:r>
      <w:r>
        <w:t xml:space="preserve"> Smlouvy provedl stavební</w:t>
      </w:r>
      <w:r w:rsidR="00A24B28">
        <w:t>, technické</w:t>
      </w:r>
      <w:r>
        <w:t xml:space="preserve"> či jiné úpravy Nebytových prostor či Movitého vybavení bez předchozího písemného souhlasu Pronajímatele;</w:t>
      </w:r>
    </w:p>
    <w:p w:rsidR="00DD6411" w:rsidP="0020795C">
      <w:pPr>
        <w:pStyle w:val="Heading4"/>
      </w:pPr>
      <w:r w:rsidRPr="00DD6411">
        <w:t>Nájemce zvlášť hrubě porušil povinnosti Nájemce vyplývající ze Smlouvy či obecně závazných právních předpisů vztahujících se k</w:t>
      </w:r>
      <w:r>
        <w:t> Nebytovým prostorům</w:t>
      </w:r>
      <w:r w:rsidR="00327EB6">
        <w:t xml:space="preserve"> nebo účelu Smlouvy</w:t>
      </w:r>
      <w:r>
        <w:t>;</w:t>
      </w:r>
    </w:p>
    <w:p w:rsidR="00327EB6" w:rsidP="00327EB6">
      <w:pPr>
        <w:pStyle w:val="Heading4"/>
      </w:pPr>
      <w:r>
        <w:t>Nebytové prostory se bez zavinění Nájemce sta</w:t>
      </w:r>
      <w:r w:rsidR="00A24B28">
        <w:t>ly</w:t>
      </w:r>
      <w:r>
        <w:t xml:space="preserve"> nezpůsobilými k užívání </w:t>
      </w:r>
      <w:r>
        <w:br/>
        <w:t xml:space="preserve">k dohodnutému účelu Smlouvy; </w:t>
      </w:r>
    </w:p>
    <w:p w:rsidR="0020795C" w:rsidP="0020795C">
      <w:pPr>
        <w:pStyle w:val="Heading4"/>
      </w:pPr>
      <w:r>
        <w:t>Nájemce</w:t>
      </w:r>
      <w:r>
        <w:t xml:space="preserve"> přestane být subjektem oprávněným</w:t>
      </w:r>
      <w:r w:rsidR="00DD6411">
        <w:t xml:space="preserve"> k provozování Bufetu</w:t>
      </w:r>
      <w:r>
        <w:t xml:space="preserve"> </w:t>
      </w:r>
      <w:r w:rsidR="00DD6411">
        <w:t>podle</w:t>
      </w:r>
      <w:r>
        <w:t xml:space="preserve"> Smlouvy;</w:t>
      </w:r>
    </w:p>
    <w:p w:rsidR="0020795C" w:rsidP="0020795C">
      <w:pPr>
        <w:pStyle w:val="Heading4"/>
      </w:pPr>
      <w:r w:rsidRPr="007C0013">
        <w:t xml:space="preserve">bude rozhodnuto o likvidaci </w:t>
      </w:r>
      <w:r w:rsidR="00DD6411">
        <w:t>Nájemce</w:t>
      </w:r>
      <w:r>
        <w:t>;</w:t>
      </w:r>
    </w:p>
    <w:p w:rsidR="0020795C" w:rsidP="0020795C">
      <w:pPr>
        <w:pStyle w:val="Heading4"/>
      </w:pPr>
      <w:r>
        <w:t>Nájemce</w:t>
      </w:r>
      <w:r>
        <w:t xml:space="preserve"> </w:t>
      </w:r>
      <w:r w:rsidRPr="00C6098E">
        <w:t xml:space="preserve">podá insolvenční návrh ohledně své osoby, bude rozhodnuto o úpadku </w:t>
      </w:r>
      <w:r w:rsidR="00DD6411">
        <w:t>Nájemce</w:t>
      </w:r>
      <w:r>
        <w:t xml:space="preserve"> </w:t>
      </w:r>
      <w:r w:rsidRPr="00C6098E">
        <w:t xml:space="preserve">nebo bude ve vztahu k </w:t>
      </w:r>
      <w:r w:rsidR="00DD6411">
        <w:t>Nájemci</w:t>
      </w:r>
      <w:r w:rsidRPr="00C6098E">
        <w:t xml:space="preserve"> vydáno jiné rozhodnutí s obdobnými účinky</w:t>
      </w:r>
      <w:r>
        <w:t>;</w:t>
      </w:r>
    </w:p>
    <w:p w:rsidR="00897B21" w:rsidP="00897B21">
      <w:pPr>
        <w:pStyle w:val="Heading4"/>
      </w:pPr>
      <w:r>
        <w:t>Nájemce</w:t>
      </w:r>
      <w:r>
        <w:t xml:space="preserve"> byl</w:t>
      </w:r>
      <w:r w:rsidRPr="008D189E">
        <w:t xml:space="preserve"> pravomocně odsouzen za majetko</w:t>
      </w:r>
      <w:r>
        <w:t xml:space="preserve">vý nebo hospodářský trestný čin přičitatelný právnické osobě </w:t>
      </w:r>
      <w:r>
        <w:rPr>
          <w:rFonts w:cs="Arial"/>
        </w:rPr>
        <w:t>[</w:t>
      </w:r>
      <w:r w:rsidRPr="00964C28">
        <w:rPr>
          <w:highlight w:val="green"/>
        </w:rPr>
        <w:t xml:space="preserve">v případě, že bude </w:t>
      </w:r>
      <w:r>
        <w:rPr>
          <w:highlight w:val="green"/>
        </w:rPr>
        <w:t xml:space="preserve">vybraný </w:t>
      </w:r>
      <w:r>
        <w:rPr>
          <w:highlight w:val="green"/>
        </w:rPr>
        <w:t>Nájemce</w:t>
      </w:r>
      <w:r w:rsidRPr="00964C28">
        <w:rPr>
          <w:highlight w:val="green"/>
        </w:rPr>
        <w:t xml:space="preserve"> fyzickou osobou či fyzickou osobou podnikající, bude nahrazeno následujícím zněním: </w:t>
      </w:r>
      <w:r>
        <w:rPr>
          <w:highlight w:val="green"/>
        </w:rPr>
        <w:t>„</w:t>
      </w:r>
      <w:r>
        <w:rPr>
          <w:highlight w:val="green"/>
        </w:rPr>
        <w:t>Nájemce</w:t>
      </w:r>
      <w:r w:rsidRPr="00964C28">
        <w:rPr>
          <w:highlight w:val="green"/>
        </w:rPr>
        <w:t xml:space="preserve"> byl pravomocně odsouzen za úmyslný majetk</w:t>
      </w:r>
      <w:r>
        <w:rPr>
          <w:highlight w:val="green"/>
        </w:rPr>
        <w:t>ový nebo hospodářský trestný čin</w:t>
      </w:r>
      <w:r w:rsidRPr="00787B6C">
        <w:rPr>
          <w:highlight w:val="green"/>
        </w:rPr>
        <w:t>“</w:t>
      </w:r>
      <w:r>
        <w:rPr>
          <w:rFonts w:cs="Arial"/>
        </w:rPr>
        <w:t>]</w:t>
      </w:r>
      <w:r>
        <w:t>;</w:t>
      </w:r>
    </w:p>
    <w:p w:rsidR="00EC0DFD" w:rsidRPr="008C32F1" w:rsidP="00EC0DFD">
      <w:pPr>
        <w:pStyle w:val="Heading4"/>
      </w:pPr>
      <w:r>
        <w:rPr>
          <w:rFonts w:cs="Arial"/>
          <w:szCs w:val="20"/>
        </w:rPr>
        <w:t>Nájemce</w:t>
      </w:r>
      <w:r>
        <w:rPr>
          <w:rFonts w:cs="Arial"/>
          <w:szCs w:val="20"/>
        </w:rPr>
        <w:t xml:space="preserve"> </w:t>
      </w:r>
      <w:r>
        <w:t xml:space="preserve">poruší povinnost nevyužít při plnění Smlouvy </w:t>
      </w:r>
      <w:r w:rsidRPr="00474A9B">
        <w:t xml:space="preserve">třetí subjekt, na který se vztahuje sankční režim EU </w:t>
      </w:r>
      <w:r w:rsidR="003346D0">
        <w:t>podle</w:t>
      </w:r>
      <w:r w:rsidRPr="00474A9B">
        <w:t xml:space="preserve"> </w:t>
      </w:r>
      <w:r w:rsidR="003B215F">
        <w:t>N</w:t>
      </w:r>
      <w:r w:rsidRPr="00474A9B">
        <w:t xml:space="preserve">ařízení Rady (EU) č. 269/2014 a </w:t>
      </w:r>
      <w:r w:rsidR="003B215F">
        <w:t>N</w:t>
      </w:r>
      <w:r w:rsidRPr="00474A9B">
        <w:t xml:space="preserve">ařízení Rady (EU) </w:t>
      </w:r>
      <w:r w:rsidR="00DD6411">
        <w:br/>
      </w:r>
      <w:r w:rsidRPr="00474A9B">
        <w:t>č. 833/2014</w:t>
      </w:r>
      <w:r w:rsidR="00897B21">
        <w:t>.</w:t>
      </w:r>
    </w:p>
    <w:p w:rsidR="0020795C" w:rsidP="0020795C">
      <w:pPr>
        <w:pStyle w:val="Heading2"/>
      </w:pPr>
      <w:r w:rsidRPr="003952EA">
        <w:t>Nastane-li některý z</w:t>
      </w:r>
      <w:r>
        <w:t> </w:t>
      </w:r>
      <w:r w:rsidRPr="003952EA">
        <w:t>případů uvedených v</w:t>
      </w:r>
      <w:r>
        <w:t> </w:t>
      </w:r>
      <w:r w:rsidRPr="003952EA">
        <w:t>článku</w:t>
      </w:r>
      <w:r>
        <w:t xml:space="preserve"> </w:t>
      </w:r>
      <w:r w:rsidR="00DD6411">
        <w:t>1</w:t>
      </w:r>
      <w:r w:rsidR="00327EB6">
        <w:t>3</w:t>
      </w:r>
      <w:r w:rsidR="00DD6411">
        <w:t>.3</w:t>
      </w:r>
      <w:r w:rsidRPr="006330B3">
        <w:t xml:space="preserve"> písm. </w:t>
      </w:r>
      <w:r w:rsidR="00D4525F">
        <w:t>h</w:t>
      </w:r>
      <w:r w:rsidRPr="006330B3">
        <w:t xml:space="preserve">) až </w:t>
      </w:r>
      <w:r w:rsidR="00D4525F">
        <w:t>k</w:t>
      </w:r>
      <w:r w:rsidRPr="006330B3">
        <w:t>)</w:t>
      </w:r>
      <w:r>
        <w:t xml:space="preserve"> Smlouvy</w:t>
      </w:r>
      <w:r w:rsidRPr="003952EA">
        <w:t xml:space="preserve">, je </w:t>
      </w:r>
      <w:r w:rsidR="00AD1AC4">
        <w:t>Nájemce</w:t>
      </w:r>
      <w:r w:rsidRPr="003952EA">
        <w:t xml:space="preserve"> povinen informovat o této skutečnosti </w:t>
      </w:r>
      <w:r w:rsidR="00AD1AC4">
        <w:t>Pronajímatel</w:t>
      </w:r>
      <w:r>
        <w:t>e</w:t>
      </w:r>
      <w:r w:rsidRPr="003952EA">
        <w:t xml:space="preserve"> písemně do </w:t>
      </w:r>
      <w:r>
        <w:t>3 pracovních</w:t>
      </w:r>
      <w:r w:rsidRPr="003952EA">
        <w:t xml:space="preserve"> dnů od jejího vzniku, společně s</w:t>
      </w:r>
      <w:r>
        <w:t> </w:t>
      </w:r>
      <w:r w:rsidRPr="003952EA">
        <w:t>informací o tom, o kterou ze skutečností jde, a s</w:t>
      </w:r>
      <w:r>
        <w:t> </w:t>
      </w:r>
      <w:r w:rsidRPr="003952EA">
        <w:t xml:space="preserve">uvedením bližších údajů, které by </w:t>
      </w:r>
      <w:r w:rsidR="00AD1AC4">
        <w:t>Pronajímatel</w:t>
      </w:r>
      <w:r w:rsidRPr="003952EA">
        <w:t xml:space="preserve"> mohl v</w:t>
      </w:r>
      <w:r>
        <w:t> </w:t>
      </w:r>
      <w:r w:rsidRPr="003952EA">
        <w:t xml:space="preserve">této souvislosti potřebovat pro své rozhodnutí o odstoupení od </w:t>
      </w:r>
      <w:r>
        <w:t>Smlouvy</w:t>
      </w:r>
      <w:r w:rsidRPr="003952EA">
        <w:t xml:space="preserve">. </w:t>
      </w:r>
      <w:r w:rsidRPr="007C0013" w:rsidR="00F71AE1">
        <w:t xml:space="preserve">Nedodržení povinnosti </w:t>
      </w:r>
      <w:r w:rsidR="00F71AE1">
        <w:t xml:space="preserve">podle tohoto článku </w:t>
      </w:r>
      <w:r w:rsidRPr="007C0013" w:rsidR="00F71AE1">
        <w:t xml:space="preserve">je </w:t>
      </w:r>
      <w:r w:rsidRPr="007C0013">
        <w:t>podstatným porušením Smlouvy</w:t>
      </w:r>
      <w:r>
        <w:t>.</w:t>
      </w:r>
    </w:p>
    <w:p w:rsidR="00E00662" w:rsidRPr="00082CD7" w:rsidP="00E00662">
      <w:pPr>
        <w:pStyle w:val="Heading2"/>
        <w:keepLines/>
        <w:ind w:left="567" w:hanging="567"/>
      </w:pPr>
      <w:r>
        <w:t>Pronajímatel</w:t>
      </w:r>
      <w:r w:rsidRPr="00082CD7">
        <w:t xml:space="preserve"> je oprávněn od Smlouvy odstoupit bez jakýchkoliv sankcí také v případě, že </w:t>
      </w:r>
      <w:r>
        <w:t>Pronajímatel</w:t>
      </w:r>
      <w:r w:rsidRPr="00082CD7">
        <w:t xml:space="preserve"> zjistí (na základě oznámení </w:t>
      </w:r>
      <w:r w:rsidR="00DD6411">
        <w:t>Nájemce</w:t>
      </w:r>
      <w:r w:rsidRPr="00082CD7">
        <w:t xml:space="preserve"> v souladu s článkem </w:t>
      </w:r>
      <w:r w:rsidR="00327EB6">
        <w:t>7.1</w:t>
      </w:r>
      <w:r w:rsidR="00000B4D">
        <w:t>7</w:t>
      </w:r>
      <w:r w:rsidRPr="00082CD7">
        <w:t xml:space="preserve"> Smlouvy nebo vlastního zjištění), že v obchodní společnosti </w:t>
      </w:r>
      <w:r w:rsidR="00DD6411">
        <w:t>Nájemce</w:t>
      </w:r>
      <w:r w:rsidRPr="00082CD7">
        <w:t xml:space="preserve"> </w:t>
      </w:r>
      <w:r w:rsidR="00F71AE1">
        <w:t xml:space="preserve">vlastní podíl představující </w:t>
      </w:r>
      <w:r w:rsidRPr="00082CD7">
        <w:t>alespoň</w:t>
      </w:r>
      <w:r w:rsidR="000658D0">
        <w:t xml:space="preserve"> 25% účasti společníka V</w:t>
      </w:r>
      <w:r w:rsidRPr="00082CD7">
        <w:t xml:space="preserve">eřejný funkcionář uvedený v § 2 odst. 1 písm. c) zákona č. 159/2006 Sb., </w:t>
      </w:r>
      <w:r w:rsidR="00DD6411">
        <w:br/>
      </w:r>
      <w:r w:rsidRPr="00082CD7">
        <w:t xml:space="preserve">o střetu zájmů, ve znění pozdějších předpisů nebo jím ovládaná osoba. </w:t>
      </w:r>
    </w:p>
    <w:p w:rsidR="0020795C" w:rsidP="0020795C">
      <w:pPr>
        <w:pStyle w:val="Heading2"/>
        <w:keepLines/>
      </w:pPr>
      <w:r w:rsidRPr="00850E3E">
        <w:t>Odstoupe</w:t>
      </w:r>
      <w:r>
        <w:t>ní od Smlouvy</w:t>
      </w:r>
      <w:r w:rsidRPr="00850E3E">
        <w:t xml:space="preserve"> musí být písemné, jinak je neplatné. Odstoupení je účinné ode dne, kdy bylo doručeno </w:t>
      </w:r>
      <w:r>
        <w:t xml:space="preserve">druhé Smluvní </w:t>
      </w:r>
      <w:r w:rsidRPr="00850E3E">
        <w:t>stran</w:t>
      </w:r>
      <w:r>
        <w:t>ě</w:t>
      </w:r>
      <w:r w:rsidRPr="00850E3E">
        <w:t>. V</w:t>
      </w:r>
      <w:r>
        <w:t xml:space="preserve"> </w:t>
      </w:r>
      <w:r w:rsidRPr="00850E3E">
        <w:t xml:space="preserve">pochybnostech se má za to, že odstoupení od </w:t>
      </w:r>
      <w:r>
        <w:t>Smlouvy</w:t>
      </w:r>
      <w:r w:rsidRPr="00850E3E">
        <w:t xml:space="preserve"> bylo doručeno </w:t>
      </w:r>
      <w:r>
        <w:t xml:space="preserve">5. </w:t>
      </w:r>
      <w:r w:rsidRPr="00850E3E">
        <w:t xml:space="preserve">kalendářním dnem od jeho odeslání příslušné </w:t>
      </w:r>
      <w:r>
        <w:t xml:space="preserve">Smluvní </w:t>
      </w:r>
      <w:r w:rsidRPr="00850E3E">
        <w:t>straně poštovní doporučenou zásilkou nebo doručení</w:t>
      </w:r>
      <w:r>
        <w:t>m</w:t>
      </w:r>
      <w:r w:rsidRPr="00850E3E">
        <w:t xml:space="preserve"> do datové schránky příslušné </w:t>
      </w:r>
      <w:r>
        <w:t xml:space="preserve">Smluvní </w:t>
      </w:r>
      <w:r w:rsidRPr="00850E3E">
        <w:t>strany při odeslání datovou zprávou</w:t>
      </w:r>
      <w:r>
        <w:t>.</w:t>
      </w:r>
    </w:p>
    <w:p w:rsidR="0020795C" w:rsidP="0020795C">
      <w:pPr>
        <w:pStyle w:val="Heading2"/>
      </w:pPr>
      <w:bookmarkStart w:id="5" w:name="_Hlk200619139"/>
      <w:r w:rsidRPr="005945BC">
        <w:t xml:space="preserve">Ukončením </w:t>
      </w:r>
      <w:r>
        <w:t>Smlouvy</w:t>
      </w:r>
      <w:r w:rsidRPr="005945BC">
        <w:t xml:space="preserve"> není dotčen nárok na zaplacení smluvní pokuty nebo zákonného úroku z</w:t>
      </w:r>
      <w:r>
        <w:t> </w:t>
      </w:r>
      <w:r w:rsidRPr="005945BC">
        <w:t xml:space="preserve">prodlení, pokud již dospěl, právo na náhradu škody vzniklé porušením smluvní povinnosti, povinnost mlčenlivosti, </w:t>
      </w:r>
      <w:r w:rsidR="003346D0">
        <w:t>a dále nejsou dotčena</w:t>
      </w:r>
      <w:r w:rsidR="002340C2">
        <w:t xml:space="preserve"> </w:t>
      </w:r>
      <w:r w:rsidR="00DD6411">
        <w:t>ani ustanovení Smlouvy</w:t>
      </w:r>
      <w:r w:rsidRPr="005945BC">
        <w:t>, kter</w:t>
      </w:r>
      <w:r>
        <w:t>á</w:t>
      </w:r>
      <w:r w:rsidRPr="005945BC">
        <w:t xml:space="preserve"> m</w:t>
      </w:r>
      <w:r>
        <w:t>ají</w:t>
      </w:r>
      <w:r w:rsidRPr="005945BC">
        <w:t xml:space="preserve"> vzhledem ke své povaze zavazovat Smluvní strany i po ukončení </w:t>
      </w:r>
      <w:r>
        <w:t>S</w:t>
      </w:r>
      <w:r w:rsidRPr="005945BC">
        <w:t>ml</w:t>
      </w:r>
      <w:r>
        <w:t>o</w:t>
      </w:r>
      <w:r w:rsidRPr="005945BC">
        <w:t>uv</w:t>
      </w:r>
      <w:r>
        <w:t xml:space="preserve">y. </w:t>
      </w:r>
    </w:p>
    <w:p w:rsidR="00DD6411" w:rsidP="00271714">
      <w:pPr>
        <w:pStyle w:val="Heading1"/>
      </w:pPr>
      <w:bookmarkEnd w:id="5"/>
      <w:r>
        <w:t xml:space="preserve">předání nebytových prostor </w:t>
      </w:r>
      <w:r w:rsidR="00327EB6">
        <w:t xml:space="preserve">a movitého vybavení </w:t>
      </w:r>
      <w:r>
        <w:t>po ukončení smlouvy</w:t>
      </w:r>
    </w:p>
    <w:p w:rsidR="00DD6411" w:rsidP="00DD6411">
      <w:pPr>
        <w:pStyle w:val="Heading2"/>
      </w:pPr>
      <w:r w:rsidRPr="00DD6411">
        <w:t xml:space="preserve">Skončí-li Smlouva na základě dohody Smluvních stran nebo výpovědí nebo odstoupením nebo uplynutím Doby nájmu, je Pronajímatel oprávněn podle § 2225 Občanského zákoníku požadovat od Nájemce vrácení </w:t>
      </w:r>
      <w:r>
        <w:t>Nebytových prostor a Movitého vybavení</w:t>
      </w:r>
      <w:r w:rsidRPr="00DD6411">
        <w:t xml:space="preserve"> v je</w:t>
      </w:r>
      <w:r>
        <w:t>jich</w:t>
      </w:r>
      <w:r w:rsidRPr="00DD6411">
        <w:t xml:space="preserve"> původním stavu ke dni podpisu Smlouvy na náklady Nájemce, s výjimkou běžného opotřebení, pokud nebude mezi Smluvními stranami dohodnuto jinak.</w:t>
      </w:r>
    </w:p>
    <w:p w:rsidR="00DD6411" w:rsidP="00DD6411">
      <w:pPr>
        <w:pStyle w:val="Heading2"/>
      </w:pPr>
      <w:r w:rsidRPr="00DD6411">
        <w:t xml:space="preserve">V případě, že </w:t>
      </w:r>
      <w:r>
        <w:t>Nebytové prostory a/nebo Movité vybavení</w:t>
      </w:r>
      <w:r w:rsidRPr="00DD6411">
        <w:t xml:space="preserve"> získá z jakéhokoli důvodu na hodnotě, včetně z důvodu jakýchkoliv úprav nebo příspěvků Nájemce, nebude Pronajímatel povinen vyplatit Nájemci náhradu za toto zhodnocení s tím, že Smluvní strany se dohodly na vyloučení použití § 2220 Občanského zákoníku.</w:t>
      </w:r>
    </w:p>
    <w:p w:rsidR="00DD6411" w:rsidP="00DD6411">
      <w:pPr>
        <w:pStyle w:val="Heading2"/>
      </w:pPr>
      <w:r w:rsidRPr="00DD6411">
        <w:t>Pokud se Smluvní strany nedohodnou jinak, bude nejpozději v den skončení Smlouvy za přítomnosti zástupců obou Smluvních stran vyhotoven předávací protokol (dále jen „</w:t>
      </w:r>
      <w:r w:rsidRPr="00DD6411">
        <w:rPr>
          <w:b/>
        </w:rPr>
        <w:t>Předávací protokol</w:t>
      </w:r>
      <w:r w:rsidRPr="00DD6411">
        <w:t xml:space="preserve">“). Předávací protokol bude obsahovat identifikaci Smluvních stran, specifikaci </w:t>
      </w:r>
      <w:r>
        <w:t>Nebytových prostor a Movitého vybavení</w:t>
      </w:r>
      <w:r w:rsidRPr="00DD6411">
        <w:t>, datum předání a případně též soupis oprav, které je Nájemce povinen na své náklady provést, popř. uhradit Pronajímateli.</w:t>
      </w:r>
    </w:p>
    <w:p w:rsidR="00327EB6" w:rsidP="00327EB6">
      <w:pPr>
        <w:pStyle w:val="Heading2"/>
      </w:pPr>
      <w:r>
        <w:t>V případě, že se Smluvní strany dohodnou, že opravy provede Pronajímatel, je Nájemce povinen opravy uhradit na základě Faktur vystavených Pronajímateli společnostmi, které tyto opravy provedly. Nájemce je povinen zaplatit tyto částky Pronajímateli i v případě, že se Nájemce neúčastnil podepsání Předávacího protokolu podle článku 14.5 Smlouvy nebo Nájemce odmítl Předávací protokol podepsat. V případě, že se Smluvní strany dohodnou, že opravy provede Nájemce, je povinen je provést do termínu uvedeného v Předávacím protokolu a následně o jejich provedení informovat Pronajímatele. Pokud Nájemce opravy uvedené v Předávacím protokolu neprovede, provede tyto opravy Pronajímatel na náklady Nájemce.</w:t>
      </w:r>
    </w:p>
    <w:p w:rsidR="00327EB6" w:rsidP="00327EB6">
      <w:pPr>
        <w:pStyle w:val="Heading2"/>
      </w:pPr>
      <w:r>
        <w:t xml:space="preserve">V případě, že se Nájemce nedostaví v den, hodinu a na místo vyhotovení Předávacího protokolu, </w:t>
      </w:r>
      <w:r w:rsidRPr="00B2586C">
        <w:t xml:space="preserve">bude Předávací protokol sepsán </w:t>
      </w:r>
      <w:r>
        <w:t>Oprávněnou</w:t>
      </w:r>
      <w:r w:rsidRPr="00B2586C">
        <w:t xml:space="preserve"> osobou Pronajímatele, popř. Odpovědnou osobou Pronajímatele pro věci smluvní, jež obě Smluvní strany tímto zmocňují k tomu, aby tento Předávací protokol vyhotovila a za obě Smluvní strany podepsala. Takto vyhotovený Předávací protokol bude mít stejnou váhu jako protokol, jehož sepisování by se obě Smluvní strany účastnily a jež by podepsaly.</w:t>
      </w:r>
    </w:p>
    <w:p w:rsidR="00656823" w:rsidP="00FA5A27">
      <w:pPr>
        <w:pStyle w:val="Heading2"/>
      </w:pPr>
      <w:r>
        <w:t>Nájemce je povinen po ukončení Smlouvy odstranit z</w:t>
      </w:r>
      <w:r w:rsidR="00B04100">
        <w:t> Nebytových prostor veškeré vybavení Nájemce</w:t>
      </w:r>
      <w:r>
        <w:t>. Pokud tak Nájemce neučiní</w:t>
      </w:r>
      <w:r>
        <w:t xml:space="preserve"> ani do 15 kalendářních dnů od skončení Smlouvy, je Pronajímatel oprávněn za účasti třetí osoby Nebytové prostory vyklidit a majetek Nájemce na </w:t>
      </w:r>
      <w:r>
        <w:t xml:space="preserve">jeho náklady a riziko deponovat, a to až do splnění závazku Nájemce. Nájemce podpisem Smlouvy dává k tomuto oprávnění Pronajímatele souhlas. </w:t>
      </w:r>
    </w:p>
    <w:p w:rsidR="00833A80" w:rsidP="00271714">
      <w:pPr>
        <w:pStyle w:val="Heading1"/>
      </w:pPr>
      <w:r>
        <w:t>závěrečná ustanovení</w:t>
      </w:r>
    </w:p>
    <w:p w:rsidR="00082CD7" w:rsidP="00082CD7">
      <w:pPr>
        <w:pStyle w:val="Heading2"/>
      </w:pPr>
      <w:r w:rsidRPr="006C310F">
        <w:t>Oznámení</w:t>
      </w:r>
      <w:r>
        <w:t xml:space="preserve"> nebo jiná sdělení podle Smlouvy musí být učiněna písemně v českém jazyce. Jakékoli úkony směřující ke skončení Smlouvy musí být doručeny druhé Smluvní straně datovou schránkou nebo formou doporučeného dopisu. Oznámení nebo jiná sdělení podle Smlouvy se budou považovat za řádně učiněná, pokud budou doručena osobně, poštou, e-mailem, kurýrem či prostřednic</w:t>
      </w:r>
      <w:r w:rsidR="000658D0">
        <w:t>tvím datové schránky (není-li ve</w:t>
      </w:r>
      <w:r>
        <w:t xml:space="preserve"> Smlouvě dohodnuto jinak) na adresy uvedené v tomto článku nebo na jinou adresu, kterou příslušná Smluvní strana v předstihu písemně oznámí druhé Smluvní straně.</w:t>
      </w:r>
    </w:p>
    <w:p w:rsidR="0020795C" w:rsidP="0020795C">
      <w:pPr>
        <w:pStyle w:val="Heading4"/>
        <w:numPr>
          <w:ilvl w:val="0"/>
          <w:numId w:val="0"/>
        </w:numPr>
        <w:spacing w:after="60"/>
        <w:ind w:left="1134" w:hanging="567"/>
      </w:pPr>
      <w:r>
        <w:t>Pronajímatel</w:t>
      </w:r>
      <w:r>
        <w:t>:</w:t>
      </w:r>
      <w:r>
        <w:tab/>
        <w:t>Název:</w:t>
      </w:r>
      <w:r w:rsidRPr="00780354">
        <w:t xml:space="preserve"> </w:t>
      </w:r>
      <w:r>
        <w:t xml:space="preserve">Ministerstvo financí </w:t>
      </w:r>
    </w:p>
    <w:p w:rsidR="0020795C" w:rsidP="0020795C">
      <w:pPr>
        <w:spacing w:after="60"/>
        <w:ind w:left="1842" w:firstLine="282"/>
      </w:pPr>
      <w:r>
        <w:t>Adresa: Letenská 15, Praha 1, PSČ 118 10</w:t>
      </w:r>
    </w:p>
    <w:p w:rsidR="0020795C" w:rsidRPr="00C5476F" w:rsidP="0020795C">
      <w:pPr>
        <w:spacing w:after="60"/>
        <w:ind w:left="1842" w:firstLine="282"/>
      </w:pPr>
      <w:r w:rsidRPr="00EF7319">
        <w:t>K</w:t>
      </w:r>
      <w:r>
        <w:t> </w:t>
      </w:r>
      <w:r w:rsidRPr="00EF7319">
        <w:t xml:space="preserve">rukám: jméno Oprávněné osoby </w:t>
      </w:r>
      <w:r w:rsidR="00AD1AC4">
        <w:t>Pronajímatel</w:t>
      </w:r>
      <w:r w:rsidRPr="00EF7319">
        <w:t>e</w:t>
      </w:r>
    </w:p>
    <w:p w:rsidR="0020795C" w:rsidP="0020795C">
      <w:pPr>
        <w:spacing w:after="60"/>
        <w:ind w:left="1560" w:firstLine="564"/>
      </w:pPr>
      <w:r>
        <w:t xml:space="preserve">E-mail: </w:t>
      </w:r>
      <w:r>
        <w:fldChar w:fldCharType="begin"/>
      </w:r>
      <w:r>
        <w:instrText xml:space="preserve"> HYPERLINK "mailto:podatelna@mf.gov.cz" </w:instrText>
      </w:r>
      <w:r>
        <w:fldChar w:fldCharType="separate"/>
      </w:r>
      <w:r w:rsidRPr="00145B33" w:rsidR="00B04100">
        <w:rPr>
          <w:rStyle w:val="Hyperlink"/>
        </w:rPr>
        <w:t>podatelna@mf.gov.cz</w:t>
      </w:r>
      <w:r>
        <w:fldChar w:fldCharType="end"/>
      </w:r>
      <w:r w:rsidR="00F71AE1">
        <w:t xml:space="preserve"> </w:t>
      </w:r>
    </w:p>
    <w:p w:rsidR="0020795C" w:rsidP="0020795C">
      <w:pPr>
        <w:spacing w:after="240"/>
        <w:ind w:left="1843" w:firstLine="284"/>
      </w:pPr>
      <w:r>
        <w:t xml:space="preserve">Datová schránka: </w:t>
      </w:r>
      <w:r w:rsidRPr="001723FE">
        <w:t>xzeaauv</w:t>
      </w:r>
    </w:p>
    <w:p w:rsidR="0020795C" w:rsidP="0020795C">
      <w:pPr>
        <w:pStyle w:val="Heading4"/>
        <w:numPr>
          <w:ilvl w:val="0"/>
          <w:numId w:val="0"/>
        </w:numPr>
        <w:spacing w:after="60"/>
        <w:ind w:left="1134" w:hanging="567"/>
      </w:pPr>
      <w:r>
        <w:t>Nájemce</w:t>
      </w:r>
      <w:r>
        <w:t>:</w:t>
      </w:r>
      <w:r>
        <w:tab/>
      </w:r>
      <w:r w:rsidR="00656823">
        <w:tab/>
      </w:r>
      <w:r w:rsidR="00934F1E">
        <w:t xml:space="preserve">Jméno, příjmení / </w:t>
      </w:r>
      <w:r>
        <w:t>Název:</w:t>
      </w:r>
      <w:r w:rsidRPr="00780354">
        <w:t xml:space="preserve"> </w:t>
      </w:r>
      <w:r w:rsidRPr="00F51B34">
        <w:rPr>
          <w:rFonts w:cs="Arial"/>
          <w:snapToGrid w:val="0"/>
        </w:rPr>
        <w:t>[</w:t>
      </w:r>
      <w:r>
        <w:rPr>
          <w:rFonts w:cs="Arial"/>
          <w:snapToGrid w:val="0"/>
          <w:highlight w:val="yellow"/>
        </w:rPr>
        <w:t>●</w:t>
      </w:r>
      <w:r w:rsidRPr="00F51B34">
        <w:rPr>
          <w:rFonts w:cs="Arial"/>
          <w:snapToGrid w:val="0"/>
        </w:rPr>
        <w:t>]</w:t>
      </w:r>
    </w:p>
    <w:p w:rsidR="0020795C" w:rsidP="0020795C">
      <w:pPr>
        <w:spacing w:after="60"/>
        <w:ind w:left="1842" w:firstLine="282"/>
        <w:rPr>
          <w:rFonts w:cs="Arial"/>
          <w:snapToGrid w:val="0"/>
        </w:rPr>
      </w:pPr>
      <w:r>
        <w:t xml:space="preserve">Adresa: </w:t>
      </w:r>
      <w:r w:rsidRPr="00F51B34">
        <w:rPr>
          <w:rFonts w:cs="Arial"/>
          <w:snapToGrid w:val="0"/>
        </w:rPr>
        <w:t>[</w:t>
      </w:r>
      <w:r>
        <w:rPr>
          <w:rFonts w:cs="Arial"/>
          <w:snapToGrid w:val="0"/>
          <w:highlight w:val="yellow"/>
        </w:rPr>
        <w:t>●</w:t>
      </w:r>
      <w:r w:rsidRPr="00F51B34">
        <w:rPr>
          <w:rFonts w:cs="Arial"/>
          <w:snapToGrid w:val="0"/>
        </w:rPr>
        <w:t>]</w:t>
      </w:r>
    </w:p>
    <w:p w:rsidR="0020795C" w:rsidP="0020795C">
      <w:pPr>
        <w:spacing w:after="60"/>
        <w:ind w:left="1560" w:firstLine="564"/>
      </w:pPr>
      <w:r>
        <w:t xml:space="preserve">E-mail: </w:t>
      </w:r>
      <w:r w:rsidRPr="00F51B34">
        <w:rPr>
          <w:rFonts w:cs="Arial"/>
          <w:snapToGrid w:val="0"/>
        </w:rPr>
        <w:t>[</w:t>
      </w:r>
      <w:r>
        <w:rPr>
          <w:rFonts w:cs="Arial"/>
          <w:snapToGrid w:val="0"/>
          <w:highlight w:val="yellow"/>
        </w:rPr>
        <w:t>●</w:t>
      </w:r>
      <w:r w:rsidRPr="00F51B34">
        <w:rPr>
          <w:rFonts w:cs="Arial"/>
          <w:snapToGrid w:val="0"/>
        </w:rPr>
        <w:t>]</w:t>
      </w:r>
    </w:p>
    <w:p w:rsidR="0020795C" w:rsidP="0020795C">
      <w:pPr>
        <w:ind w:left="1560" w:firstLine="564"/>
      </w:pPr>
      <w:r>
        <w:t xml:space="preserve">Datová schránka: </w:t>
      </w:r>
      <w:r w:rsidRPr="00F51B34">
        <w:rPr>
          <w:rFonts w:cs="Arial"/>
          <w:snapToGrid w:val="0"/>
        </w:rPr>
        <w:t>[</w:t>
      </w:r>
      <w:r>
        <w:rPr>
          <w:rFonts w:cs="Arial"/>
          <w:snapToGrid w:val="0"/>
          <w:highlight w:val="yellow"/>
        </w:rPr>
        <w:t>●</w:t>
      </w:r>
      <w:r w:rsidRPr="00F51B34">
        <w:rPr>
          <w:rFonts w:cs="Arial"/>
          <w:snapToGrid w:val="0"/>
        </w:rPr>
        <w:t>]</w:t>
      </w:r>
    </w:p>
    <w:p w:rsidR="0020795C" w:rsidRPr="006C310F" w:rsidP="0020795C">
      <w:pPr>
        <w:pStyle w:val="Heading2"/>
      </w:pPr>
      <w:r w:rsidRPr="006C310F">
        <w:t>Účinnost oznámení nastává v</w:t>
      </w:r>
      <w:r>
        <w:t> </w:t>
      </w:r>
      <w:r w:rsidRPr="006C310F">
        <w:t>pracovní den následující po dni doručení tohoto oznámení druhé Smluvní straně</w:t>
      </w:r>
      <w:r>
        <w:t>, není-li ve Smlouvě nebo dohodou Smluvních stran stanoveno jinak</w:t>
      </w:r>
      <w:r w:rsidRPr="006C310F">
        <w:t>.</w:t>
      </w:r>
    </w:p>
    <w:p w:rsidR="0020795C" w:rsidP="0020795C">
      <w:pPr>
        <w:pStyle w:val="Heading2"/>
      </w:pPr>
      <w:r>
        <w:t xml:space="preserve">Smluvní strany se dohodly na určení Oprávněných osob za </w:t>
      </w:r>
      <w:r w:rsidR="00AD1AC4">
        <w:t>Pronajímatel</w:t>
      </w:r>
      <w:r>
        <w:t xml:space="preserve">e a </w:t>
      </w:r>
      <w:r w:rsidR="00656823">
        <w:t>Nájemce</w:t>
      </w:r>
      <w:r>
        <w:t xml:space="preserve"> (dále jen „</w:t>
      </w:r>
      <w:r w:rsidRPr="00FA306C">
        <w:rPr>
          <w:b/>
        </w:rPr>
        <w:t>Oprávněné osoby</w:t>
      </w:r>
      <w:r>
        <w:t>“). Oprávněné osoby jsou oprávněné ke všem jednáním týka</w:t>
      </w:r>
      <w:r w:rsidR="000658D0">
        <w:t>jící se Smlouvy, není-li ve</w:t>
      </w:r>
      <w:r>
        <w:t xml:space="preserve"> Smlouvě stanoveno jinak, s výjimkou změn nebo ukončení Smlouvy. V případě, že má Smluvní strana více Oprávněných osob, zasílají se veškeré e-mailové zprávy na adresy všech Oprávněných osob v kopii.</w:t>
      </w:r>
    </w:p>
    <w:p w:rsidR="0020795C" w:rsidP="00743020">
      <w:pPr>
        <w:pStyle w:val="Heading4"/>
        <w:keepNext/>
        <w:numPr>
          <w:ilvl w:val="0"/>
          <w:numId w:val="12"/>
        </w:numPr>
        <w:ind w:left="1134" w:hanging="567"/>
      </w:pPr>
      <w:r>
        <w:t xml:space="preserve">Oprávněnými osobami </w:t>
      </w:r>
      <w:r w:rsidR="00AD1AC4">
        <w:t>Pronajímatel</w:t>
      </w:r>
      <w:r>
        <w:t>e jsou:</w:t>
      </w:r>
    </w:p>
    <w:p w:rsidR="0020795C" w:rsidP="0020795C">
      <w:pPr>
        <w:spacing w:after="0"/>
        <w:ind w:left="1134"/>
      </w:pPr>
      <w:r>
        <w:rPr>
          <w:rFonts w:cs="Arial"/>
        </w:rPr>
        <w:t>[</w:t>
      </w:r>
      <w:r w:rsidRPr="00754174">
        <w:rPr>
          <w:highlight w:val="green"/>
        </w:rPr>
        <w:t xml:space="preserve">doplní </w:t>
      </w:r>
      <w:r w:rsidR="00AD1AC4">
        <w:rPr>
          <w:highlight w:val="green"/>
        </w:rPr>
        <w:t>Pronajímatel</w:t>
      </w:r>
      <w:r w:rsidRPr="00754174">
        <w:rPr>
          <w:highlight w:val="green"/>
        </w:rPr>
        <w:t xml:space="preserve"> před podpisem Smlouvy</w:t>
      </w:r>
      <w:r>
        <w:rPr>
          <w:rFonts w:cs="Arial"/>
        </w:rPr>
        <w:t>]</w:t>
      </w:r>
    </w:p>
    <w:p w:rsidR="0020795C" w:rsidP="0020795C">
      <w:pPr>
        <w:spacing w:after="0"/>
        <w:ind w:left="1134"/>
      </w:pPr>
      <w:r>
        <w:t xml:space="preserve">a další osoby </w:t>
      </w:r>
      <w:r w:rsidR="00AD1AC4">
        <w:t>Pronajímatel</w:t>
      </w:r>
      <w:r>
        <w:t>e jimi pověřené.</w:t>
      </w:r>
    </w:p>
    <w:p w:rsidR="005A3028" w:rsidP="0020795C">
      <w:pPr>
        <w:spacing w:after="0"/>
        <w:ind w:left="1134"/>
      </w:pPr>
    </w:p>
    <w:p w:rsidR="0020795C" w:rsidP="00D332C4">
      <w:pPr>
        <w:pStyle w:val="Heading4"/>
        <w:keepNext/>
        <w:numPr>
          <w:ilvl w:val="0"/>
          <w:numId w:val="12"/>
        </w:numPr>
        <w:ind w:left="1134" w:hanging="567"/>
      </w:pPr>
      <w:r>
        <w:t xml:space="preserve">Oprávněnou osobou </w:t>
      </w:r>
      <w:r w:rsidR="00656823">
        <w:t>Nájemce</w:t>
      </w:r>
      <w:r>
        <w:t xml:space="preserve"> je:</w:t>
      </w:r>
    </w:p>
    <w:p w:rsidR="0020795C" w:rsidP="0020795C">
      <w:pPr>
        <w:ind w:left="1134"/>
      </w:pPr>
      <w:r w:rsidRPr="00D361B0">
        <w:rPr>
          <w:rFonts w:cs="Arial"/>
          <w:snapToGrid w:val="0"/>
        </w:rPr>
        <w:t>[</w:t>
      </w:r>
      <w:r>
        <w:rPr>
          <w:rFonts w:cs="Arial"/>
          <w:snapToGrid w:val="0"/>
          <w:highlight w:val="yellow"/>
        </w:rPr>
        <w:t>●</w:t>
      </w:r>
      <w:r w:rsidRPr="00773FED">
        <w:rPr>
          <w:rFonts w:cs="Arial"/>
          <w:snapToGrid w:val="0"/>
          <w:highlight w:val="yellow"/>
        </w:rPr>
        <w:t xml:space="preserve"> – jméno, telefon, e-mail</w:t>
      </w:r>
      <w:r w:rsidRPr="00D361B0">
        <w:rPr>
          <w:rFonts w:cs="Arial"/>
          <w:snapToGrid w:val="0"/>
        </w:rPr>
        <w:t>]</w:t>
      </w:r>
    </w:p>
    <w:p w:rsidR="0020795C" w:rsidP="0020795C">
      <w:pPr>
        <w:pStyle w:val="Heading2"/>
      </w:pPr>
      <w:r>
        <w:rPr>
          <w:rFonts w:cs="Arial"/>
          <w:szCs w:val="20"/>
        </w:rPr>
        <w:t xml:space="preserve">Ke </w:t>
      </w:r>
      <w:r>
        <w:t xml:space="preserve">změně nebo </w:t>
      </w:r>
      <w:r w:rsidR="00122219">
        <w:t>ukončení</w:t>
      </w:r>
      <w:r>
        <w:t xml:space="preserve"> Smlouvy je za </w:t>
      </w:r>
      <w:r w:rsidR="00AD1AC4">
        <w:t>Pronajímatel</w:t>
      </w:r>
      <w:r>
        <w:t xml:space="preserve">e oprávněn </w:t>
      </w:r>
      <w:r w:rsidRPr="00135F1A" w:rsidR="00135F1A">
        <w:t>ředitel odboru 13 – Hospodářská správa</w:t>
      </w:r>
      <w:r>
        <w:t xml:space="preserve">, popř. jeho zástupce, a dále osoby pověřené ministrem financí. K jednáním směřujícím ke změně nebo ukončení Smlouvy je za </w:t>
      </w:r>
      <w:r w:rsidR="00656823">
        <w:t>Nájemce</w:t>
      </w:r>
      <w:r>
        <w:t xml:space="preserve"> oprávněn </w:t>
      </w:r>
      <w:r w:rsidR="00AD1AC4">
        <w:t>Nájemce</w:t>
      </w:r>
      <w:r>
        <w:t xml:space="preserve"> sám, je-li fyzickou osobou podnikající</w:t>
      </w:r>
      <w:r w:rsidR="00656823">
        <w:t>,</w:t>
      </w:r>
      <w:r>
        <w:t xml:space="preserve"> nebo statutární orgán </w:t>
      </w:r>
      <w:r w:rsidR="00656823">
        <w:t>Nájemce</w:t>
      </w:r>
      <w:r>
        <w:t xml:space="preserve">, příp. prokurista, a to </w:t>
      </w:r>
      <w:r w:rsidR="003346D0">
        <w:t>po</w:t>
      </w:r>
      <w:r>
        <w:t>dle způsobu jednání uvedené</w:t>
      </w:r>
      <w:r w:rsidR="0084439A">
        <w:t>ho</w:t>
      </w:r>
      <w:r>
        <w:t xml:space="preserve"> v obchodním rejstříku. Jiné osoby mohou tato právní jednání činit pouze s písemným pověřením osoby či orgánu vymezených v předchozí větě (dále jen „</w:t>
      </w:r>
      <w:r>
        <w:rPr>
          <w:b/>
        </w:rPr>
        <w:t>Odpovědné osoby pro věci smluvní</w:t>
      </w:r>
      <w:r>
        <w:t>“). Odpovědné osoby pro věci smluvní mají současně všechna oprávnění Oprávněných osob.</w:t>
      </w:r>
    </w:p>
    <w:p w:rsidR="00082CD7" w:rsidRPr="00FA306C" w:rsidP="00082CD7">
      <w:pPr>
        <w:pStyle w:val="Heading2"/>
        <w:keepLines/>
        <w:ind w:left="578" w:hanging="578"/>
      </w:pPr>
      <w:r>
        <w:t>Jakékoliv změny kontaktních údajů, bankovních údajů</w:t>
      </w:r>
      <w:r w:rsidR="008B4FA2">
        <w:t xml:space="preserve"> </w:t>
      </w:r>
      <w:r>
        <w:t xml:space="preserve">nebo Oprávněných osob jsou Smluvní strany oprávněny provádět jednostranně a jsou povinny tyto změny neprodleně písemně oznámit druhé Smluvní straně. </w:t>
      </w:r>
      <w:r w:rsidR="00656823">
        <w:t xml:space="preserve">Pronajímatel sám je zároveň oprávněn provádět </w:t>
      </w:r>
      <w:r w:rsidR="00FB5AA5">
        <w:t xml:space="preserve">úpravy Nájemného podle článku </w:t>
      </w:r>
      <w:r w:rsidR="00B04100">
        <w:t>4</w:t>
      </w:r>
      <w:r w:rsidR="00FB5AA5">
        <w:t xml:space="preserve">.5 a násl. Smlouvy, úpravy Záloh a Plateb za Služby podle článku </w:t>
      </w:r>
      <w:r w:rsidR="00B04100">
        <w:t>6</w:t>
      </w:r>
      <w:r w:rsidR="00FB5AA5">
        <w:t xml:space="preserve">.4 Smlouvy </w:t>
      </w:r>
      <w:r w:rsidR="006E55D3">
        <w:t>a</w:t>
      </w:r>
      <w:r w:rsidR="00FB5AA5">
        <w:t xml:space="preserve"> po předchozí dohodě s</w:t>
      </w:r>
      <w:r w:rsidR="004D3824">
        <w:t> </w:t>
      </w:r>
      <w:r w:rsidR="00FB5AA5">
        <w:t>Nájemcem</w:t>
      </w:r>
      <w:r w:rsidR="004D3824">
        <w:t xml:space="preserve"> též</w:t>
      </w:r>
      <w:r w:rsidR="00FB5AA5">
        <w:t xml:space="preserve"> úpravy Movitého vybavení podle článku </w:t>
      </w:r>
      <w:r w:rsidR="004D3824">
        <w:t>5</w:t>
      </w:r>
      <w:r w:rsidR="00FB5AA5">
        <w:t xml:space="preserve">.5 Smlouvy. </w:t>
      </w:r>
    </w:p>
    <w:p w:rsidR="0020795C" w:rsidRPr="00736E80" w:rsidP="0020795C">
      <w:pPr>
        <w:pStyle w:val="Heading2"/>
      </w:pPr>
      <w:r>
        <w:t>Nájemce</w:t>
      </w:r>
      <w:r>
        <w:t xml:space="preserve"> prohlašuje, že Smlouva, </w:t>
      </w:r>
      <w:r w:rsidRPr="00736E80">
        <w:t>jakož i jej</w:t>
      </w:r>
      <w:r>
        <w:t>í</w:t>
      </w:r>
      <w:r w:rsidRPr="00736E80">
        <w:t xml:space="preserve"> text a přílohy, </w:t>
      </w:r>
      <w:r>
        <w:t xml:space="preserve">neobsahuje obchodní tajemství </w:t>
      </w:r>
      <w:r w:rsidR="00FB5AA5">
        <w:br/>
      </w:r>
      <w:r>
        <w:t xml:space="preserve">a souhlasí, aby ji </w:t>
      </w:r>
      <w:r>
        <w:t>Pronajímatel</w:t>
      </w:r>
      <w:r>
        <w:t xml:space="preserve"> </w:t>
      </w:r>
      <w:r w:rsidRPr="00736E80">
        <w:t>v</w:t>
      </w:r>
      <w:r>
        <w:t> </w:t>
      </w:r>
      <w:r w:rsidRPr="00736E80">
        <w:t xml:space="preserve">plném rozsahu </w:t>
      </w:r>
      <w:r>
        <w:t xml:space="preserve">(s vyloučením jinak chráněných informací) </w:t>
      </w:r>
      <w:r w:rsidR="003346D0">
        <w:br/>
      </w:r>
      <w:r w:rsidRPr="00736E80">
        <w:t xml:space="preserve">v elektronické podobě </w:t>
      </w:r>
      <w:r>
        <w:t>u</w:t>
      </w:r>
      <w:r w:rsidRPr="00736E80">
        <w:t>veřejn</w:t>
      </w:r>
      <w:r>
        <w:t>il</w:t>
      </w:r>
      <w:r w:rsidRPr="00736E80">
        <w:t xml:space="preserve"> </w:t>
      </w:r>
      <w:r>
        <w:t xml:space="preserve">v registru smluv </w:t>
      </w:r>
      <w:r w:rsidR="003346D0">
        <w:t>podle</w:t>
      </w:r>
      <w:r>
        <w:t xml:space="preserve"> Zákona o registru smluv</w:t>
      </w:r>
      <w:r w:rsidRPr="00736E80">
        <w:t>, případně na jiném místě, bude-li k</w:t>
      </w:r>
      <w:r>
        <w:t> </w:t>
      </w:r>
      <w:r w:rsidRPr="00736E80">
        <w:t xml:space="preserve">tomu </w:t>
      </w:r>
      <w:r>
        <w:t>Pronajímatel</w:t>
      </w:r>
      <w:r w:rsidRPr="00736E80">
        <w:t xml:space="preserve"> povinován, a to bez časového omezení. </w:t>
      </w:r>
    </w:p>
    <w:p w:rsidR="0020795C" w:rsidRPr="006C310F" w:rsidP="0020795C">
      <w:pPr>
        <w:pStyle w:val="Heading2"/>
      </w:pPr>
      <w:r w:rsidRPr="006C310F">
        <w:t>Stane-li se kterékoli ustanovení Smlouvy neplatným, neúčinným nebo nevykonatelným, zůstává platnost, účinnost a vykonatelnost ostatních ustanovení Smlouvy neovlivněna a nedotčena, nevyplývá-li z</w:t>
      </w:r>
      <w:r>
        <w:t> </w:t>
      </w:r>
      <w:r w:rsidRPr="006C310F">
        <w:t>povahy daného ustanovení, obsahu Smlouvy nebo okolností, za nichž bylo toto ustanovení vytvořeno, že toto ustanovení nelze oddělit od ostatního obsahu Smlouvy. Smluvní strany se zavazují nahradit po vzájemné dohodě dotčené ustanovení jiným ustanovením, blížícím se svým obsahem nejvíce účelu neplatného či neúčinného ustanovení.</w:t>
      </w:r>
    </w:p>
    <w:p w:rsidR="0020795C" w:rsidRPr="00736E80" w:rsidP="0020795C">
      <w:pPr>
        <w:pStyle w:val="Heading2"/>
      </w:pPr>
      <w:r w:rsidRPr="00736E80">
        <w:t xml:space="preserve">Jestliže kterákoli ze Smluvních stran neuplatní nárok nebo nevykoná právo podle </w:t>
      </w:r>
      <w:r>
        <w:t>Smlouvy</w:t>
      </w:r>
      <w:r w:rsidRPr="00736E80">
        <w:t xml:space="preserve"> nebo je vykoná se zpožděním či pouze částečně, nebude to znamenat vzdání se těchto nároků nebo práv. Vzdání se práva z</w:t>
      </w:r>
      <w:r>
        <w:t> </w:t>
      </w:r>
      <w:r w:rsidRPr="00736E80">
        <w:t xml:space="preserve">titulu porušení </w:t>
      </w:r>
      <w:r>
        <w:t>Smlouvy</w:t>
      </w:r>
      <w:r w:rsidRPr="00736E80">
        <w:t xml:space="preserve"> nebo práva na nápravu anebo jakéhokoliv jiného práva podle </w:t>
      </w:r>
      <w:r>
        <w:t>Smlouvy</w:t>
      </w:r>
      <w:r w:rsidRPr="00736E80">
        <w:t xml:space="preserve"> musí být vyhotoveno písemně a podepsáno Smluvní stranou, která takové vzdání se činí.</w:t>
      </w:r>
    </w:p>
    <w:p w:rsidR="0020795C" w:rsidRPr="006C310F" w:rsidP="0020795C">
      <w:pPr>
        <w:pStyle w:val="Heading2"/>
      </w:pPr>
      <w:r w:rsidRPr="007C0013">
        <w:t>Žádná ze Smluvních stran není oprávněna bez souhlasu druhé Smluvní strany postoupit Smlouvu</w:t>
      </w:r>
      <w:r>
        <w:t xml:space="preserve">, </w:t>
      </w:r>
      <w:r w:rsidR="004E1A22">
        <w:t>jednotlivou pohledávku</w:t>
      </w:r>
      <w:r>
        <w:t xml:space="preserve"> ze Smlouvy</w:t>
      </w:r>
      <w:r w:rsidRPr="006C310F">
        <w:t xml:space="preserve"> ani pohledávky vzniklé v</w:t>
      </w:r>
      <w:r>
        <w:t> </w:t>
      </w:r>
      <w:r w:rsidRPr="006C310F">
        <w:t>souvislosti s</w:t>
      </w:r>
      <w:r w:rsidR="000658D0">
        <w:t xml:space="preserve">e </w:t>
      </w:r>
      <w:r w:rsidRPr="006C310F">
        <w:t>Smlouvou na třetí osoby, ani učinit jakékoliv právní jednání, v</w:t>
      </w:r>
      <w:r>
        <w:t> </w:t>
      </w:r>
      <w:r w:rsidRPr="006C310F">
        <w:t>jehož důsledku by došlo k</w:t>
      </w:r>
      <w:r>
        <w:t> </w:t>
      </w:r>
      <w:r w:rsidRPr="006C310F">
        <w:t>převodu či přechodu práv či povinností vyplývajících z</w:t>
      </w:r>
      <w:r w:rsidR="000658D0">
        <w:t>e</w:t>
      </w:r>
      <w:r w:rsidRPr="006C310F">
        <w:t xml:space="preserve"> Smlouvy.</w:t>
      </w:r>
    </w:p>
    <w:p w:rsidR="0020795C" w:rsidRPr="00321D8C" w:rsidP="0020795C">
      <w:pPr>
        <w:pStyle w:val="Heading2"/>
      </w:pPr>
      <w:r w:rsidRPr="006C310F">
        <w:t xml:space="preserve">Tato Smlouva se řídí právními předpisy České republiky. Smluvní strany pro vyloučení pochybností sjednávají, že Smlouva se řídí </w:t>
      </w:r>
      <w:r w:rsidR="003346D0">
        <w:t xml:space="preserve">§ </w:t>
      </w:r>
      <w:r w:rsidR="00FB5AA5">
        <w:t>2302</w:t>
      </w:r>
      <w:r w:rsidR="003346D0">
        <w:t xml:space="preserve"> a násl. </w:t>
      </w:r>
      <w:r w:rsidRPr="006C310F">
        <w:t>Občanského zákoníku</w:t>
      </w:r>
      <w:r>
        <w:t xml:space="preserve"> upravujícími</w:t>
      </w:r>
      <w:r w:rsidR="003346D0">
        <w:t xml:space="preserve"> </w:t>
      </w:r>
      <w:r w:rsidR="00FB5AA5">
        <w:t xml:space="preserve">nájem prostoru sloužícího podnikání a § 27 Zákona o majetku státu. </w:t>
      </w:r>
    </w:p>
    <w:p w:rsidR="0020795C" w:rsidP="0020795C">
      <w:pPr>
        <w:pStyle w:val="Heading2"/>
      </w:pPr>
      <w:r w:rsidRPr="00736E80">
        <w:t>Smluvní strany se dohodly, že všechny spory vyplývající z</w:t>
      </w:r>
      <w:r w:rsidR="000658D0">
        <w:t>e</w:t>
      </w:r>
      <w:r w:rsidRPr="00736E80">
        <w:t xml:space="preserve"> </w:t>
      </w:r>
      <w:r>
        <w:t>Smlouvy</w:t>
      </w:r>
      <w:r w:rsidRPr="00736E80">
        <w:t xml:space="preserve"> nebo spory o existenci </w:t>
      </w:r>
      <w:r>
        <w:t>Smlouvy</w:t>
      </w:r>
      <w:r w:rsidRPr="00736E80">
        <w:t xml:space="preserve"> (včetně otázky </w:t>
      </w:r>
      <w:r>
        <w:t xml:space="preserve">jejího </w:t>
      </w:r>
      <w:r w:rsidRPr="00736E80">
        <w:t>vzniku a platnosti) budou rozhodovány před věcně a místně příslušným soudem České republiky</w:t>
      </w:r>
      <w:r>
        <w:t>. Smluvní strany výslovně vylučují možnost využití rozhodčí doložky.</w:t>
      </w:r>
    </w:p>
    <w:p w:rsidR="0020795C" w:rsidRPr="0028261D" w:rsidP="0020795C">
      <w:pPr>
        <w:pStyle w:val="Heading2"/>
      </w:pPr>
      <w:r w:rsidRPr="00547FD9">
        <w:t>Smluvní strany se dohodly, že v</w:t>
      </w:r>
      <w:r>
        <w:t> </w:t>
      </w:r>
      <w:r w:rsidRPr="00547FD9">
        <w:t xml:space="preserve">rámci </w:t>
      </w:r>
      <w:r>
        <w:t>Smlouvy</w:t>
      </w:r>
      <w:r w:rsidRPr="00547FD9">
        <w:t xml:space="preserve"> vylučují aplikaci § 557 Občanského zákoníku.</w:t>
      </w:r>
    </w:p>
    <w:p w:rsidR="0020795C" w:rsidRPr="00EA3E3B" w:rsidP="0020795C">
      <w:pPr>
        <w:pStyle w:val="Heading2"/>
        <w:keepNext/>
        <w:ind w:left="578" w:hanging="578"/>
        <w:rPr>
          <w:i/>
        </w:rPr>
      </w:pPr>
      <w:r w:rsidRPr="00EA3E3B">
        <w:t xml:space="preserve">Nedílnou součástí Smlouvy jsou následující přílohy: </w:t>
      </w:r>
    </w:p>
    <w:p w:rsidR="0020795C" w:rsidP="0020795C">
      <w:pPr>
        <w:ind w:left="567"/>
        <w:rPr>
          <w:szCs w:val="24"/>
        </w:rPr>
      </w:pPr>
      <w:r>
        <w:rPr>
          <w:szCs w:val="24"/>
        </w:rPr>
        <w:t>P</w:t>
      </w:r>
      <w:r w:rsidRPr="00EA3E3B">
        <w:rPr>
          <w:szCs w:val="24"/>
        </w:rPr>
        <w:t xml:space="preserve">říloha č. 1 – </w:t>
      </w:r>
      <w:r w:rsidR="00FB5AA5">
        <w:rPr>
          <w:szCs w:val="24"/>
        </w:rPr>
        <w:t>Plán Nebytových prostor</w:t>
      </w:r>
      <w:r>
        <w:rPr>
          <w:szCs w:val="24"/>
        </w:rPr>
        <w:t>;</w:t>
      </w:r>
    </w:p>
    <w:p w:rsidR="0020795C" w:rsidP="0020795C">
      <w:pPr>
        <w:ind w:left="567"/>
      </w:pPr>
      <w:r>
        <w:rPr>
          <w:szCs w:val="24"/>
        </w:rPr>
        <w:t xml:space="preserve">Příloha č. 2 – </w:t>
      </w:r>
      <w:r w:rsidR="00FB5AA5">
        <w:t>Cenová kalkulace</w:t>
      </w:r>
      <w:r w:rsidR="00D7536B">
        <w:rPr>
          <w:rFonts w:cs="Arial"/>
          <w:szCs w:val="24"/>
        </w:rPr>
        <w:t>;</w:t>
      </w:r>
    </w:p>
    <w:p w:rsidR="00FB5AA5" w:rsidP="0020795C">
      <w:pPr>
        <w:ind w:firstLine="567"/>
      </w:pPr>
      <w:r>
        <w:t xml:space="preserve">Příloha č. 3 – </w:t>
      </w:r>
      <w:r>
        <w:t>Seznam Movitého vybavení;</w:t>
      </w:r>
    </w:p>
    <w:p w:rsidR="0020795C" w:rsidRPr="00EA3E3B" w:rsidP="0020795C">
      <w:pPr>
        <w:ind w:firstLine="567"/>
        <w:rPr>
          <w:i/>
          <w:szCs w:val="24"/>
        </w:rPr>
      </w:pPr>
      <w:r>
        <w:t xml:space="preserve">Příloha č. 4 – Předávací protokol </w:t>
      </w:r>
      <w:r>
        <w:t>(vzor).</w:t>
      </w:r>
    </w:p>
    <w:p w:rsidR="00E7777E" w:rsidP="00743020">
      <w:pPr>
        <w:pStyle w:val="Heading2"/>
        <w:numPr>
          <w:ilvl w:val="1"/>
          <w:numId w:val="6"/>
        </w:numPr>
        <w:ind w:left="578" w:hanging="578"/>
      </w:pPr>
      <w:r>
        <w:t>Není-li ve</w:t>
      </w:r>
      <w:r>
        <w:t xml:space="preserve"> Smlouvě výslovně sjednáno jinak, změny nebo doplňky Smlouvy včetně jejích příloh musejí být vyhotoveny písemně formou dodatku, datovány a podepsány oběma Smluvními stranami s podpisy Smluvních stran na jedné listině.</w:t>
      </w:r>
    </w:p>
    <w:p w:rsidR="0020795C" w:rsidRPr="00EA3E3B" w:rsidP="0020795C">
      <w:pPr>
        <w:pStyle w:val="Heading2"/>
        <w:spacing w:after="360"/>
        <w:ind w:left="578" w:hanging="578"/>
        <w:rPr>
          <w:i/>
        </w:rPr>
      </w:pPr>
      <w:r>
        <w:t xml:space="preserve">Tato </w:t>
      </w:r>
      <w:r w:rsidRPr="00EA3E3B">
        <w:t xml:space="preserve">Smlouva je vyhotovena ve </w:t>
      </w:r>
      <w:r>
        <w:t xml:space="preserve">2 </w:t>
      </w:r>
      <w:r w:rsidRPr="00EA3E3B">
        <w:t>vyhotoveních</w:t>
      </w:r>
      <w:r>
        <w:t xml:space="preserve"> v českém jazyce s platností originálu</w:t>
      </w:r>
      <w:r w:rsidRPr="00EA3E3B">
        <w:t>, z</w:t>
      </w:r>
      <w:r>
        <w:t> </w:t>
      </w:r>
      <w:r w:rsidRPr="00EA3E3B">
        <w:t xml:space="preserve">nichž </w:t>
      </w:r>
      <w:r>
        <w:t xml:space="preserve">každá ze Smluvních stran obdrží 1 </w:t>
      </w:r>
      <w:r w:rsidRPr="00EA3E3B">
        <w:t>vyhotovení.</w:t>
      </w:r>
      <w:r>
        <w:t xml:space="preserve"> </w:t>
      </w:r>
      <w:r w:rsidRPr="001A1766">
        <w:rPr>
          <w:rFonts w:cs="Arial"/>
        </w:rPr>
        <w:t>[</w:t>
      </w:r>
      <w:r w:rsidRPr="001A1766">
        <w:rPr>
          <w:rFonts w:cs="Arial"/>
          <w:highlight w:val="green"/>
        </w:rPr>
        <w:t>V</w:t>
      </w:r>
      <w:r w:rsidRPr="001A1766">
        <w:rPr>
          <w:highlight w:val="green"/>
        </w:rPr>
        <w:t xml:space="preserve"> případě, že bude </w:t>
      </w:r>
      <w:r>
        <w:rPr>
          <w:highlight w:val="green"/>
        </w:rPr>
        <w:t>Smlouva u</w:t>
      </w:r>
      <w:r w:rsidRPr="001A1766">
        <w:rPr>
          <w:highlight w:val="green"/>
        </w:rPr>
        <w:t xml:space="preserve">zavírána v elektronické podobě, bude nahrazeno následujícím zněním „Tato </w:t>
      </w:r>
      <w:r>
        <w:rPr>
          <w:highlight w:val="green"/>
        </w:rPr>
        <w:t>Smlouva</w:t>
      </w:r>
      <w:r w:rsidRPr="001A1766">
        <w:rPr>
          <w:highlight w:val="green"/>
        </w:rPr>
        <w:t xml:space="preserve"> je vyhotovena v 1 vyhotovení v českém jazyce s platností originálu s elektronickými podpisy obou Smluvních stran.“</w:t>
      </w:r>
      <w:r w:rsidRPr="001A1766">
        <w:rPr>
          <w:rFonts w:cs="Arial"/>
        </w:rPr>
        <w:t>]</w:t>
      </w:r>
    </w:p>
    <w:p w:rsidR="004519F2" w:rsidRPr="00B27BAC" w:rsidP="004519F2">
      <w:pPr>
        <w:pStyle w:val="Heading2"/>
        <w:numPr>
          <w:ilvl w:val="0"/>
          <w:numId w:val="0"/>
        </w:numPr>
        <w:rPr>
          <w:b/>
          <w:i/>
        </w:rPr>
      </w:pPr>
      <w:r w:rsidRPr="00B27BAC">
        <w:rPr>
          <w:b/>
        </w:rPr>
        <w:t xml:space="preserve">Smluvní strany prohlašují, že před podepsáním Smlouvy si ji přečetly, že Smlouva je projevem jejich pravé a svobodné vůle a nebyla sjednána v tísni ani za jinak jednostranně nevýhodných podmínek. Na důkaz této skutečnosti připojují své podpisy. </w:t>
      </w:r>
    </w:p>
    <w:p w:rsidR="004519F2" w:rsidRPr="00EA3E3B" w:rsidP="004519F2">
      <w:pPr>
        <w:rPr>
          <w:snapToGrid w:val="0"/>
          <w:sz w:val="24"/>
          <w:szCs w:val="24"/>
        </w:rPr>
      </w:pPr>
    </w:p>
    <w:tbl>
      <w:tblPr>
        <w:tblW w:w="9072" w:type="dxa"/>
        <w:tblInd w:w="108" w:type="dxa"/>
        <w:tblLook w:val="04A0"/>
      </w:tblPr>
      <w:tblGrid>
        <w:gridCol w:w="3969"/>
        <w:gridCol w:w="1134"/>
        <w:gridCol w:w="3969"/>
      </w:tblGrid>
      <w:tr w:rsidTr="00EF2C69">
        <w:tblPrEx>
          <w:tblW w:w="9072" w:type="dxa"/>
          <w:tblInd w:w="108" w:type="dxa"/>
          <w:tblLook w:val="04A0"/>
        </w:tblPrEx>
        <w:tc>
          <w:tcPr>
            <w:tcW w:w="3969" w:type="dxa"/>
          </w:tcPr>
          <w:p w:rsidR="004519F2" w:rsidRPr="00B6708A" w:rsidP="0059790C">
            <w:pPr>
              <w:spacing w:after="60"/>
              <w:ind w:left="-108"/>
              <w:rPr>
                <w:rFonts w:cs="Arial"/>
              </w:rPr>
            </w:pPr>
            <w:r w:rsidRPr="00C24CFD">
              <w:rPr>
                <w:rFonts w:cs="Arial"/>
              </w:rPr>
              <w:t xml:space="preserve">Za </w:t>
            </w:r>
            <w:r w:rsidR="00AD1AC4">
              <w:rPr>
                <w:rFonts w:cs="Arial"/>
              </w:rPr>
              <w:t>Pronajímatel</w:t>
            </w:r>
            <w:r w:rsidRPr="00E961CE">
              <w:rPr>
                <w:rFonts w:cs="Arial"/>
              </w:rPr>
              <w:t>e</w:t>
            </w:r>
            <w:r>
              <w:rPr>
                <w:rFonts w:cs="Arial"/>
              </w:rPr>
              <w:t>:</w:t>
            </w:r>
          </w:p>
        </w:tc>
        <w:tc>
          <w:tcPr>
            <w:tcW w:w="1134" w:type="dxa"/>
          </w:tcPr>
          <w:p w:rsidR="004519F2" w:rsidRPr="00C24CFD" w:rsidP="00EF2C69">
            <w:pPr>
              <w:ind w:left="-108"/>
              <w:rPr>
                <w:rFonts w:cs="Arial"/>
                <w:iCs/>
              </w:rPr>
            </w:pPr>
          </w:p>
        </w:tc>
        <w:tc>
          <w:tcPr>
            <w:tcW w:w="3969" w:type="dxa"/>
          </w:tcPr>
          <w:p w:rsidR="004519F2" w:rsidP="00EF2C69">
            <w:pPr>
              <w:spacing w:after="60"/>
              <w:ind w:left="-108"/>
              <w:rPr>
                <w:rFonts w:cs="Arial"/>
              </w:rPr>
            </w:pPr>
            <w:r w:rsidRPr="00C24CFD">
              <w:rPr>
                <w:rFonts w:cs="Arial"/>
              </w:rPr>
              <w:t xml:space="preserve">Za </w:t>
            </w:r>
            <w:r w:rsidR="00FB5AA5">
              <w:rPr>
                <w:rFonts w:cs="Arial"/>
              </w:rPr>
              <w:t>Nájemce</w:t>
            </w:r>
            <w:r>
              <w:rPr>
                <w:rFonts w:cs="Arial"/>
              </w:rPr>
              <w:t>:</w:t>
            </w:r>
          </w:p>
          <w:p w:rsidR="004519F2" w:rsidRPr="00C24CFD" w:rsidP="00EF2C69">
            <w:pPr>
              <w:ind w:left="-108"/>
              <w:rPr>
                <w:rFonts w:cs="Arial"/>
                <w:iCs/>
              </w:rPr>
            </w:pPr>
          </w:p>
        </w:tc>
      </w:tr>
      <w:tr w:rsidTr="00EF2C69">
        <w:tblPrEx>
          <w:tblW w:w="9072" w:type="dxa"/>
          <w:tblInd w:w="108" w:type="dxa"/>
          <w:tblLook w:val="04A0"/>
        </w:tblPrEx>
        <w:tc>
          <w:tcPr>
            <w:tcW w:w="3969" w:type="dxa"/>
          </w:tcPr>
          <w:p w:rsidR="004519F2" w:rsidRPr="00C24CFD" w:rsidP="00EF2C69">
            <w:pPr>
              <w:ind w:left="-108"/>
              <w:rPr>
                <w:rFonts w:cs="Arial"/>
                <w:iCs/>
              </w:rPr>
            </w:pPr>
            <w:r w:rsidRPr="00C24CFD">
              <w:rPr>
                <w:rFonts w:cs="Arial"/>
                <w:iCs/>
              </w:rPr>
              <w:t>V Praze dne</w:t>
            </w:r>
            <w:r>
              <w:rPr>
                <w:rFonts w:cs="Arial"/>
                <w:iCs/>
              </w:rPr>
              <w:t xml:space="preserve"> ________________</w:t>
            </w:r>
          </w:p>
        </w:tc>
        <w:tc>
          <w:tcPr>
            <w:tcW w:w="1134" w:type="dxa"/>
          </w:tcPr>
          <w:p w:rsidR="004519F2" w:rsidRPr="00C24CFD" w:rsidP="00EF2C69">
            <w:pPr>
              <w:ind w:left="-108"/>
              <w:rPr>
                <w:rFonts w:cs="Arial"/>
                <w:iCs/>
              </w:rPr>
            </w:pPr>
          </w:p>
        </w:tc>
        <w:tc>
          <w:tcPr>
            <w:tcW w:w="3969" w:type="dxa"/>
          </w:tcPr>
          <w:p w:rsidR="004519F2" w:rsidRPr="00C24CFD" w:rsidP="00EF2C69">
            <w:pPr>
              <w:ind w:left="-108"/>
              <w:rPr>
                <w:rFonts w:cs="Arial"/>
                <w:iCs/>
              </w:rPr>
            </w:pPr>
            <w:r w:rsidRPr="00C24CFD">
              <w:rPr>
                <w:rFonts w:cs="Arial"/>
                <w:iCs/>
              </w:rPr>
              <w:t xml:space="preserve">V </w:t>
            </w:r>
            <w:r>
              <w:rPr>
                <w:rFonts w:cs="Arial"/>
                <w:iCs/>
              </w:rPr>
              <w:t>_______</w:t>
            </w:r>
            <w:r w:rsidRPr="00C24CFD">
              <w:rPr>
                <w:rFonts w:cs="Arial"/>
                <w:iCs/>
              </w:rPr>
              <w:t xml:space="preserve"> dne</w:t>
            </w:r>
            <w:r>
              <w:rPr>
                <w:rFonts w:cs="Arial"/>
                <w:iCs/>
              </w:rPr>
              <w:t xml:space="preserve"> ________________</w:t>
            </w:r>
            <w:r w:rsidRPr="00C24CFD">
              <w:rPr>
                <w:rFonts w:cs="Arial"/>
                <w:iCs/>
              </w:rPr>
              <w:t xml:space="preserve"> </w:t>
            </w:r>
          </w:p>
        </w:tc>
      </w:tr>
      <w:tr w:rsidTr="00EF2C69">
        <w:tblPrEx>
          <w:tblW w:w="9072" w:type="dxa"/>
          <w:tblInd w:w="108" w:type="dxa"/>
          <w:tblLook w:val="04A0"/>
        </w:tblPrEx>
        <w:tc>
          <w:tcPr>
            <w:tcW w:w="3969" w:type="dxa"/>
            <w:tcBorders>
              <w:bottom w:val="single" w:sz="4" w:space="0" w:color="auto"/>
            </w:tcBorders>
          </w:tcPr>
          <w:p w:rsidR="004519F2" w:rsidP="00EF2C69">
            <w:pPr>
              <w:ind w:left="-108"/>
              <w:rPr>
                <w:rFonts w:cs="Arial"/>
                <w:iCs/>
              </w:rPr>
            </w:pPr>
          </w:p>
          <w:p w:rsidR="004519F2" w:rsidP="00EF2C69">
            <w:pPr>
              <w:ind w:left="-108"/>
              <w:rPr>
                <w:rFonts w:cs="Arial"/>
                <w:iCs/>
              </w:rPr>
            </w:pPr>
          </w:p>
          <w:p w:rsidR="004519F2" w:rsidP="00EF2C69">
            <w:pPr>
              <w:ind w:left="-108"/>
              <w:rPr>
                <w:rFonts w:cs="Arial"/>
                <w:iCs/>
              </w:rPr>
            </w:pPr>
          </w:p>
          <w:p w:rsidR="004519F2" w:rsidRPr="00C24CFD" w:rsidP="00EF2C69">
            <w:pPr>
              <w:ind w:left="-108"/>
              <w:rPr>
                <w:rFonts w:cs="Arial"/>
                <w:iCs/>
              </w:rPr>
            </w:pPr>
          </w:p>
        </w:tc>
        <w:tc>
          <w:tcPr>
            <w:tcW w:w="1134" w:type="dxa"/>
          </w:tcPr>
          <w:p w:rsidR="004519F2" w:rsidRPr="00C24CFD" w:rsidP="00EF2C69">
            <w:pPr>
              <w:ind w:left="-108"/>
              <w:rPr>
                <w:rFonts w:cs="Arial"/>
                <w:iCs/>
              </w:rPr>
            </w:pPr>
          </w:p>
        </w:tc>
        <w:tc>
          <w:tcPr>
            <w:tcW w:w="3969" w:type="dxa"/>
            <w:tcBorders>
              <w:bottom w:val="single" w:sz="4" w:space="0" w:color="auto"/>
            </w:tcBorders>
          </w:tcPr>
          <w:p w:rsidR="004519F2" w:rsidRPr="00C24CFD" w:rsidP="00EF2C69">
            <w:pPr>
              <w:ind w:left="-108"/>
              <w:rPr>
                <w:rFonts w:cs="Arial"/>
                <w:iCs/>
              </w:rPr>
            </w:pPr>
          </w:p>
        </w:tc>
      </w:tr>
      <w:tr w:rsidTr="00EF2C69">
        <w:tblPrEx>
          <w:tblW w:w="9072" w:type="dxa"/>
          <w:tblInd w:w="108" w:type="dxa"/>
          <w:tblLook w:val="04A0"/>
        </w:tblPrEx>
        <w:tc>
          <w:tcPr>
            <w:tcW w:w="3969" w:type="dxa"/>
            <w:tcBorders>
              <w:top w:val="single" w:sz="4" w:space="0" w:color="auto"/>
            </w:tcBorders>
          </w:tcPr>
          <w:p w:rsidR="004519F2" w:rsidRPr="00B27BAC" w:rsidP="00271714">
            <w:pPr>
              <w:spacing w:before="120" w:after="0"/>
              <w:ind w:left="-108"/>
              <w:rPr>
                <w:rFonts w:cs="Arial"/>
              </w:rPr>
            </w:pPr>
            <w:r w:rsidRPr="00B27BAC">
              <w:rPr>
                <w:rFonts w:cs="Arial"/>
              </w:rPr>
              <w:t>Michal Kříž</w:t>
            </w:r>
          </w:p>
          <w:p w:rsidR="004519F2" w:rsidRPr="00C24CFD" w:rsidP="00135F1A">
            <w:pPr>
              <w:spacing w:after="0"/>
              <w:ind w:left="-108"/>
              <w:jc w:val="left"/>
              <w:rPr>
                <w:rFonts w:cs="Arial"/>
                <w:iCs/>
              </w:rPr>
            </w:pPr>
            <w:r w:rsidRPr="00135F1A">
              <w:rPr>
                <w:rFonts w:cs="Arial"/>
              </w:rPr>
              <w:t>ředitel odboru 13 – Hospodářská správa</w:t>
            </w:r>
          </w:p>
        </w:tc>
        <w:tc>
          <w:tcPr>
            <w:tcW w:w="1134" w:type="dxa"/>
          </w:tcPr>
          <w:p w:rsidR="004519F2" w:rsidRPr="00C24CFD" w:rsidP="00EF2C69">
            <w:pPr>
              <w:rPr>
                <w:rFonts w:cs="Arial"/>
                <w:iCs/>
              </w:rPr>
            </w:pPr>
          </w:p>
        </w:tc>
        <w:tc>
          <w:tcPr>
            <w:tcW w:w="3969" w:type="dxa"/>
            <w:tcBorders>
              <w:top w:val="single" w:sz="4" w:space="0" w:color="auto"/>
            </w:tcBorders>
          </w:tcPr>
          <w:p w:rsidR="004519F2" w:rsidRPr="00B27BAC" w:rsidP="00EF2C69">
            <w:pPr>
              <w:spacing w:before="120" w:after="0"/>
              <w:ind w:left="-108"/>
              <w:rPr>
                <w:rFonts w:cs="Arial"/>
                <w:iCs/>
              </w:rPr>
            </w:pPr>
            <w:r w:rsidRPr="00B27BAC">
              <w:rPr>
                <w:rFonts w:cs="Arial"/>
                <w:highlight w:val="yellow"/>
              </w:rPr>
              <w:t>[</w:t>
            </w:r>
            <w:r w:rsidR="004F7A76">
              <w:rPr>
                <w:rFonts w:cs="Arial"/>
                <w:highlight w:val="yellow"/>
              </w:rPr>
              <w:t>●</w:t>
            </w:r>
            <w:r w:rsidRPr="00B27BAC">
              <w:rPr>
                <w:rFonts w:cs="Arial"/>
                <w:highlight w:val="yellow"/>
              </w:rPr>
              <w:t>]</w:t>
            </w:r>
          </w:p>
          <w:p w:rsidR="004519F2" w:rsidRPr="00C24CFD" w:rsidP="00EF2C69">
            <w:pPr>
              <w:spacing w:before="120" w:after="0"/>
              <w:ind w:left="-108"/>
              <w:rPr>
                <w:rFonts w:cs="Arial"/>
                <w:iCs/>
              </w:rPr>
            </w:pPr>
          </w:p>
        </w:tc>
      </w:tr>
    </w:tbl>
    <w:p w:rsidR="00CC7293" w:rsidP="004519F2"/>
    <w:p w:rsidR="00CC7293" w:rsidP="004519F2">
      <w:pPr>
        <w:sectPr>
          <w:footerReference w:type="default" r:id="rId6"/>
          <w:pgSz w:w="11906" w:h="16838"/>
          <w:pgMar w:top="1417" w:right="1417" w:bottom="1417" w:left="1417" w:header="708" w:footer="708" w:gutter="0"/>
          <w:cols w:space="708"/>
          <w:docGrid w:linePitch="360"/>
        </w:sectPr>
      </w:pPr>
    </w:p>
    <w:p w:rsidR="00CC7293" w:rsidRPr="00CC7293" w:rsidP="00CC7293">
      <w:pPr>
        <w:spacing w:after="60"/>
        <w:jc w:val="center"/>
        <w:rPr>
          <w:b/>
        </w:rPr>
      </w:pPr>
      <w:r w:rsidRPr="00CC7293">
        <w:rPr>
          <w:b/>
        </w:rPr>
        <w:t>Příloha č. 1</w:t>
      </w:r>
    </w:p>
    <w:p w:rsidR="00CC7293" w:rsidRPr="00CC7293" w:rsidP="00CC7293">
      <w:pPr>
        <w:jc w:val="center"/>
        <w:rPr>
          <w:b/>
        </w:rPr>
      </w:pPr>
      <w:r>
        <w:rPr>
          <w:b/>
        </w:rPr>
        <w:t>Plán Nebytových prostor</w:t>
      </w:r>
    </w:p>
    <w:p w:rsidR="00CC7293" w:rsidP="00CC7293">
      <w:pPr>
        <w:jc w:val="center"/>
        <w:rPr>
          <w:b/>
        </w:rPr>
      </w:pPr>
    </w:p>
    <w:tbl>
      <w:tblPr>
        <w:tblStyle w:val="TableGrid"/>
        <w:tblW w:w="0" w:type="auto"/>
        <w:jc w:val="center"/>
        <w:tblLook w:val="04A0"/>
      </w:tblPr>
      <w:tblGrid>
        <w:gridCol w:w="1980"/>
        <w:gridCol w:w="2693"/>
        <w:gridCol w:w="1559"/>
      </w:tblGrid>
      <w:tr w:rsidTr="00D332C4">
        <w:tblPrEx>
          <w:tblW w:w="0" w:type="auto"/>
          <w:jc w:val="center"/>
          <w:tblLook w:val="04A0"/>
        </w:tblPrEx>
        <w:trPr>
          <w:jc w:val="center"/>
        </w:trPr>
        <w:tc>
          <w:tcPr>
            <w:tcW w:w="1980" w:type="dxa"/>
          </w:tcPr>
          <w:p w:rsidR="00D332C4" w:rsidP="00533154">
            <w:pPr>
              <w:spacing w:before="120"/>
              <w:ind w:left="34"/>
              <w:jc w:val="left"/>
              <w:rPr>
                <w:b/>
              </w:rPr>
            </w:pPr>
            <w:r>
              <w:rPr>
                <w:b/>
              </w:rPr>
              <w:t>Číslo místnosti</w:t>
            </w:r>
          </w:p>
        </w:tc>
        <w:tc>
          <w:tcPr>
            <w:tcW w:w="2693" w:type="dxa"/>
          </w:tcPr>
          <w:p w:rsidR="00D332C4" w:rsidP="00533154">
            <w:pPr>
              <w:spacing w:before="120"/>
              <w:jc w:val="center"/>
              <w:rPr>
                <w:b/>
              </w:rPr>
            </w:pPr>
            <w:r>
              <w:rPr>
                <w:b/>
              </w:rPr>
              <w:t>Způsob využití</w:t>
            </w:r>
          </w:p>
        </w:tc>
        <w:tc>
          <w:tcPr>
            <w:tcW w:w="1559" w:type="dxa"/>
          </w:tcPr>
          <w:p w:rsidR="00D332C4" w:rsidP="00533154">
            <w:pPr>
              <w:spacing w:before="120"/>
              <w:jc w:val="center"/>
              <w:rPr>
                <w:b/>
              </w:rPr>
            </w:pPr>
            <w:r>
              <w:rPr>
                <w:b/>
              </w:rPr>
              <w:t>Plocha (m</w:t>
            </w:r>
            <w:r w:rsidRPr="00986D75">
              <w:rPr>
                <w:b/>
                <w:vertAlign w:val="superscript"/>
              </w:rPr>
              <w:t>2</w:t>
            </w:r>
            <w:r>
              <w:rPr>
                <w:b/>
              </w:rPr>
              <w:t>)</w:t>
            </w:r>
          </w:p>
        </w:tc>
      </w:tr>
      <w:tr w:rsidTr="00D332C4">
        <w:tblPrEx>
          <w:tblW w:w="0" w:type="auto"/>
          <w:jc w:val="center"/>
          <w:tblLook w:val="04A0"/>
        </w:tblPrEx>
        <w:trPr>
          <w:jc w:val="center"/>
        </w:trPr>
        <w:tc>
          <w:tcPr>
            <w:tcW w:w="1980" w:type="dxa"/>
          </w:tcPr>
          <w:p w:rsidR="00D332C4" w:rsidRPr="004371E2" w:rsidP="00533154">
            <w:pPr>
              <w:spacing w:before="120"/>
              <w:ind w:left="34"/>
              <w:jc w:val="center"/>
            </w:pPr>
            <w:r w:rsidRPr="004371E2">
              <w:t>400 / 1.02</w:t>
            </w:r>
          </w:p>
        </w:tc>
        <w:tc>
          <w:tcPr>
            <w:tcW w:w="2693" w:type="dxa"/>
          </w:tcPr>
          <w:p w:rsidR="00D332C4" w:rsidRPr="004371E2" w:rsidP="00533154">
            <w:pPr>
              <w:spacing w:before="120"/>
              <w:jc w:val="center"/>
            </w:pPr>
            <w:r w:rsidRPr="004371E2">
              <w:t>prodejna</w:t>
            </w:r>
          </w:p>
        </w:tc>
        <w:tc>
          <w:tcPr>
            <w:tcW w:w="1559" w:type="dxa"/>
          </w:tcPr>
          <w:p w:rsidR="00D332C4" w:rsidRPr="004371E2" w:rsidP="00D332C4">
            <w:pPr>
              <w:spacing w:before="120"/>
              <w:jc w:val="right"/>
            </w:pPr>
            <w:r w:rsidRPr="004371E2">
              <w:t>46,22</w:t>
            </w:r>
          </w:p>
        </w:tc>
      </w:tr>
      <w:tr w:rsidTr="00D332C4">
        <w:tblPrEx>
          <w:tblW w:w="0" w:type="auto"/>
          <w:jc w:val="center"/>
          <w:tblLook w:val="04A0"/>
        </w:tblPrEx>
        <w:trPr>
          <w:jc w:val="center"/>
        </w:trPr>
        <w:tc>
          <w:tcPr>
            <w:tcW w:w="1980" w:type="dxa"/>
          </w:tcPr>
          <w:p w:rsidR="00D332C4" w:rsidRPr="004371E2" w:rsidP="00533154">
            <w:pPr>
              <w:spacing w:before="120"/>
              <w:ind w:left="34"/>
              <w:jc w:val="center"/>
            </w:pPr>
            <w:r w:rsidRPr="004371E2">
              <w:t>401a</w:t>
            </w:r>
            <w:r w:rsidRPr="004371E2">
              <w:t xml:space="preserve"> / 1.03</w:t>
            </w:r>
          </w:p>
        </w:tc>
        <w:tc>
          <w:tcPr>
            <w:tcW w:w="2693" w:type="dxa"/>
          </w:tcPr>
          <w:p w:rsidR="00D332C4" w:rsidRPr="004371E2" w:rsidP="00533154">
            <w:pPr>
              <w:spacing w:before="120"/>
              <w:jc w:val="center"/>
            </w:pPr>
            <w:r w:rsidRPr="004371E2">
              <w:t>sklad</w:t>
            </w:r>
          </w:p>
        </w:tc>
        <w:tc>
          <w:tcPr>
            <w:tcW w:w="1559" w:type="dxa"/>
          </w:tcPr>
          <w:p w:rsidR="00D332C4" w:rsidRPr="004371E2" w:rsidP="00D332C4">
            <w:pPr>
              <w:spacing w:before="120"/>
              <w:jc w:val="right"/>
            </w:pPr>
            <w:r w:rsidRPr="004371E2">
              <w:t>19,80</w:t>
            </w:r>
          </w:p>
        </w:tc>
      </w:tr>
      <w:tr w:rsidTr="00D332C4">
        <w:tblPrEx>
          <w:tblW w:w="0" w:type="auto"/>
          <w:jc w:val="center"/>
          <w:tblLook w:val="04A0"/>
        </w:tblPrEx>
        <w:trPr>
          <w:jc w:val="center"/>
        </w:trPr>
        <w:tc>
          <w:tcPr>
            <w:tcW w:w="1980" w:type="dxa"/>
          </w:tcPr>
          <w:p w:rsidR="00D332C4" w:rsidRPr="004371E2" w:rsidP="00533154">
            <w:pPr>
              <w:spacing w:before="120"/>
              <w:ind w:left="34"/>
              <w:jc w:val="center"/>
            </w:pPr>
            <w:r w:rsidRPr="004371E2">
              <w:t>400 / 1.04</w:t>
            </w:r>
          </w:p>
        </w:tc>
        <w:tc>
          <w:tcPr>
            <w:tcW w:w="2693" w:type="dxa"/>
          </w:tcPr>
          <w:p w:rsidR="00D332C4" w:rsidRPr="004371E2" w:rsidP="00533154">
            <w:pPr>
              <w:spacing w:before="120"/>
              <w:jc w:val="center"/>
            </w:pPr>
            <w:r w:rsidRPr="004371E2">
              <w:t>zázemí zaměstnanců</w:t>
            </w:r>
          </w:p>
        </w:tc>
        <w:tc>
          <w:tcPr>
            <w:tcW w:w="1559" w:type="dxa"/>
          </w:tcPr>
          <w:p w:rsidR="00D332C4" w:rsidRPr="004371E2" w:rsidP="00D332C4">
            <w:pPr>
              <w:spacing w:before="120"/>
              <w:jc w:val="right"/>
            </w:pPr>
            <w:r>
              <w:t>5,11</w:t>
            </w:r>
          </w:p>
        </w:tc>
      </w:tr>
      <w:tr w:rsidTr="00D332C4">
        <w:tblPrEx>
          <w:tblW w:w="0" w:type="auto"/>
          <w:jc w:val="center"/>
          <w:tblLook w:val="04A0"/>
        </w:tblPrEx>
        <w:trPr>
          <w:jc w:val="center"/>
        </w:trPr>
        <w:tc>
          <w:tcPr>
            <w:tcW w:w="4673" w:type="dxa"/>
            <w:gridSpan w:val="2"/>
          </w:tcPr>
          <w:p w:rsidR="00D332C4" w:rsidP="00533154">
            <w:pPr>
              <w:spacing w:before="120"/>
              <w:ind w:left="34"/>
              <w:jc w:val="left"/>
              <w:rPr>
                <w:b/>
              </w:rPr>
            </w:pPr>
            <w:r>
              <w:rPr>
                <w:b/>
              </w:rPr>
              <w:t>Celkem</w:t>
            </w:r>
          </w:p>
        </w:tc>
        <w:tc>
          <w:tcPr>
            <w:tcW w:w="1559" w:type="dxa"/>
          </w:tcPr>
          <w:p w:rsidR="00D332C4" w:rsidP="00D332C4">
            <w:pPr>
              <w:spacing w:before="120"/>
              <w:jc w:val="right"/>
              <w:rPr>
                <w:b/>
              </w:rPr>
            </w:pPr>
            <w:r>
              <w:rPr>
                <w:b/>
              </w:rPr>
              <w:t>71,13</w:t>
            </w:r>
          </w:p>
        </w:tc>
      </w:tr>
    </w:tbl>
    <w:p w:rsidR="00D332C4" w:rsidP="00CC7293">
      <w:pPr>
        <w:jc w:val="center"/>
        <w:rPr>
          <w:b/>
        </w:rPr>
      </w:pPr>
    </w:p>
    <w:p w:rsidR="00D332C4" w:rsidP="00CC7293">
      <w:pPr>
        <w:jc w:val="center"/>
        <w:rPr>
          <w:b/>
        </w:rPr>
      </w:pPr>
    </w:p>
    <w:p w:rsidR="00D332C4" w:rsidRPr="00CC7293" w:rsidP="00CC7293">
      <w:pPr>
        <w:jc w:val="center"/>
        <w:rPr>
          <w:b/>
        </w:rPr>
      </w:pPr>
    </w:p>
    <w:p w:rsidR="00CC7293" w:rsidRPr="00CC7293" w:rsidP="00CC7293">
      <w:pPr>
        <w:jc w:val="center"/>
        <w:rPr>
          <w:b/>
        </w:rPr>
      </w:pPr>
      <w:r>
        <w:rPr>
          <w:noProof/>
        </w:rPr>
        <w:drawing>
          <wp:inline distT="0" distB="0" distL="0" distR="0">
            <wp:extent cx="5760720" cy="4064044"/>
            <wp:effectExtent l="0" t="0" r="0" b="0"/>
            <wp:docPr id="1" name="Obrázek 1" descr="Obsah obrázku text, snímek obrazovky, software, Multimediální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software, Multimediální software&#10;&#10;Obsah generovaný pomocí AI může být nesprávný."/>
                    <pic:cNvPicPr/>
                  </pic:nvPicPr>
                  <pic:blipFill rotWithShape="1">
                    <a:blip xmlns:r="http://schemas.openxmlformats.org/officeDocument/2006/relationships" r:embed="rId7"/>
                    <a:srcRect l="55218" t="16146" r="13566" b="5559"/>
                    <a:stretch>
                      <a:fillRect/>
                    </a:stretch>
                  </pic:blipFill>
                  <pic:spPr bwMode="auto">
                    <a:xfrm>
                      <a:off x="0" y="0"/>
                      <a:ext cx="5760720" cy="40640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C7293">
      <w:pPr>
        <w:spacing w:after="200"/>
        <w:jc w:val="left"/>
        <w:rPr>
          <w:b/>
        </w:rPr>
      </w:pPr>
      <w:r>
        <w:rPr>
          <w:b/>
        </w:rPr>
        <w:br w:type="page"/>
      </w:r>
    </w:p>
    <w:p w:rsidR="00CC7293" w:rsidRPr="00CC7293" w:rsidP="00CC7293">
      <w:pPr>
        <w:spacing w:after="60"/>
        <w:jc w:val="center"/>
        <w:rPr>
          <w:b/>
        </w:rPr>
      </w:pPr>
      <w:r w:rsidRPr="00CC7293">
        <w:rPr>
          <w:b/>
        </w:rPr>
        <w:t>Příloha č. 2</w:t>
      </w:r>
    </w:p>
    <w:p w:rsidR="00CC7293" w:rsidP="00CC7293">
      <w:pPr>
        <w:jc w:val="center"/>
        <w:rPr>
          <w:b/>
        </w:rPr>
      </w:pPr>
      <w:r>
        <w:rPr>
          <w:b/>
        </w:rPr>
        <w:t>Cenová kalkulace</w:t>
      </w:r>
    </w:p>
    <w:p w:rsidR="00D332C4" w:rsidRPr="008D41FF" w:rsidP="00CC7293">
      <w:pPr>
        <w:jc w:val="center"/>
        <w:rPr>
          <w:b/>
        </w:rPr>
      </w:pPr>
    </w:p>
    <w:tbl>
      <w:tblPr>
        <w:tblW w:w="9058" w:type="dxa"/>
        <w:tblCellMar>
          <w:left w:w="70" w:type="dxa"/>
          <w:right w:w="70" w:type="dxa"/>
        </w:tblCellMar>
        <w:tblLook w:val="04A0"/>
      </w:tblPr>
      <w:tblGrid>
        <w:gridCol w:w="385"/>
        <w:gridCol w:w="4577"/>
        <w:gridCol w:w="2126"/>
        <w:gridCol w:w="1970"/>
      </w:tblGrid>
      <w:tr w:rsidTr="00533154">
        <w:tblPrEx>
          <w:tblW w:w="9058" w:type="dxa"/>
          <w:tblCellMar>
            <w:left w:w="70" w:type="dxa"/>
            <w:right w:w="70" w:type="dxa"/>
          </w:tblCellMar>
          <w:tblLook w:val="04A0"/>
        </w:tblPrEx>
        <w:trPr>
          <w:trHeight w:val="264"/>
        </w:trPr>
        <w:tc>
          <w:tcPr>
            <w:tcW w:w="9058" w:type="dxa"/>
            <w:gridSpan w:val="4"/>
            <w:tcBorders>
              <w:top w:val="nil"/>
              <w:left w:val="nil"/>
              <w:bottom w:val="nil"/>
              <w:right w:val="nil"/>
            </w:tcBorders>
            <w:noWrap/>
            <w:vAlign w:val="center"/>
            <w:hideMark/>
          </w:tcPr>
          <w:p w:rsidR="00D332C4" w:rsidRPr="00366B56" w:rsidP="00533154">
            <w:pPr>
              <w:spacing w:after="0" w:line="240" w:lineRule="auto"/>
              <w:jc w:val="left"/>
              <w:rPr>
                <w:rFonts w:eastAsia="Times New Roman" w:cs="Arial"/>
                <w:b/>
                <w:bCs/>
                <w:color w:val="000000"/>
                <w:szCs w:val="20"/>
              </w:rPr>
            </w:pPr>
            <w:r w:rsidRPr="00366B56">
              <w:rPr>
                <w:rFonts w:eastAsia="Times New Roman" w:cs="Arial"/>
                <w:b/>
                <w:bCs/>
                <w:color w:val="000000"/>
                <w:szCs w:val="20"/>
              </w:rPr>
              <w:t>CENOVÁ KALKULACE KE SMLOUVĚ O NÁJMU PROSTOR SLOUŽÍCÍCH K PODNIKÁNÍ</w:t>
            </w:r>
          </w:p>
        </w:tc>
      </w:tr>
      <w:tr w:rsidTr="00533154">
        <w:tblPrEx>
          <w:tblW w:w="9058" w:type="dxa"/>
          <w:tblCellMar>
            <w:left w:w="70" w:type="dxa"/>
            <w:right w:w="70" w:type="dxa"/>
          </w:tblCellMar>
          <w:tblLook w:val="04A0"/>
        </w:tblPrEx>
        <w:trPr>
          <w:trHeight w:val="312"/>
        </w:trPr>
        <w:tc>
          <w:tcPr>
            <w:tcW w:w="9058" w:type="dxa"/>
            <w:gridSpan w:val="4"/>
            <w:tcBorders>
              <w:top w:val="nil"/>
              <w:left w:val="nil"/>
              <w:bottom w:val="nil"/>
              <w:right w:val="nil"/>
            </w:tcBorders>
            <w:noWrap/>
            <w:vAlign w:val="center"/>
            <w:hideMark/>
          </w:tcPr>
          <w:p w:rsidR="00D332C4" w:rsidRPr="00366B56" w:rsidP="00533154">
            <w:pPr>
              <w:spacing w:after="0" w:line="240" w:lineRule="auto"/>
              <w:jc w:val="left"/>
              <w:rPr>
                <w:rFonts w:eastAsia="Times New Roman" w:cs="Arial"/>
                <w:color w:val="000000"/>
                <w:szCs w:val="20"/>
              </w:rPr>
            </w:pPr>
            <w:r w:rsidRPr="00366B56">
              <w:rPr>
                <w:rFonts w:eastAsia="Times New Roman" w:cs="Arial"/>
                <w:color w:val="000000"/>
                <w:szCs w:val="20"/>
              </w:rPr>
              <w:t xml:space="preserve">platná od </w:t>
            </w:r>
            <w:r w:rsidRPr="00ED1E0B">
              <w:rPr>
                <w:rFonts w:eastAsia="Times New Roman" w:cs="Arial"/>
                <w:color w:val="000000"/>
                <w:szCs w:val="20"/>
              </w:rPr>
              <w:t>1. 6. 2026</w:t>
            </w:r>
            <w:r>
              <w:rPr>
                <w:rStyle w:val="FootnoteReference"/>
                <w:rFonts w:eastAsia="Times New Roman" w:cs="Arial"/>
                <w:color w:val="000000"/>
                <w:szCs w:val="20"/>
              </w:rPr>
              <w:footnoteReference w:id="2"/>
            </w:r>
          </w:p>
        </w:tc>
      </w:tr>
      <w:tr w:rsidTr="00513ACB">
        <w:tblPrEx>
          <w:tblW w:w="9058" w:type="dxa"/>
          <w:tblCellMar>
            <w:left w:w="70" w:type="dxa"/>
            <w:right w:w="70" w:type="dxa"/>
          </w:tblCellMar>
          <w:tblLook w:val="04A0"/>
        </w:tblPrEx>
        <w:trPr>
          <w:trHeight w:val="264"/>
        </w:trPr>
        <w:tc>
          <w:tcPr>
            <w:tcW w:w="385" w:type="dxa"/>
            <w:tcBorders>
              <w:top w:val="nil"/>
              <w:left w:val="nil"/>
              <w:bottom w:val="nil"/>
              <w:right w:val="nil"/>
            </w:tcBorders>
            <w:noWrap/>
            <w:vAlign w:val="center"/>
            <w:hideMark/>
          </w:tcPr>
          <w:p w:rsidR="00D332C4" w:rsidRPr="00366B56" w:rsidP="00533154">
            <w:pPr>
              <w:spacing w:after="0" w:line="240" w:lineRule="auto"/>
              <w:jc w:val="left"/>
              <w:rPr>
                <w:rFonts w:eastAsia="Times New Roman" w:cs="Arial"/>
                <w:color w:val="000000"/>
                <w:szCs w:val="20"/>
              </w:rPr>
            </w:pPr>
          </w:p>
        </w:tc>
        <w:tc>
          <w:tcPr>
            <w:tcW w:w="4577" w:type="dxa"/>
            <w:tcBorders>
              <w:top w:val="nil"/>
              <w:left w:val="nil"/>
              <w:bottom w:val="nil"/>
              <w:right w:val="nil"/>
            </w:tcBorders>
            <w:noWrap/>
            <w:vAlign w:val="center"/>
            <w:hideMark/>
          </w:tcPr>
          <w:p w:rsidR="00D332C4" w:rsidRPr="00366B56" w:rsidP="00533154">
            <w:pPr>
              <w:spacing w:after="0" w:line="240" w:lineRule="auto"/>
              <w:jc w:val="left"/>
              <w:rPr>
                <w:rFonts w:ascii="Times New Roman" w:eastAsia="Times New Roman" w:hAnsi="Times New Roman" w:cs="Times New Roman"/>
                <w:szCs w:val="20"/>
              </w:rPr>
            </w:pPr>
          </w:p>
        </w:tc>
        <w:tc>
          <w:tcPr>
            <w:tcW w:w="2126" w:type="dxa"/>
            <w:tcBorders>
              <w:top w:val="nil"/>
              <w:left w:val="nil"/>
              <w:bottom w:val="nil"/>
              <w:right w:val="nil"/>
            </w:tcBorders>
            <w:noWrap/>
            <w:vAlign w:val="center"/>
            <w:hideMark/>
          </w:tcPr>
          <w:p w:rsidR="00D332C4" w:rsidRPr="00366B56" w:rsidP="00533154">
            <w:pPr>
              <w:spacing w:after="0" w:line="240" w:lineRule="auto"/>
              <w:jc w:val="left"/>
              <w:rPr>
                <w:rFonts w:ascii="Times New Roman" w:eastAsia="Times New Roman" w:hAnsi="Times New Roman" w:cs="Times New Roman"/>
                <w:szCs w:val="20"/>
              </w:rPr>
            </w:pPr>
          </w:p>
        </w:tc>
        <w:tc>
          <w:tcPr>
            <w:tcW w:w="1970" w:type="dxa"/>
            <w:tcBorders>
              <w:top w:val="nil"/>
              <w:left w:val="nil"/>
              <w:bottom w:val="nil"/>
              <w:right w:val="nil"/>
            </w:tcBorders>
            <w:noWrap/>
            <w:vAlign w:val="center"/>
            <w:hideMark/>
          </w:tcPr>
          <w:p w:rsidR="00D332C4" w:rsidRPr="00366B56" w:rsidP="00533154">
            <w:pPr>
              <w:spacing w:after="0" w:line="240" w:lineRule="auto"/>
              <w:jc w:val="left"/>
              <w:rPr>
                <w:rFonts w:ascii="Times New Roman" w:eastAsia="Times New Roman" w:hAnsi="Times New Roman" w:cs="Times New Roman"/>
                <w:szCs w:val="20"/>
              </w:rPr>
            </w:pPr>
          </w:p>
        </w:tc>
      </w:tr>
      <w:tr w:rsidTr="00533154">
        <w:tblPrEx>
          <w:tblW w:w="9058" w:type="dxa"/>
          <w:tblCellMar>
            <w:left w:w="70" w:type="dxa"/>
            <w:right w:w="70" w:type="dxa"/>
          </w:tblCellMar>
          <w:tblLook w:val="04A0"/>
        </w:tblPrEx>
        <w:trPr>
          <w:trHeight w:val="264"/>
        </w:trPr>
        <w:tc>
          <w:tcPr>
            <w:tcW w:w="4962" w:type="dxa"/>
            <w:gridSpan w:val="2"/>
            <w:tcBorders>
              <w:top w:val="nil"/>
              <w:left w:val="nil"/>
              <w:right w:val="nil"/>
            </w:tcBorders>
            <w:noWrap/>
            <w:vAlign w:val="center"/>
            <w:hideMark/>
          </w:tcPr>
          <w:p w:rsidR="00D332C4" w:rsidRPr="00366B56" w:rsidP="00533154">
            <w:pPr>
              <w:spacing w:after="0" w:line="240" w:lineRule="auto"/>
              <w:jc w:val="left"/>
              <w:rPr>
                <w:rFonts w:eastAsia="Times New Roman" w:cs="Arial"/>
                <w:b/>
                <w:bCs/>
                <w:color w:val="000000"/>
                <w:szCs w:val="20"/>
              </w:rPr>
            </w:pPr>
            <w:r w:rsidRPr="00366B56">
              <w:rPr>
                <w:rFonts w:eastAsia="Times New Roman" w:cs="Arial"/>
                <w:b/>
                <w:bCs/>
                <w:color w:val="000000"/>
                <w:szCs w:val="20"/>
              </w:rPr>
              <w:t>Pronajímatel:</w:t>
            </w:r>
          </w:p>
        </w:tc>
        <w:tc>
          <w:tcPr>
            <w:tcW w:w="2126" w:type="dxa"/>
            <w:tcBorders>
              <w:top w:val="nil"/>
              <w:left w:val="nil"/>
              <w:bottom w:val="nil"/>
              <w:right w:val="nil"/>
            </w:tcBorders>
            <w:noWrap/>
            <w:vAlign w:val="center"/>
            <w:hideMark/>
          </w:tcPr>
          <w:p w:rsidR="00D332C4" w:rsidRPr="00366B56" w:rsidP="00533154">
            <w:pPr>
              <w:spacing w:after="0" w:line="240" w:lineRule="auto"/>
              <w:jc w:val="left"/>
              <w:rPr>
                <w:rFonts w:eastAsia="Times New Roman" w:cs="Arial"/>
                <w:b/>
                <w:bCs/>
                <w:color w:val="000000"/>
                <w:szCs w:val="20"/>
              </w:rPr>
            </w:pPr>
            <w:r w:rsidRPr="00366B56">
              <w:rPr>
                <w:rFonts w:eastAsia="Times New Roman" w:cs="Arial"/>
                <w:b/>
                <w:bCs/>
                <w:color w:val="000000"/>
                <w:szCs w:val="20"/>
              </w:rPr>
              <w:t>Nájemce:</w:t>
            </w:r>
          </w:p>
        </w:tc>
        <w:tc>
          <w:tcPr>
            <w:tcW w:w="1970" w:type="dxa"/>
            <w:tcBorders>
              <w:top w:val="nil"/>
              <w:left w:val="nil"/>
              <w:bottom w:val="nil"/>
              <w:right w:val="nil"/>
            </w:tcBorders>
            <w:noWrap/>
            <w:vAlign w:val="center"/>
            <w:hideMark/>
          </w:tcPr>
          <w:p w:rsidR="00D332C4" w:rsidRPr="00366B56" w:rsidP="00533154">
            <w:pPr>
              <w:spacing w:after="0" w:line="240" w:lineRule="auto"/>
              <w:jc w:val="left"/>
              <w:rPr>
                <w:rFonts w:eastAsia="Times New Roman" w:cs="Arial"/>
                <w:b/>
                <w:bCs/>
                <w:color w:val="000000"/>
                <w:szCs w:val="20"/>
              </w:rPr>
            </w:pPr>
          </w:p>
        </w:tc>
      </w:tr>
      <w:tr w:rsidTr="00DE6726">
        <w:tblPrEx>
          <w:tblW w:w="9058" w:type="dxa"/>
          <w:tblCellMar>
            <w:left w:w="70" w:type="dxa"/>
            <w:right w:w="70" w:type="dxa"/>
          </w:tblCellMar>
          <w:tblLook w:val="04A0"/>
        </w:tblPrEx>
        <w:trPr>
          <w:trHeight w:val="1282"/>
        </w:trPr>
        <w:tc>
          <w:tcPr>
            <w:tcW w:w="4962" w:type="dxa"/>
            <w:gridSpan w:val="2"/>
            <w:tcBorders>
              <w:bottom w:val="single" w:sz="4" w:space="0" w:color="auto"/>
            </w:tcBorders>
            <w:noWrap/>
            <w:vAlign w:val="center"/>
            <w:hideMark/>
          </w:tcPr>
          <w:p w:rsidR="00D332C4" w:rsidRPr="00366B56" w:rsidP="00533154">
            <w:pPr>
              <w:spacing w:after="0" w:line="240" w:lineRule="auto"/>
              <w:jc w:val="left"/>
              <w:rPr>
                <w:rFonts w:eastAsia="Times New Roman" w:cs="Arial"/>
                <w:color w:val="000000"/>
                <w:szCs w:val="20"/>
              </w:rPr>
            </w:pPr>
            <w:r w:rsidRPr="00366B56">
              <w:rPr>
                <w:rFonts w:eastAsia="Times New Roman" w:cs="Arial"/>
                <w:color w:val="000000"/>
                <w:szCs w:val="20"/>
              </w:rPr>
              <w:t xml:space="preserve">Česká republika </w:t>
            </w:r>
            <w:r>
              <w:rPr>
                <w:rFonts w:eastAsia="Times New Roman" w:cs="Arial"/>
                <w:color w:val="000000"/>
                <w:szCs w:val="20"/>
              </w:rPr>
              <w:t>–</w:t>
            </w:r>
            <w:r w:rsidRPr="00366B56">
              <w:rPr>
                <w:rFonts w:eastAsia="Times New Roman" w:cs="Arial"/>
                <w:color w:val="000000"/>
                <w:szCs w:val="20"/>
              </w:rPr>
              <w:t xml:space="preserve"> Ministerstvo financí</w:t>
            </w:r>
          </w:p>
          <w:p w:rsidR="00D332C4" w:rsidRPr="00366B56" w:rsidP="00533154">
            <w:pPr>
              <w:spacing w:after="0" w:line="240" w:lineRule="auto"/>
              <w:jc w:val="left"/>
              <w:rPr>
                <w:rFonts w:eastAsia="Times New Roman" w:cs="Arial"/>
                <w:color w:val="000000"/>
                <w:szCs w:val="20"/>
              </w:rPr>
            </w:pPr>
            <w:r w:rsidRPr="00366B56">
              <w:rPr>
                <w:rFonts w:eastAsia="Times New Roman" w:cs="Arial"/>
                <w:color w:val="000000"/>
                <w:szCs w:val="20"/>
              </w:rPr>
              <w:t xml:space="preserve">Letenská </w:t>
            </w:r>
            <w:r>
              <w:rPr>
                <w:rFonts w:eastAsia="Times New Roman" w:cs="Arial"/>
                <w:color w:val="000000"/>
                <w:szCs w:val="20"/>
              </w:rPr>
              <w:t>525/</w:t>
            </w:r>
            <w:r w:rsidRPr="00366B56">
              <w:rPr>
                <w:rFonts w:eastAsia="Times New Roman" w:cs="Arial"/>
                <w:color w:val="000000"/>
                <w:szCs w:val="20"/>
              </w:rPr>
              <w:t>15</w:t>
            </w:r>
            <w:r>
              <w:rPr>
                <w:rFonts w:eastAsia="Times New Roman" w:cs="Arial"/>
                <w:color w:val="000000"/>
                <w:szCs w:val="20"/>
              </w:rPr>
              <w:t xml:space="preserve">, </w:t>
            </w:r>
            <w:r w:rsidRPr="00366B56">
              <w:rPr>
                <w:rFonts w:eastAsia="Times New Roman" w:cs="Arial"/>
                <w:color w:val="000000"/>
                <w:szCs w:val="20"/>
              </w:rPr>
              <w:t xml:space="preserve">118 10 Praha 1 </w:t>
            </w:r>
            <w:r>
              <w:rPr>
                <w:rFonts w:eastAsia="Times New Roman" w:cs="Arial"/>
                <w:color w:val="000000"/>
                <w:szCs w:val="20"/>
              </w:rPr>
              <w:t>–</w:t>
            </w:r>
            <w:r w:rsidRPr="00366B56">
              <w:rPr>
                <w:rFonts w:eastAsia="Times New Roman" w:cs="Arial"/>
                <w:color w:val="000000"/>
                <w:szCs w:val="20"/>
              </w:rPr>
              <w:t xml:space="preserve"> Malá Strana</w:t>
            </w:r>
          </w:p>
          <w:p w:rsidR="00D332C4" w:rsidRPr="00366B56" w:rsidP="00533154">
            <w:pPr>
              <w:spacing w:after="0" w:line="240" w:lineRule="auto"/>
              <w:jc w:val="left"/>
              <w:rPr>
                <w:rFonts w:eastAsia="Times New Roman" w:cs="Arial"/>
                <w:color w:val="000000"/>
                <w:szCs w:val="20"/>
              </w:rPr>
            </w:pPr>
            <w:r w:rsidRPr="00366B56">
              <w:rPr>
                <w:rFonts w:eastAsia="Times New Roman" w:cs="Arial"/>
                <w:color w:val="000000"/>
                <w:szCs w:val="20"/>
              </w:rPr>
              <w:t>IČO: 00006947</w:t>
            </w:r>
          </w:p>
        </w:tc>
        <w:tc>
          <w:tcPr>
            <w:tcW w:w="4096" w:type="dxa"/>
            <w:gridSpan w:val="2"/>
            <w:tcBorders>
              <w:top w:val="nil"/>
              <w:left w:val="nil"/>
              <w:bottom w:val="single" w:sz="4" w:space="0" w:color="auto"/>
              <w:right w:val="nil"/>
            </w:tcBorders>
            <w:noWrap/>
            <w:vAlign w:val="center"/>
            <w:hideMark/>
          </w:tcPr>
          <w:p w:rsidR="00D332C4" w:rsidP="00533154">
            <w:pPr>
              <w:spacing w:after="0"/>
              <w:ind w:left="11"/>
              <w:rPr>
                <w:rFonts w:cs="Arial"/>
              </w:rPr>
            </w:pPr>
            <w:r>
              <w:rPr>
                <w:rFonts w:cs="Arial"/>
              </w:rPr>
              <w:t>[</w:t>
            </w:r>
            <w:r w:rsidRPr="00754174">
              <w:rPr>
                <w:highlight w:val="green"/>
              </w:rPr>
              <w:t xml:space="preserve">doplní </w:t>
            </w:r>
            <w:r>
              <w:rPr>
                <w:highlight w:val="green"/>
              </w:rPr>
              <w:t>Pronajímatel</w:t>
            </w:r>
            <w:r w:rsidRPr="00754174">
              <w:rPr>
                <w:highlight w:val="green"/>
              </w:rPr>
              <w:t xml:space="preserve"> před podpisem Smlouvy</w:t>
            </w:r>
            <w:r>
              <w:rPr>
                <w:rFonts w:cs="Arial"/>
              </w:rPr>
              <w:t>]</w:t>
            </w:r>
          </w:p>
          <w:p w:rsidR="00D332C4" w:rsidRPr="00FC057F" w:rsidP="00533154">
            <w:pPr>
              <w:spacing w:after="0"/>
              <w:ind w:left="11"/>
              <w:rPr>
                <w:rFonts w:cs="Arial"/>
                <w:iCs/>
              </w:rPr>
            </w:pPr>
          </w:p>
        </w:tc>
      </w:tr>
      <w:tr w:rsidTr="00513ACB">
        <w:tblPrEx>
          <w:tblW w:w="9058" w:type="dxa"/>
          <w:tblCellMar>
            <w:left w:w="70" w:type="dxa"/>
            <w:right w:w="70" w:type="dxa"/>
          </w:tblCellMar>
          <w:tblLook w:val="04A0"/>
        </w:tblPrEx>
        <w:trPr>
          <w:trHeight w:val="559"/>
        </w:trPr>
        <w:tc>
          <w:tcPr>
            <w:tcW w:w="385" w:type="dxa"/>
            <w:tcBorders>
              <w:top w:val="single" w:sz="4" w:space="0" w:color="auto"/>
              <w:left w:val="single" w:sz="4" w:space="0" w:color="auto"/>
              <w:bottom w:val="single" w:sz="4" w:space="0" w:color="auto"/>
              <w:right w:val="single" w:sz="4" w:space="0" w:color="auto"/>
            </w:tcBorders>
            <w:noWrap/>
            <w:vAlign w:val="center"/>
            <w:hideMark/>
          </w:tcPr>
          <w:p w:rsidR="00D332C4" w:rsidRPr="00366B56" w:rsidP="00533154">
            <w:pPr>
              <w:spacing w:after="0" w:line="240" w:lineRule="auto"/>
              <w:jc w:val="center"/>
              <w:rPr>
                <w:rFonts w:eastAsia="Times New Roman" w:cs="Arial"/>
                <w:b/>
                <w:bCs/>
                <w:color w:val="000000"/>
                <w:szCs w:val="20"/>
              </w:rPr>
            </w:pPr>
            <w:r w:rsidRPr="00366B56">
              <w:rPr>
                <w:rFonts w:eastAsia="Times New Roman" w:cs="Arial"/>
                <w:b/>
                <w:bCs/>
                <w:color w:val="000000"/>
                <w:szCs w:val="20"/>
              </w:rPr>
              <w:t>I.</w:t>
            </w:r>
          </w:p>
        </w:tc>
        <w:tc>
          <w:tcPr>
            <w:tcW w:w="4577" w:type="dxa"/>
            <w:tcBorders>
              <w:top w:val="single" w:sz="4" w:space="0" w:color="auto"/>
              <w:left w:val="nil"/>
              <w:bottom w:val="single" w:sz="4" w:space="0" w:color="auto"/>
              <w:right w:val="single" w:sz="4" w:space="0" w:color="auto"/>
            </w:tcBorders>
            <w:noWrap/>
            <w:vAlign w:val="center"/>
            <w:hideMark/>
          </w:tcPr>
          <w:p w:rsidR="00D332C4" w:rsidRPr="00366B56" w:rsidP="00533154">
            <w:pPr>
              <w:spacing w:after="0" w:line="240" w:lineRule="auto"/>
              <w:jc w:val="left"/>
              <w:rPr>
                <w:rFonts w:eastAsia="Times New Roman" w:cs="Arial"/>
                <w:b/>
                <w:bCs/>
                <w:color w:val="000000"/>
                <w:szCs w:val="20"/>
              </w:rPr>
            </w:pPr>
            <w:r w:rsidRPr="00366B56">
              <w:rPr>
                <w:rFonts w:eastAsia="Times New Roman" w:cs="Arial"/>
                <w:b/>
                <w:bCs/>
                <w:color w:val="000000"/>
                <w:szCs w:val="20"/>
              </w:rPr>
              <w:t>Nájemné</w:t>
            </w:r>
          </w:p>
        </w:tc>
        <w:tc>
          <w:tcPr>
            <w:tcW w:w="2126" w:type="dxa"/>
            <w:tcBorders>
              <w:top w:val="single" w:sz="4" w:space="0" w:color="auto"/>
              <w:left w:val="nil"/>
              <w:bottom w:val="single" w:sz="4" w:space="0" w:color="auto"/>
              <w:right w:val="single" w:sz="4" w:space="0" w:color="auto"/>
            </w:tcBorders>
            <w:vAlign w:val="center"/>
            <w:hideMark/>
          </w:tcPr>
          <w:p w:rsidR="00D332C4" w:rsidRPr="00366B56" w:rsidP="00533154">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měsíc</w:t>
            </w:r>
          </w:p>
        </w:tc>
        <w:tc>
          <w:tcPr>
            <w:tcW w:w="1970" w:type="dxa"/>
            <w:tcBorders>
              <w:top w:val="single" w:sz="4" w:space="0" w:color="auto"/>
              <w:left w:val="nil"/>
              <w:bottom w:val="single" w:sz="4" w:space="0" w:color="auto"/>
              <w:right w:val="single" w:sz="4" w:space="0" w:color="auto"/>
            </w:tcBorders>
            <w:vAlign w:val="center"/>
            <w:hideMark/>
          </w:tcPr>
          <w:p w:rsidR="00D332C4" w:rsidRPr="00366B56" w:rsidP="00533154">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rok</w:t>
            </w:r>
          </w:p>
        </w:tc>
      </w:tr>
      <w:tr w:rsidTr="00513ACB">
        <w:tblPrEx>
          <w:tblW w:w="9058" w:type="dxa"/>
          <w:tblCellMar>
            <w:left w:w="70" w:type="dxa"/>
            <w:right w:w="70" w:type="dxa"/>
          </w:tblCellMar>
          <w:tblLook w:val="04A0"/>
        </w:tblPrEx>
        <w:trPr>
          <w:trHeight w:val="501"/>
        </w:trPr>
        <w:tc>
          <w:tcPr>
            <w:tcW w:w="385" w:type="dxa"/>
            <w:tcBorders>
              <w:top w:val="single" w:sz="4" w:space="0" w:color="auto"/>
              <w:left w:val="single" w:sz="4" w:space="0" w:color="auto"/>
              <w:bottom w:val="single" w:sz="4" w:space="0" w:color="auto"/>
              <w:right w:val="single" w:sz="4" w:space="0" w:color="auto"/>
            </w:tcBorders>
            <w:noWrap/>
            <w:vAlign w:val="center"/>
            <w:hideMark/>
          </w:tcPr>
          <w:p w:rsidR="00D332C4" w:rsidRPr="00366B56" w:rsidP="00533154">
            <w:pPr>
              <w:spacing w:after="0" w:line="240" w:lineRule="auto"/>
              <w:jc w:val="center"/>
              <w:rPr>
                <w:rFonts w:eastAsia="Times New Roman" w:cs="Arial"/>
                <w:color w:val="000000"/>
                <w:szCs w:val="20"/>
              </w:rPr>
            </w:pPr>
            <w:r w:rsidRPr="00366B56">
              <w:rPr>
                <w:rFonts w:eastAsia="Times New Roman" w:cs="Arial"/>
                <w:color w:val="000000"/>
                <w:szCs w:val="20"/>
              </w:rPr>
              <w:t> </w:t>
            </w:r>
          </w:p>
        </w:tc>
        <w:tc>
          <w:tcPr>
            <w:tcW w:w="4577" w:type="dxa"/>
            <w:tcBorders>
              <w:top w:val="single" w:sz="4" w:space="0" w:color="auto"/>
              <w:left w:val="nil"/>
              <w:bottom w:val="single" w:sz="4" w:space="0" w:color="auto"/>
              <w:right w:val="single" w:sz="4" w:space="0" w:color="auto"/>
            </w:tcBorders>
            <w:noWrap/>
            <w:vAlign w:val="center"/>
            <w:hideMark/>
          </w:tcPr>
          <w:p w:rsidR="00D332C4" w:rsidRPr="00366B56" w:rsidP="00533154">
            <w:pPr>
              <w:spacing w:after="0" w:line="240" w:lineRule="auto"/>
              <w:jc w:val="left"/>
              <w:rPr>
                <w:rFonts w:eastAsia="Times New Roman" w:cs="Arial"/>
                <w:color w:val="000000"/>
                <w:szCs w:val="20"/>
              </w:rPr>
            </w:pPr>
            <w:r w:rsidRPr="00366B56">
              <w:rPr>
                <w:rFonts w:eastAsia="Times New Roman" w:cs="Arial"/>
                <w:color w:val="000000"/>
                <w:szCs w:val="20"/>
              </w:rPr>
              <w:t>Nebytové prostory</w:t>
            </w:r>
          </w:p>
        </w:tc>
        <w:tc>
          <w:tcPr>
            <w:tcW w:w="2126" w:type="dxa"/>
            <w:tcBorders>
              <w:top w:val="single" w:sz="4" w:space="0" w:color="auto"/>
              <w:left w:val="nil"/>
              <w:bottom w:val="single" w:sz="4" w:space="0" w:color="auto"/>
              <w:right w:val="single" w:sz="4" w:space="0" w:color="auto"/>
            </w:tcBorders>
            <w:noWrap/>
            <w:vAlign w:val="center"/>
            <w:hideMark/>
          </w:tcPr>
          <w:p w:rsidR="00D332C4" w:rsidRPr="00FC057F" w:rsidP="00533154">
            <w:pPr>
              <w:spacing w:after="0"/>
              <w:ind w:left="11"/>
              <w:jc w:val="right"/>
              <w:rPr>
                <w:rFonts w:cs="Arial"/>
                <w:iCs/>
              </w:rPr>
            </w:pPr>
            <w:r>
              <w:rPr>
                <w:rFonts w:cs="Arial"/>
              </w:rPr>
              <w:t>[</w:t>
            </w:r>
            <w:r w:rsidRPr="00754174">
              <w:rPr>
                <w:highlight w:val="green"/>
              </w:rPr>
              <w:t xml:space="preserve">doplní </w:t>
            </w:r>
            <w:r>
              <w:rPr>
                <w:highlight w:val="green"/>
              </w:rPr>
              <w:t>Pronajímatel</w:t>
            </w:r>
            <w:r w:rsidRPr="00754174">
              <w:rPr>
                <w:highlight w:val="green"/>
              </w:rPr>
              <w:t xml:space="preserve"> před podpisem Smlouvy</w:t>
            </w:r>
            <w:r>
              <w:rPr>
                <w:rFonts w:cs="Arial"/>
              </w:rPr>
              <w:t>]</w:t>
            </w:r>
            <w:r>
              <w:rPr>
                <w:rFonts w:cs="Arial"/>
                <w:snapToGrid w:val="0"/>
              </w:rPr>
              <w:t xml:space="preserve"> Kč</w:t>
            </w:r>
          </w:p>
        </w:tc>
        <w:tc>
          <w:tcPr>
            <w:tcW w:w="1970" w:type="dxa"/>
            <w:tcBorders>
              <w:top w:val="single" w:sz="4" w:space="0" w:color="auto"/>
              <w:left w:val="nil"/>
              <w:bottom w:val="single" w:sz="4" w:space="0" w:color="auto"/>
              <w:right w:val="single" w:sz="4" w:space="0" w:color="auto"/>
            </w:tcBorders>
            <w:noWrap/>
            <w:vAlign w:val="center"/>
            <w:hideMark/>
          </w:tcPr>
          <w:p w:rsidR="00D332C4" w:rsidRPr="00366B56" w:rsidP="00533154">
            <w:pPr>
              <w:spacing w:after="0" w:line="240" w:lineRule="auto"/>
              <w:jc w:val="right"/>
              <w:rPr>
                <w:rFonts w:eastAsia="Times New Roman" w:cs="Arial"/>
                <w:color w:val="000000"/>
                <w:szCs w:val="20"/>
              </w:rPr>
            </w:pPr>
            <w:r>
              <w:rPr>
                <w:rFonts w:cs="Arial"/>
              </w:rPr>
              <w:t>[</w:t>
            </w:r>
            <w:r w:rsidRPr="00754174">
              <w:rPr>
                <w:highlight w:val="green"/>
              </w:rPr>
              <w:t xml:space="preserve">doplní </w:t>
            </w:r>
            <w:r>
              <w:rPr>
                <w:highlight w:val="green"/>
              </w:rPr>
              <w:t>Pronajímatel</w:t>
            </w:r>
            <w:r w:rsidRPr="00754174">
              <w:rPr>
                <w:highlight w:val="green"/>
              </w:rPr>
              <w:t xml:space="preserve"> před podpisem Smlouvy</w:t>
            </w:r>
            <w:r>
              <w:rPr>
                <w:rFonts w:cs="Arial"/>
              </w:rPr>
              <w:t>]</w:t>
            </w:r>
            <w:r w:rsidR="00ED1E0B">
              <w:rPr>
                <w:rFonts w:cs="Arial"/>
              </w:rPr>
              <w:t xml:space="preserve"> </w:t>
            </w:r>
            <w:r>
              <w:rPr>
                <w:rFonts w:cs="Arial"/>
                <w:snapToGrid w:val="0"/>
              </w:rPr>
              <w:t>Kč</w:t>
            </w:r>
          </w:p>
        </w:tc>
      </w:tr>
      <w:tr w:rsidTr="00513ACB">
        <w:tblPrEx>
          <w:tblW w:w="9058" w:type="dxa"/>
          <w:tblCellMar>
            <w:left w:w="70" w:type="dxa"/>
            <w:right w:w="70" w:type="dxa"/>
          </w:tblCellMar>
          <w:tblLook w:val="04A0"/>
        </w:tblPrEx>
        <w:trPr>
          <w:trHeight w:val="264"/>
        </w:trPr>
        <w:tc>
          <w:tcPr>
            <w:tcW w:w="385" w:type="dxa"/>
            <w:tcBorders>
              <w:top w:val="single" w:sz="4" w:space="0" w:color="auto"/>
              <w:bottom w:val="single" w:sz="4" w:space="0" w:color="auto"/>
            </w:tcBorders>
            <w:noWrap/>
            <w:vAlign w:val="center"/>
            <w:hideMark/>
          </w:tcPr>
          <w:p w:rsidR="00D332C4" w:rsidRPr="00366B56" w:rsidP="00533154">
            <w:pPr>
              <w:spacing w:after="0" w:line="240" w:lineRule="auto"/>
              <w:jc w:val="right"/>
              <w:rPr>
                <w:rFonts w:eastAsia="Times New Roman" w:cs="Arial"/>
                <w:color w:val="000000"/>
                <w:szCs w:val="20"/>
              </w:rPr>
            </w:pPr>
          </w:p>
        </w:tc>
        <w:tc>
          <w:tcPr>
            <w:tcW w:w="4577" w:type="dxa"/>
            <w:tcBorders>
              <w:top w:val="single" w:sz="4" w:space="0" w:color="auto"/>
              <w:bottom w:val="single" w:sz="4" w:space="0" w:color="auto"/>
            </w:tcBorders>
            <w:noWrap/>
            <w:vAlign w:val="center"/>
            <w:hideMark/>
          </w:tcPr>
          <w:p w:rsidR="00DE6726" w:rsidRPr="00366B56" w:rsidP="00533154">
            <w:pPr>
              <w:spacing w:after="0" w:line="240" w:lineRule="auto"/>
              <w:jc w:val="center"/>
              <w:rPr>
                <w:rFonts w:ascii="Times New Roman" w:eastAsia="Times New Roman" w:hAnsi="Times New Roman" w:cs="Times New Roman"/>
                <w:szCs w:val="20"/>
              </w:rPr>
            </w:pPr>
          </w:p>
        </w:tc>
        <w:tc>
          <w:tcPr>
            <w:tcW w:w="2126" w:type="dxa"/>
            <w:tcBorders>
              <w:top w:val="single" w:sz="4" w:space="0" w:color="auto"/>
              <w:bottom w:val="single" w:sz="4" w:space="0" w:color="auto"/>
            </w:tcBorders>
            <w:noWrap/>
            <w:vAlign w:val="center"/>
            <w:hideMark/>
          </w:tcPr>
          <w:p w:rsidR="00D332C4" w:rsidRPr="00366B56" w:rsidP="00533154">
            <w:pPr>
              <w:spacing w:after="0" w:line="240" w:lineRule="auto"/>
              <w:jc w:val="left"/>
              <w:rPr>
                <w:rFonts w:ascii="Times New Roman" w:eastAsia="Times New Roman" w:hAnsi="Times New Roman" w:cs="Times New Roman"/>
                <w:szCs w:val="20"/>
              </w:rPr>
            </w:pPr>
          </w:p>
        </w:tc>
        <w:tc>
          <w:tcPr>
            <w:tcW w:w="1970" w:type="dxa"/>
            <w:tcBorders>
              <w:top w:val="single" w:sz="4" w:space="0" w:color="auto"/>
              <w:bottom w:val="single" w:sz="4" w:space="0" w:color="auto"/>
            </w:tcBorders>
            <w:noWrap/>
            <w:vAlign w:val="center"/>
            <w:hideMark/>
          </w:tcPr>
          <w:p w:rsidR="00D332C4" w:rsidRPr="00366B56" w:rsidP="00533154">
            <w:pPr>
              <w:spacing w:after="0" w:line="240" w:lineRule="auto"/>
              <w:jc w:val="left"/>
              <w:rPr>
                <w:rFonts w:ascii="Times New Roman" w:eastAsia="Times New Roman" w:hAnsi="Times New Roman" w:cs="Times New Roman"/>
                <w:szCs w:val="20"/>
              </w:rPr>
            </w:pPr>
          </w:p>
        </w:tc>
      </w:tr>
      <w:tr w:rsidTr="00513ACB">
        <w:tblPrEx>
          <w:tblW w:w="9058" w:type="dxa"/>
          <w:tblCellMar>
            <w:left w:w="70" w:type="dxa"/>
            <w:right w:w="70" w:type="dxa"/>
          </w:tblCellMar>
          <w:tblLook w:val="04A0"/>
        </w:tblPrEx>
        <w:trPr>
          <w:trHeight w:val="672"/>
        </w:trPr>
        <w:tc>
          <w:tcPr>
            <w:tcW w:w="385" w:type="dxa"/>
            <w:tcBorders>
              <w:top w:val="single" w:sz="4" w:space="0" w:color="auto"/>
              <w:left w:val="single" w:sz="4" w:space="0" w:color="auto"/>
              <w:bottom w:val="single" w:sz="4" w:space="0" w:color="auto"/>
              <w:right w:val="single" w:sz="4" w:space="0" w:color="auto"/>
            </w:tcBorders>
            <w:noWrap/>
            <w:vAlign w:val="center"/>
          </w:tcPr>
          <w:p w:rsidR="00DE6726" w:rsidRPr="00DE6726" w:rsidP="00DE6726">
            <w:pPr>
              <w:spacing w:after="0" w:line="240" w:lineRule="auto"/>
              <w:jc w:val="center"/>
              <w:rPr>
                <w:rFonts w:eastAsia="Times New Roman" w:cs="Arial"/>
                <w:b/>
                <w:bCs/>
                <w:color w:val="000000"/>
                <w:szCs w:val="20"/>
              </w:rPr>
            </w:pPr>
            <w:r w:rsidRPr="00DE6726">
              <w:rPr>
                <w:rFonts w:eastAsia="Times New Roman" w:cs="Arial"/>
                <w:b/>
                <w:bCs/>
                <w:color w:val="000000"/>
                <w:szCs w:val="20"/>
              </w:rPr>
              <w:t>II.</w:t>
            </w:r>
          </w:p>
        </w:tc>
        <w:tc>
          <w:tcPr>
            <w:tcW w:w="4577" w:type="dxa"/>
            <w:tcBorders>
              <w:top w:val="single" w:sz="4" w:space="0" w:color="auto"/>
              <w:left w:val="single" w:sz="4" w:space="0" w:color="auto"/>
              <w:bottom w:val="single" w:sz="4" w:space="0" w:color="auto"/>
              <w:right w:val="single" w:sz="4" w:space="0" w:color="auto"/>
            </w:tcBorders>
            <w:noWrap/>
            <w:vAlign w:val="center"/>
          </w:tcPr>
          <w:p w:rsidR="00DE6726" w:rsidRPr="00DE6726" w:rsidP="00DE6726">
            <w:pPr>
              <w:spacing w:after="0" w:line="240" w:lineRule="auto"/>
              <w:jc w:val="left"/>
              <w:rPr>
                <w:rFonts w:eastAsia="Times New Roman" w:cs="Arial"/>
                <w:b/>
                <w:bCs/>
                <w:color w:val="000000"/>
                <w:szCs w:val="20"/>
              </w:rPr>
            </w:pPr>
            <w:r w:rsidRPr="00DE6726">
              <w:rPr>
                <w:rFonts w:eastAsia="Times New Roman" w:cs="Arial"/>
                <w:b/>
                <w:bCs/>
                <w:color w:val="000000"/>
                <w:szCs w:val="20"/>
              </w:rPr>
              <w:t>Nájem Movitého vybavení</w:t>
            </w:r>
          </w:p>
        </w:tc>
        <w:tc>
          <w:tcPr>
            <w:tcW w:w="2126" w:type="dxa"/>
            <w:tcBorders>
              <w:top w:val="single" w:sz="4" w:space="0" w:color="auto"/>
              <w:left w:val="single" w:sz="4" w:space="0" w:color="auto"/>
              <w:bottom w:val="single" w:sz="4" w:space="0" w:color="auto"/>
              <w:right w:val="single" w:sz="4" w:space="0" w:color="auto"/>
            </w:tcBorders>
            <w:noWrap/>
            <w:vAlign w:val="center"/>
          </w:tcPr>
          <w:p w:rsidR="00DE6726" w:rsidRPr="00366B56" w:rsidP="00DE6726">
            <w:pPr>
              <w:spacing w:after="0" w:line="240" w:lineRule="auto"/>
              <w:jc w:val="center"/>
              <w:rPr>
                <w:rFonts w:ascii="Times New Roman" w:eastAsia="Times New Roman" w:hAnsi="Times New Roman" w:cs="Times New Roman"/>
                <w:szCs w:val="20"/>
              </w:rPr>
            </w:pPr>
            <w:r w:rsidRPr="00366B56">
              <w:rPr>
                <w:rFonts w:eastAsia="Times New Roman" w:cs="Arial"/>
                <w:b/>
                <w:bCs/>
                <w:color w:val="000000"/>
                <w:szCs w:val="20"/>
              </w:rPr>
              <w:t>Celkem za kalendářní měsíc</w:t>
            </w:r>
          </w:p>
        </w:tc>
        <w:tc>
          <w:tcPr>
            <w:tcW w:w="1970" w:type="dxa"/>
            <w:tcBorders>
              <w:top w:val="single" w:sz="4" w:space="0" w:color="auto"/>
              <w:left w:val="single" w:sz="4" w:space="0" w:color="auto"/>
              <w:bottom w:val="single" w:sz="4" w:space="0" w:color="auto"/>
              <w:right w:val="single" w:sz="4" w:space="0" w:color="auto"/>
            </w:tcBorders>
            <w:noWrap/>
            <w:vAlign w:val="center"/>
          </w:tcPr>
          <w:p w:rsidR="00DE6726" w:rsidRPr="00366B56" w:rsidP="00DE6726">
            <w:pPr>
              <w:spacing w:after="0" w:line="240" w:lineRule="auto"/>
              <w:jc w:val="center"/>
              <w:rPr>
                <w:rFonts w:ascii="Times New Roman" w:eastAsia="Times New Roman" w:hAnsi="Times New Roman" w:cs="Times New Roman"/>
                <w:szCs w:val="20"/>
              </w:rPr>
            </w:pPr>
            <w:r w:rsidRPr="00366B56">
              <w:rPr>
                <w:rFonts w:eastAsia="Times New Roman" w:cs="Arial"/>
                <w:b/>
                <w:bCs/>
                <w:color w:val="000000"/>
                <w:szCs w:val="20"/>
              </w:rPr>
              <w:t>Celkem za kalendářní rok</w:t>
            </w:r>
          </w:p>
        </w:tc>
      </w:tr>
      <w:tr w:rsidTr="00513ACB">
        <w:tblPrEx>
          <w:tblW w:w="9058" w:type="dxa"/>
          <w:tblCellMar>
            <w:left w:w="70" w:type="dxa"/>
            <w:right w:w="70" w:type="dxa"/>
          </w:tblCellMar>
          <w:tblLook w:val="04A0"/>
        </w:tblPrEx>
        <w:trPr>
          <w:trHeight w:val="398"/>
        </w:trPr>
        <w:tc>
          <w:tcPr>
            <w:tcW w:w="385" w:type="dxa"/>
            <w:tcBorders>
              <w:top w:val="single" w:sz="4" w:space="0" w:color="auto"/>
              <w:left w:val="single" w:sz="4" w:space="0" w:color="auto"/>
              <w:bottom w:val="single" w:sz="4" w:space="0" w:color="auto"/>
              <w:right w:val="single" w:sz="4" w:space="0" w:color="auto"/>
            </w:tcBorders>
            <w:noWrap/>
            <w:vAlign w:val="center"/>
          </w:tcPr>
          <w:p w:rsidR="00DE6726" w:rsidRPr="00366B56" w:rsidP="00DE6726">
            <w:pPr>
              <w:spacing w:after="0" w:line="240" w:lineRule="auto"/>
              <w:jc w:val="right"/>
              <w:rPr>
                <w:rFonts w:eastAsia="Times New Roman" w:cs="Arial"/>
                <w:color w:val="000000"/>
                <w:szCs w:val="20"/>
              </w:rPr>
            </w:pPr>
          </w:p>
        </w:tc>
        <w:tc>
          <w:tcPr>
            <w:tcW w:w="4577" w:type="dxa"/>
            <w:tcBorders>
              <w:top w:val="single" w:sz="4" w:space="0" w:color="auto"/>
              <w:left w:val="single" w:sz="4" w:space="0" w:color="auto"/>
              <w:bottom w:val="single" w:sz="4" w:space="0" w:color="auto"/>
              <w:right w:val="single" w:sz="4" w:space="0" w:color="auto"/>
            </w:tcBorders>
            <w:noWrap/>
            <w:vAlign w:val="center"/>
          </w:tcPr>
          <w:p w:rsidR="00DE6726" w:rsidRPr="00DE6726" w:rsidP="00DE6726">
            <w:pPr>
              <w:spacing w:after="0" w:line="240" w:lineRule="auto"/>
              <w:jc w:val="left"/>
              <w:rPr>
                <w:rFonts w:eastAsia="Times New Roman" w:cs="Arial"/>
                <w:color w:val="000000"/>
                <w:szCs w:val="20"/>
              </w:rPr>
            </w:pPr>
            <w:r w:rsidRPr="00DE6726">
              <w:rPr>
                <w:rFonts w:eastAsia="Times New Roman" w:cs="Arial"/>
                <w:color w:val="000000"/>
                <w:szCs w:val="20"/>
              </w:rPr>
              <w:t>Movité vybavení (viz Příloha č. 3 Smlouvy)</w:t>
            </w:r>
          </w:p>
        </w:tc>
        <w:tc>
          <w:tcPr>
            <w:tcW w:w="2126" w:type="dxa"/>
            <w:tcBorders>
              <w:top w:val="single" w:sz="4" w:space="0" w:color="auto"/>
              <w:left w:val="single" w:sz="4" w:space="0" w:color="auto"/>
              <w:bottom w:val="single" w:sz="4" w:space="0" w:color="auto"/>
              <w:right w:val="single" w:sz="4" w:space="0" w:color="auto"/>
            </w:tcBorders>
            <w:noWrap/>
            <w:vAlign w:val="center"/>
          </w:tcPr>
          <w:p w:rsidR="00DE6726" w:rsidRPr="00DE6726" w:rsidP="00DE6726">
            <w:pPr>
              <w:spacing w:after="0"/>
              <w:jc w:val="right"/>
              <w:rPr>
                <w:rFonts w:cs="Arial"/>
                <w:snapToGrid w:val="0"/>
              </w:rPr>
            </w:pPr>
            <w:r w:rsidRPr="00DE6726">
              <w:rPr>
                <w:rFonts w:cs="Arial"/>
                <w:snapToGrid w:val="0"/>
              </w:rPr>
              <w:t>2 3</w:t>
            </w:r>
            <w:r w:rsidR="00D4525F">
              <w:rPr>
                <w:rFonts w:cs="Arial"/>
                <w:snapToGrid w:val="0"/>
              </w:rPr>
              <w:t>55</w:t>
            </w:r>
            <w:r w:rsidRPr="00DE6726">
              <w:rPr>
                <w:rFonts w:cs="Arial"/>
                <w:snapToGrid w:val="0"/>
              </w:rPr>
              <w:t>,</w:t>
            </w:r>
            <w:r w:rsidR="00D4525F">
              <w:rPr>
                <w:rFonts w:cs="Arial"/>
                <w:snapToGrid w:val="0"/>
              </w:rPr>
              <w:t>80</w:t>
            </w:r>
            <w:r w:rsidRPr="00DE6726">
              <w:rPr>
                <w:rFonts w:cs="Arial"/>
                <w:snapToGrid w:val="0"/>
              </w:rPr>
              <w:t xml:space="preserve"> Kč</w:t>
            </w:r>
          </w:p>
        </w:tc>
        <w:tc>
          <w:tcPr>
            <w:tcW w:w="1970" w:type="dxa"/>
            <w:tcBorders>
              <w:top w:val="single" w:sz="4" w:space="0" w:color="auto"/>
              <w:left w:val="single" w:sz="4" w:space="0" w:color="auto"/>
              <w:bottom w:val="single" w:sz="4" w:space="0" w:color="auto"/>
              <w:right w:val="single" w:sz="4" w:space="0" w:color="auto"/>
            </w:tcBorders>
            <w:noWrap/>
            <w:vAlign w:val="center"/>
          </w:tcPr>
          <w:p w:rsidR="00DE6726" w:rsidRPr="00DE6726" w:rsidP="00DE6726">
            <w:pPr>
              <w:spacing w:after="0"/>
              <w:jc w:val="right"/>
              <w:rPr>
                <w:rFonts w:cs="Arial"/>
                <w:snapToGrid w:val="0"/>
              </w:rPr>
            </w:pPr>
            <w:r>
              <w:rPr>
                <w:rFonts w:cs="Arial"/>
                <w:snapToGrid w:val="0"/>
              </w:rPr>
              <w:t>28 269,60</w:t>
            </w:r>
            <w:r w:rsidRPr="00DE6726">
              <w:rPr>
                <w:rFonts w:cs="Arial"/>
                <w:snapToGrid w:val="0"/>
              </w:rPr>
              <w:t xml:space="preserve"> Kč</w:t>
            </w:r>
          </w:p>
        </w:tc>
      </w:tr>
      <w:tr w:rsidTr="00513ACB">
        <w:tblPrEx>
          <w:tblW w:w="9058" w:type="dxa"/>
          <w:tblCellMar>
            <w:left w:w="70" w:type="dxa"/>
            <w:right w:w="70" w:type="dxa"/>
          </w:tblCellMar>
          <w:tblLook w:val="04A0"/>
        </w:tblPrEx>
        <w:trPr>
          <w:trHeight w:val="264"/>
        </w:trPr>
        <w:tc>
          <w:tcPr>
            <w:tcW w:w="385" w:type="dxa"/>
            <w:tcBorders>
              <w:top w:val="single" w:sz="4" w:space="0" w:color="auto"/>
              <w:bottom w:val="single" w:sz="4" w:space="0" w:color="auto"/>
            </w:tcBorders>
            <w:noWrap/>
            <w:vAlign w:val="center"/>
          </w:tcPr>
          <w:p w:rsidR="00DE6726" w:rsidRPr="00366B56" w:rsidP="00DE6726">
            <w:pPr>
              <w:spacing w:after="0" w:line="240" w:lineRule="auto"/>
              <w:jc w:val="right"/>
              <w:rPr>
                <w:rFonts w:eastAsia="Times New Roman" w:cs="Arial"/>
                <w:color w:val="000000"/>
                <w:szCs w:val="20"/>
              </w:rPr>
            </w:pPr>
          </w:p>
        </w:tc>
        <w:tc>
          <w:tcPr>
            <w:tcW w:w="4577" w:type="dxa"/>
            <w:tcBorders>
              <w:top w:val="single" w:sz="4" w:space="0" w:color="auto"/>
              <w:bottom w:val="single" w:sz="4" w:space="0" w:color="auto"/>
            </w:tcBorders>
            <w:noWrap/>
            <w:vAlign w:val="center"/>
          </w:tcPr>
          <w:p w:rsidR="00DE6726" w:rsidRPr="00366B56" w:rsidP="00DE6726">
            <w:pPr>
              <w:spacing w:after="0" w:line="240" w:lineRule="auto"/>
              <w:jc w:val="center"/>
              <w:rPr>
                <w:rFonts w:ascii="Times New Roman" w:eastAsia="Times New Roman" w:hAnsi="Times New Roman" w:cs="Times New Roman"/>
                <w:szCs w:val="20"/>
              </w:rPr>
            </w:pPr>
          </w:p>
        </w:tc>
        <w:tc>
          <w:tcPr>
            <w:tcW w:w="2126" w:type="dxa"/>
            <w:tcBorders>
              <w:top w:val="single" w:sz="4" w:space="0" w:color="auto"/>
              <w:bottom w:val="single" w:sz="4" w:space="0" w:color="auto"/>
            </w:tcBorders>
            <w:noWrap/>
            <w:vAlign w:val="center"/>
          </w:tcPr>
          <w:p w:rsidR="00DE6726" w:rsidRPr="00366B56" w:rsidP="00DE6726">
            <w:pPr>
              <w:spacing w:after="0" w:line="240" w:lineRule="auto"/>
              <w:jc w:val="left"/>
              <w:rPr>
                <w:rFonts w:ascii="Times New Roman" w:eastAsia="Times New Roman" w:hAnsi="Times New Roman" w:cs="Times New Roman"/>
                <w:szCs w:val="20"/>
              </w:rPr>
            </w:pPr>
          </w:p>
        </w:tc>
        <w:tc>
          <w:tcPr>
            <w:tcW w:w="1970" w:type="dxa"/>
            <w:tcBorders>
              <w:top w:val="single" w:sz="4" w:space="0" w:color="auto"/>
              <w:bottom w:val="single" w:sz="4" w:space="0" w:color="auto"/>
            </w:tcBorders>
            <w:noWrap/>
            <w:vAlign w:val="center"/>
          </w:tcPr>
          <w:p w:rsidR="00DE6726" w:rsidRPr="00366B56" w:rsidP="00DE6726">
            <w:pPr>
              <w:spacing w:after="0" w:line="240" w:lineRule="auto"/>
              <w:jc w:val="left"/>
              <w:rPr>
                <w:rFonts w:ascii="Times New Roman" w:eastAsia="Times New Roman" w:hAnsi="Times New Roman" w:cs="Times New Roman"/>
                <w:szCs w:val="20"/>
              </w:rPr>
            </w:pPr>
          </w:p>
        </w:tc>
      </w:tr>
      <w:tr w:rsidTr="00513ACB">
        <w:tblPrEx>
          <w:tblW w:w="9058" w:type="dxa"/>
          <w:tblCellMar>
            <w:left w:w="70" w:type="dxa"/>
            <w:right w:w="70" w:type="dxa"/>
          </w:tblCellMar>
          <w:tblLook w:val="04A0"/>
        </w:tblPrEx>
        <w:trPr>
          <w:trHeight w:val="721"/>
        </w:trPr>
        <w:tc>
          <w:tcPr>
            <w:tcW w:w="385" w:type="dxa"/>
            <w:tcBorders>
              <w:top w:val="single" w:sz="4" w:space="0" w:color="auto"/>
              <w:left w:val="single" w:sz="4" w:space="0" w:color="auto"/>
              <w:bottom w:val="single" w:sz="4" w:space="0" w:color="auto"/>
              <w:right w:val="single" w:sz="4" w:space="0" w:color="auto"/>
            </w:tcBorders>
            <w:noWrap/>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I</w:t>
            </w:r>
            <w:r w:rsidR="00513ACB">
              <w:rPr>
                <w:rFonts w:eastAsia="Times New Roman" w:cs="Arial"/>
                <w:b/>
                <w:bCs/>
                <w:color w:val="000000"/>
                <w:szCs w:val="20"/>
              </w:rPr>
              <w:t>I</w:t>
            </w:r>
            <w:r w:rsidRPr="00366B56">
              <w:rPr>
                <w:rFonts w:eastAsia="Times New Roman" w:cs="Arial"/>
                <w:b/>
                <w:bCs/>
                <w:color w:val="000000"/>
                <w:szCs w:val="20"/>
              </w:rPr>
              <w:t>I.</w:t>
            </w:r>
          </w:p>
        </w:tc>
        <w:tc>
          <w:tcPr>
            <w:tcW w:w="4577" w:type="dxa"/>
            <w:tcBorders>
              <w:top w:val="single" w:sz="4" w:space="0" w:color="auto"/>
              <w:left w:val="nil"/>
              <w:bottom w:val="single" w:sz="4" w:space="0" w:color="auto"/>
              <w:right w:val="single" w:sz="4" w:space="0" w:color="auto"/>
            </w:tcBorders>
            <w:noWrap/>
            <w:vAlign w:val="center"/>
            <w:hideMark/>
          </w:tcPr>
          <w:p w:rsidR="00DE6726" w:rsidRPr="00366B56" w:rsidP="00DE6726">
            <w:pPr>
              <w:spacing w:after="0" w:line="240" w:lineRule="auto"/>
              <w:jc w:val="left"/>
              <w:rPr>
                <w:rFonts w:eastAsia="Times New Roman" w:cs="Arial"/>
                <w:b/>
                <w:bCs/>
                <w:color w:val="000000"/>
                <w:szCs w:val="20"/>
              </w:rPr>
            </w:pPr>
            <w:r w:rsidRPr="00366B56">
              <w:rPr>
                <w:rFonts w:eastAsia="Times New Roman" w:cs="Arial"/>
                <w:b/>
                <w:bCs/>
                <w:color w:val="000000"/>
                <w:szCs w:val="20"/>
              </w:rPr>
              <w:t>Služby formou záloh</w:t>
            </w:r>
          </w:p>
        </w:tc>
        <w:tc>
          <w:tcPr>
            <w:tcW w:w="2126" w:type="dxa"/>
            <w:tcBorders>
              <w:top w:val="single" w:sz="4" w:space="0" w:color="auto"/>
              <w:left w:val="nil"/>
              <w:bottom w:val="single" w:sz="4" w:space="0" w:color="auto"/>
              <w:right w:val="single" w:sz="4" w:space="0" w:color="auto"/>
            </w:tcBorders>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měsíc</w:t>
            </w:r>
          </w:p>
        </w:tc>
        <w:tc>
          <w:tcPr>
            <w:tcW w:w="1970" w:type="dxa"/>
            <w:tcBorders>
              <w:top w:val="single" w:sz="4" w:space="0" w:color="auto"/>
              <w:left w:val="nil"/>
              <w:bottom w:val="single" w:sz="4" w:space="0" w:color="auto"/>
              <w:right w:val="single" w:sz="4" w:space="0" w:color="auto"/>
            </w:tcBorders>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rok</w:t>
            </w:r>
          </w:p>
        </w:tc>
      </w:tr>
      <w:tr w:rsidTr="00513ACB">
        <w:tblPrEx>
          <w:tblW w:w="9058" w:type="dxa"/>
          <w:tblCellMar>
            <w:left w:w="70" w:type="dxa"/>
            <w:right w:w="70" w:type="dxa"/>
          </w:tblCellMar>
          <w:tblLook w:val="04A0"/>
        </w:tblPrEx>
        <w:trPr>
          <w:trHeight w:val="382"/>
        </w:trPr>
        <w:tc>
          <w:tcPr>
            <w:tcW w:w="385" w:type="dxa"/>
            <w:tcBorders>
              <w:top w:val="single" w:sz="4" w:space="0" w:color="auto"/>
              <w:left w:val="single" w:sz="4" w:space="0" w:color="auto"/>
              <w:bottom w:val="single" w:sz="4" w:space="0" w:color="auto"/>
              <w:right w:val="single" w:sz="4" w:space="0" w:color="auto"/>
            </w:tcBorders>
            <w:noWrap/>
            <w:vAlign w:val="center"/>
            <w:hideMark/>
          </w:tcPr>
          <w:p w:rsidR="00DE6726" w:rsidRPr="00366B56" w:rsidP="00DE6726">
            <w:pPr>
              <w:spacing w:after="0" w:line="240" w:lineRule="auto"/>
              <w:jc w:val="center"/>
              <w:rPr>
                <w:rFonts w:eastAsia="Times New Roman" w:cs="Arial"/>
                <w:color w:val="000000"/>
                <w:szCs w:val="20"/>
              </w:rPr>
            </w:pPr>
            <w:r w:rsidRPr="00366B56">
              <w:rPr>
                <w:rFonts w:eastAsia="Times New Roman" w:cs="Arial"/>
                <w:color w:val="000000"/>
                <w:szCs w:val="20"/>
              </w:rPr>
              <w:t> </w:t>
            </w:r>
          </w:p>
        </w:tc>
        <w:tc>
          <w:tcPr>
            <w:tcW w:w="4577" w:type="dxa"/>
            <w:tcBorders>
              <w:top w:val="single" w:sz="4" w:space="0" w:color="auto"/>
              <w:left w:val="nil"/>
              <w:bottom w:val="single" w:sz="4" w:space="0" w:color="auto"/>
              <w:right w:val="single" w:sz="4" w:space="0" w:color="auto"/>
            </w:tcBorders>
            <w:noWrap/>
            <w:vAlign w:val="center"/>
            <w:hideMark/>
          </w:tcPr>
          <w:p w:rsidR="00DE6726" w:rsidRPr="00366B56" w:rsidP="00DE6726">
            <w:pPr>
              <w:spacing w:after="0" w:line="240" w:lineRule="auto"/>
              <w:jc w:val="left"/>
              <w:rPr>
                <w:rFonts w:eastAsia="Times New Roman" w:cs="Arial"/>
                <w:color w:val="000000"/>
                <w:szCs w:val="20"/>
              </w:rPr>
            </w:pPr>
            <w:r w:rsidRPr="00366B56">
              <w:rPr>
                <w:rFonts w:eastAsia="Times New Roman" w:cs="Arial"/>
                <w:color w:val="000000"/>
                <w:szCs w:val="20"/>
              </w:rPr>
              <w:t>Elektrická energie</w:t>
            </w:r>
          </w:p>
        </w:tc>
        <w:tc>
          <w:tcPr>
            <w:tcW w:w="2126" w:type="dxa"/>
            <w:tcBorders>
              <w:top w:val="single" w:sz="4" w:space="0" w:color="auto"/>
              <w:left w:val="nil"/>
              <w:bottom w:val="single" w:sz="4" w:space="0" w:color="auto"/>
              <w:right w:val="single" w:sz="4" w:space="0" w:color="auto"/>
            </w:tcBorders>
            <w:noWrap/>
            <w:vAlign w:val="center"/>
            <w:hideMark/>
          </w:tcPr>
          <w:p w:rsidR="00DE6726" w:rsidP="00DE6726">
            <w:pPr>
              <w:spacing w:after="0"/>
              <w:jc w:val="right"/>
            </w:pPr>
            <w:r>
              <w:rPr>
                <w:rFonts w:cs="Arial"/>
                <w:snapToGrid w:val="0"/>
              </w:rPr>
              <w:t>3 0</w:t>
            </w:r>
            <w:r>
              <w:rPr>
                <w:rFonts w:cs="Arial"/>
                <w:snapToGrid w:val="0"/>
              </w:rPr>
              <w:t>00,00</w:t>
            </w:r>
            <w:r w:rsidRPr="00F42D82">
              <w:rPr>
                <w:rFonts w:cs="Arial"/>
                <w:snapToGrid w:val="0"/>
              </w:rPr>
              <w:t xml:space="preserve"> Kč</w:t>
            </w:r>
          </w:p>
        </w:tc>
        <w:tc>
          <w:tcPr>
            <w:tcW w:w="1970" w:type="dxa"/>
            <w:tcBorders>
              <w:top w:val="single" w:sz="4" w:space="0" w:color="auto"/>
              <w:left w:val="nil"/>
              <w:bottom w:val="single" w:sz="4" w:space="0" w:color="auto"/>
              <w:right w:val="single" w:sz="4" w:space="0" w:color="auto"/>
            </w:tcBorders>
            <w:noWrap/>
            <w:vAlign w:val="center"/>
            <w:hideMark/>
          </w:tcPr>
          <w:p w:rsidR="00DE6726" w:rsidP="00DE6726">
            <w:pPr>
              <w:spacing w:after="0"/>
              <w:jc w:val="right"/>
            </w:pPr>
            <w:r>
              <w:rPr>
                <w:rFonts w:cs="Arial"/>
                <w:snapToGrid w:val="0"/>
              </w:rPr>
              <w:t>3</w:t>
            </w:r>
            <w:r w:rsidR="00ED1E0B">
              <w:rPr>
                <w:rFonts w:cs="Arial"/>
                <w:snapToGrid w:val="0"/>
              </w:rPr>
              <w:t>6</w:t>
            </w:r>
            <w:r>
              <w:rPr>
                <w:rFonts w:cs="Arial"/>
                <w:snapToGrid w:val="0"/>
              </w:rPr>
              <w:t> 000,00</w:t>
            </w:r>
            <w:r w:rsidRPr="00F42D82">
              <w:rPr>
                <w:rFonts w:cs="Arial"/>
                <w:snapToGrid w:val="0"/>
              </w:rPr>
              <w:t xml:space="preserve"> Kč</w:t>
            </w:r>
          </w:p>
        </w:tc>
      </w:tr>
      <w:tr w:rsidTr="00513ACB">
        <w:tblPrEx>
          <w:tblW w:w="9058" w:type="dxa"/>
          <w:tblCellMar>
            <w:left w:w="70" w:type="dxa"/>
            <w:right w:w="70" w:type="dxa"/>
          </w:tblCellMar>
          <w:tblLook w:val="04A0"/>
        </w:tblPrEx>
        <w:trPr>
          <w:trHeight w:val="660"/>
        </w:trPr>
        <w:tc>
          <w:tcPr>
            <w:tcW w:w="385" w:type="dxa"/>
            <w:tcBorders>
              <w:top w:val="single" w:sz="4" w:space="0" w:color="auto"/>
              <w:left w:val="single" w:sz="4" w:space="0" w:color="auto"/>
              <w:bottom w:val="single" w:sz="4" w:space="0" w:color="auto"/>
              <w:right w:val="single" w:sz="4" w:space="0" w:color="auto"/>
            </w:tcBorders>
            <w:noWrap/>
            <w:vAlign w:val="center"/>
            <w:hideMark/>
          </w:tcPr>
          <w:p w:rsidR="00DE6726" w:rsidRPr="00366B56" w:rsidP="00DE6726">
            <w:pPr>
              <w:spacing w:after="0" w:line="240" w:lineRule="auto"/>
              <w:jc w:val="center"/>
              <w:rPr>
                <w:rFonts w:eastAsia="Times New Roman" w:cs="Arial"/>
                <w:color w:val="000000"/>
                <w:szCs w:val="20"/>
              </w:rPr>
            </w:pPr>
            <w:r w:rsidRPr="00366B56">
              <w:rPr>
                <w:rFonts w:eastAsia="Times New Roman" w:cs="Arial"/>
                <w:color w:val="000000"/>
                <w:szCs w:val="20"/>
              </w:rPr>
              <w:t> </w:t>
            </w:r>
          </w:p>
        </w:tc>
        <w:tc>
          <w:tcPr>
            <w:tcW w:w="4577" w:type="dxa"/>
            <w:tcBorders>
              <w:top w:val="single" w:sz="4" w:space="0" w:color="auto"/>
              <w:left w:val="nil"/>
              <w:bottom w:val="single" w:sz="4" w:space="0" w:color="auto"/>
              <w:right w:val="single" w:sz="4" w:space="0" w:color="auto"/>
            </w:tcBorders>
            <w:vAlign w:val="center"/>
            <w:hideMark/>
          </w:tcPr>
          <w:p w:rsidR="00DE6726" w:rsidRPr="00366B56" w:rsidP="00DE6726">
            <w:pPr>
              <w:spacing w:after="0" w:line="240" w:lineRule="auto"/>
              <w:jc w:val="left"/>
              <w:rPr>
                <w:rFonts w:eastAsia="Times New Roman" w:cs="Arial"/>
                <w:color w:val="000000"/>
                <w:szCs w:val="20"/>
              </w:rPr>
            </w:pPr>
            <w:r w:rsidRPr="00366B56">
              <w:rPr>
                <w:rFonts w:eastAsia="Times New Roman" w:cs="Arial"/>
                <w:color w:val="000000"/>
                <w:szCs w:val="20"/>
              </w:rPr>
              <w:t>Vodné</w:t>
            </w:r>
            <w:r w:rsidR="00A82558">
              <w:rPr>
                <w:rFonts w:eastAsia="Times New Roman" w:cs="Arial"/>
                <w:color w:val="000000"/>
                <w:szCs w:val="20"/>
              </w:rPr>
              <w:t xml:space="preserve"> a</w:t>
            </w:r>
            <w:r w:rsidRPr="00366B56">
              <w:rPr>
                <w:rFonts w:eastAsia="Times New Roman" w:cs="Arial"/>
                <w:color w:val="000000"/>
                <w:szCs w:val="20"/>
              </w:rPr>
              <w:t xml:space="preserve"> odvádění odpadních vod </w:t>
            </w:r>
          </w:p>
        </w:tc>
        <w:tc>
          <w:tcPr>
            <w:tcW w:w="2126" w:type="dxa"/>
            <w:tcBorders>
              <w:top w:val="single" w:sz="4" w:space="0" w:color="auto"/>
              <w:left w:val="nil"/>
              <w:bottom w:val="single" w:sz="4" w:space="0" w:color="auto"/>
              <w:right w:val="single" w:sz="4" w:space="0" w:color="auto"/>
            </w:tcBorders>
            <w:noWrap/>
            <w:vAlign w:val="center"/>
            <w:hideMark/>
          </w:tcPr>
          <w:p w:rsidR="00DE6726" w:rsidP="00DE6726">
            <w:pPr>
              <w:spacing w:after="0"/>
              <w:jc w:val="right"/>
            </w:pPr>
            <w:r>
              <w:rPr>
                <w:rFonts w:cs="Arial"/>
                <w:snapToGrid w:val="0"/>
              </w:rPr>
              <w:t>1</w:t>
            </w:r>
            <w:r w:rsidR="00ED1E0B">
              <w:rPr>
                <w:rFonts w:cs="Arial"/>
                <w:snapToGrid w:val="0"/>
              </w:rPr>
              <w:t>5</w:t>
            </w:r>
            <w:r>
              <w:rPr>
                <w:rFonts w:cs="Arial"/>
                <w:snapToGrid w:val="0"/>
              </w:rPr>
              <w:t>0,00</w:t>
            </w:r>
            <w:r w:rsidRPr="00F42D82">
              <w:rPr>
                <w:rFonts w:cs="Arial"/>
                <w:snapToGrid w:val="0"/>
              </w:rPr>
              <w:t xml:space="preserve"> Kč</w:t>
            </w:r>
          </w:p>
        </w:tc>
        <w:tc>
          <w:tcPr>
            <w:tcW w:w="1970" w:type="dxa"/>
            <w:tcBorders>
              <w:top w:val="single" w:sz="4" w:space="0" w:color="auto"/>
              <w:left w:val="nil"/>
              <w:bottom w:val="single" w:sz="4" w:space="0" w:color="auto"/>
              <w:right w:val="single" w:sz="4" w:space="0" w:color="auto"/>
            </w:tcBorders>
            <w:noWrap/>
            <w:vAlign w:val="center"/>
            <w:hideMark/>
          </w:tcPr>
          <w:p w:rsidR="00DE6726" w:rsidP="00DE6726">
            <w:pPr>
              <w:spacing w:after="0"/>
              <w:jc w:val="right"/>
            </w:pPr>
            <w:r>
              <w:rPr>
                <w:rFonts w:cs="Arial"/>
                <w:snapToGrid w:val="0"/>
              </w:rPr>
              <w:t>1 8</w:t>
            </w:r>
            <w:r w:rsidR="00ED1E0B">
              <w:rPr>
                <w:rFonts w:cs="Arial"/>
                <w:snapToGrid w:val="0"/>
              </w:rPr>
              <w:t>0</w:t>
            </w:r>
            <w:r>
              <w:rPr>
                <w:rFonts w:cs="Arial"/>
                <w:snapToGrid w:val="0"/>
              </w:rPr>
              <w:t>0,00</w:t>
            </w:r>
            <w:r w:rsidRPr="00F42D82">
              <w:rPr>
                <w:rFonts w:cs="Arial"/>
                <w:snapToGrid w:val="0"/>
              </w:rPr>
              <w:t xml:space="preserve"> Kč</w:t>
            </w:r>
          </w:p>
        </w:tc>
      </w:tr>
      <w:tr w:rsidTr="00513ACB">
        <w:tblPrEx>
          <w:tblW w:w="9058" w:type="dxa"/>
          <w:tblCellMar>
            <w:left w:w="70" w:type="dxa"/>
            <w:right w:w="70" w:type="dxa"/>
          </w:tblCellMar>
          <w:tblLook w:val="04A0"/>
        </w:tblPrEx>
        <w:trPr>
          <w:trHeight w:val="264"/>
        </w:trPr>
        <w:tc>
          <w:tcPr>
            <w:tcW w:w="385" w:type="dxa"/>
            <w:tcBorders>
              <w:top w:val="single" w:sz="4" w:space="0" w:color="auto"/>
              <w:bottom w:val="single" w:sz="4" w:space="0" w:color="auto"/>
            </w:tcBorders>
            <w:noWrap/>
            <w:vAlign w:val="center"/>
            <w:hideMark/>
          </w:tcPr>
          <w:p w:rsidR="00DE6726" w:rsidRPr="00366B56" w:rsidP="00DE6726">
            <w:pPr>
              <w:spacing w:after="0" w:line="240" w:lineRule="auto"/>
              <w:jc w:val="right"/>
              <w:rPr>
                <w:rFonts w:eastAsia="Times New Roman" w:cs="Arial"/>
                <w:color w:val="000000"/>
                <w:szCs w:val="20"/>
              </w:rPr>
            </w:pPr>
          </w:p>
        </w:tc>
        <w:tc>
          <w:tcPr>
            <w:tcW w:w="4577" w:type="dxa"/>
            <w:tcBorders>
              <w:top w:val="single" w:sz="4" w:space="0" w:color="auto"/>
              <w:bottom w:val="single" w:sz="4" w:space="0" w:color="auto"/>
            </w:tcBorders>
            <w:noWrap/>
            <w:vAlign w:val="center"/>
            <w:hideMark/>
          </w:tcPr>
          <w:p w:rsidR="00DE6726" w:rsidRPr="00366B56" w:rsidP="00DE6726">
            <w:pPr>
              <w:spacing w:after="0" w:line="240" w:lineRule="auto"/>
              <w:jc w:val="center"/>
              <w:rPr>
                <w:rFonts w:ascii="Times New Roman" w:eastAsia="Times New Roman" w:hAnsi="Times New Roman" w:cs="Times New Roman"/>
                <w:szCs w:val="20"/>
              </w:rPr>
            </w:pPr>
          </w:p>
        </w:tc>
        <w:tc>
          <w:tcPr>
            <w:tcW w:w="2126" w:type="dxa"/>
            <w:tcBorders>
              <w:top w:val="single" w:sz="4" w:space="0" w:color="auto"/>
              <w:bottom w:val="single" w:sz="4" w:space="0" w:color="auto"/>
            </w:tcBorders>
            <w:noWrap/>
            <w:vAlign w:val="center"/>
            <w:hideMark/>
          </w:tcPr>
          <w:p w:rsidR="00DE6726" w:rsidRPr="00366B56" w:rsidP="00DE6726">
            <w:pPr>
              <w:spacing w:after="0" w:line="240" w:lineRule="auto"/>
              <w:jc w:val="left"/>
              <w:rPr>
                <w:rFonts w:ascii="Times New Roman" w:eastAsia="Times New Roman" w:hAnsi="Times New Roman" w:cs="Times New Roman"/>
                <w:szCs w:val="20"/>
              </w:rPr>
            </w:pPr>
          </w:p>
        </w:tc>
        <w:tc>
          <w:tcPr>
            <w:tcW w:w="1970" w:type="dxa"/>
            <w:tcBorders>
              <w:top w:val="single" w:sz="4" w:space="0" w:color="auto"/>
              <w:bottom w:val="single" w:sz="4" w:space="0" w:color="auto"/>
            </w:tcBorders>
            <w:noWrap/>
            <w:vAlign w:val="center"/>
            <w:hideMark/>
          </w:tcPr>
          <w:p w:rsidR="00DE6726" w:rsidRPr="00366B56" w:rsidP="00DE6726">
            <w:pPr>
              <w:spacing w:after="0" w:line="240" w:lineRule="auto"/>
              <w:jc w:val="left"/>
              <w:rPr>
                <w:rFonts w:ascii="Times New Roman" w:eastAsia="Times New Roman" w:hAnsi="Times New Roman" w:cs="Times New Roman"/>
                <w:szCs w:val="20"/>
              </w:rPr>
            </w:pPr>
          </w:p>
        </w:tc>
      </w:tr>
      <w:tr w:rsidTr="00513ACB">
        <w:tblPrEx>
          <w:tblW w:w="9058" w:type="dxa"/>
          <w:tblCellMar>
            <w:left w:w="70" w:type="dxa"/>
            <w:right w:w="70" w:type="dxa"/>
          </w:tblCellMar>
          <w:tblLook w:val="04A0"/>
        </w:tblPrEx>
        <w:trPr>
          <w:trHeight w:val="636"/>
        </w:trPr>
        <w:tc>
          <w:tcPr>
            <w:tcW w:w="385" w:type="dxa"/>
            <w:tcBorders>
              <w:top w:val="single" w:sz="4" w:space="0" w:color="auto"/>
              <w:left w:val="single" w:sz="4" w:space="0" w:color="auto"/>
              <w:bottom w:val="single" w:sz="4" w:space="0" w:color="auto"/>
              <w:right w:val="single" w:sz="4" w:space="0" w:color="auto"/>
            </w:tcBorders>
            <w:noWrap/>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I</w:t>
            </w:r>
            <w:r w:rsidR="00513ACB">
              <w:rPr>
                <w:rFonts w:eastAsia="Times New Roman" w:cs="Arial"/>
                <w:b/>
                <w:bCs/>
                <w:color w:val="000000"/>
                <w:szCs w:val="20"/>
              </w:rPr>
              <w:t>V</w:t>
            </w:r>
            <w:r w:rsidRPr="00366B56">
              <w:rPr>
                <w:rFonts w:eastAsia="Times New Roman" w:cs="Arial"/>
                <w:b/>
                <w:bCs/>
                <w:color w:val="000000"/>
                <w:szCs w:val="20"/>
              </w:rPr>
              <w:t>.</w:t>
            </w:r>
          </w:p>
        </w:tc>
        <w:tc>
          <w:tcPr>
            <w:tcW w:w="4577" w:type="dxa"/>
            <w:tcBorders>
              <w:top w:val="single" w:sz="4" w:space="0" w:color="auto"/>
              <w:left w:val="nil"/>
              <w:bottom w:val="single" w:sz="4" w:space="0" w:color="auto"/>
              <w:right w:val="single" w:sz="4" w:space="0" w:color="auto"/>
            </w:tcBorders>
            <w:noWrap/>
            <w:vAlign w:val="center"/>
            <w:hideMark/>
          </w:tcPr>
          <w:p w:rsidR="00DE6726" w:rsidRPr="00366B56" w:rsidP="00DE6726">
            <w:pPr>
              <w:spacing w:after="0" w:line="240" w:lineRule="auto"/>
              <w:jc w:val="left"/>
              <w:rPr>
                <w:rFonts w:eastAsia="Times New Roman" w:cs="Arial"/>
                <w:b/>
                <w:bCs/>
                <w:color w:val="000000"/>
                <w:szCs w:val="20"/>
              </w:rPr>
            </w:pPr>
            <w:r w:rsidRPr="00366B56">
              <w:rPr>
                <w:rFonts w:eastAsia="Times New Roman" w:cs="Arial"/>
                <w:b/>
                <w:bCs/>
                <w:color w:val="000000"/>
                <w:szCs w:val="20"/>
              </w:rPr>
              <w:t>Služby paušáln</w:t>
            </w:r>
            <w:r>
              <w:rPr>
                <w:rFonts w:eastAsia="Times New Roman" w:cs="Arial"/>
                <w:b/>
                <w:bCs/>
                <w:color w:val="000000"/>
                <w:szCs w:val="20"/>
              </w:rPr>
              <w:t>í</w:t>
            </w:r>
          </w:p>
        </w:tc>
        <w:tc>
          <w:tcPr>
            <w:tcW w:w="2126" w:type="dxa"/>
            <w:tcBorders>
              <w:top w:val="single" w:sz="4" w:space="0" w:color="auto"/>
              <w:left w:val="nil"/>
              <w:bottom w:val="single" w:sz="4" w:space="0" w:color="auto"/>
              <w:right w:val="single" w:sz="4" w:space="0" w:color="auto"/>
            </w:tcBorders>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měsíc</w:t>
            </w:r>
          </w:p>
        </w:tc>
        <w:tc>
          <w:tcPr>
            <w:tcW w:w="1970" w:type="dxa"/>
            <w:tcBorders>
              <w:top w:val="single" w:sz="4" w:space="0" w:color="auto"/>
              <w:left w:val="nil"/>
              <w:bottom w:val="single" w:sz="4" w:space="0" w:color="auto"/>
              <w:right w:val="single" w:sz="4" w:space="0" w:color="auto"/>
            </w:tcBorders>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rok</w:t>
            </w:r>
          </w:p>
        </w:tc>
      </w:tr>
      <w:tr w:rsidTr="00513ACB">
        <w:tblPrEx>
          <w:tblW w:w="9058" w:type="dxa"/>
          <w:tblCellMar>
            <w:left w:w="70" w:type="dxa"/>
            <w:right w:w="70" w:type="dxa"/>
          </w:tblCellMar>
          <w:tblLook w:val="04A0"/>
        </w:tblPrEx>
        <w:trPr>
          <w:trHeight w:val="463"/>
        </w:trPr>
        <w:tc>
          <w:tcPr>
            <w:tcW w:w="385" w:type="dxa"/>
            <w:tcBorders>
              <w:top w:val="single" w:sz="4" w:space="0" w:color="auto"/>
              <w:left w:val="single" w:sz="4" w:space="0" w:color="auto"/>
              <w:bottom w:val="single" w:sz="4" w:space="0" w:color="auto"/>
              <w:right w:val="single" w:sz="4" w:space="0" w:color="auto"/>
            </w:tcBorders>
            <w:noWrap/>
            <w:vAlign w:val="center"/>
            <w:hideMark/>
          </w:tcPr>
          <w:p w:rsidR="00DE6726" w:rsidRPr="00366B56" w:rsidP="00DE6726">
            <w:pPr>
              <w:spacing w:after="0" w:line="240" w:lineRule="auto"/>
              <w:jc w:val="center"/>
              <w:rPr>
                <w:rFonts w:eastAsia="Times New Roman" w:cs="Arial"/>
                <w:color w:val="000000"/>
                <w:szCs w:val="20"/>
              </w:rPr>
            </w:pPr>
            <w:r w:rsidRPr="00366B56">
              <w:rPr>
                <w:rFonts w:eastAsia="Times New Roman" w:cs="Arial"/>
                <w:color w:val="000000"/>
                <w:szCs w:val="20"/>
              </w:rPr>
              <w:t> </w:t>
            </w:r>
          </w:p>
        </w:tc>
        <w:tc>
          <w:tcPr>
            <w:tcW w:w="4577" w:type="dxa"/>
            <w:tcBorders>
              <w:top w:val="single" w:sz="4" w:space="0" w:color="auto"/>
              <w:left w:val="nil"/>
              <w:bottom w:val="single" w:sz="4" w:space="0" w:color="auto"/>
              <w:right w:val="single" w:sz="4" w:space="0" w:color="auto"/>
            </w:tcBorders>
            <w:noWrap/>
            <w:vAlign w:val="center"/>
            <w:hideMark/>
          </w:tcPr>
          <w:p w:rsidR="00DE6726" w:rsidRPr="00366B56" w:rsidP="00DE6726">
            <w:pPr>
              <w:spacing w:after="0" w:line="240" w:lineRule="auto"/>
              <w:jc w:val="left"/>
              <w:rPr>
                <w:rFonts w:eastAsia="Times New Roman" w:cs="Arial"/>
                <w:color w:val="000000"/>
                <w:szCs w:val="20"/>
              </w:rPr>
            </w:pPr>
            <w:r w:rsidRPr="00366B56">
              <w:rPr>
                <w:rFonts w:eastAsia="Times New Roman" w:cs="Arial"/>
                <w:color w:val="000000"/>
                <w:szCs w:val="20"/>
              </w:rPr>
              <w:t>Svoz a likvidace odpadu</w:t>
            </w:r>
          </w:p>
        </w:tc>
        <w:tc>
          <w:tcPr>
            <w:tcW w:w="2126" w:type="dxa"/>
            <w:tcBorders>
              <w:top w:val="single" w:sz="4" w:space="0" w:color="auto"/>
              <w:left w:val="nil"/>
              <w:bottom w:val="single" w:sz="4" w:space="0" w:color="auto"/>
              <w:right w:val="single" w:sz="4" w:space="0" w:color="auto"/>
            </w:tcBorders>
            <w:noWrap/>
            <w:vAlign w:val="center"/>
            <w:hideMark/>
          </w:tcPr>
          <w:p w:rsidR="00DE6726" w:rsidP="00DE6726">
            <w:pPr>
              <w:spacing w:after="0"/>
              <w:jc w:val="right"/>
            </w:pPr>
            <w:r>
              <w:rPr>
                <w:rFonts w:cs="Arial"/>
                <w:snapToGrid w:val="0"/>
              </w:rPr>
              <w:t>200,00</w:t>
            </w:r>
            <w:r w:rsidRPr="009F23EC">
              <w:rPr>
                <w:rFonts w:cs="Arial"/>
                <w:snapToGrid w:val="0"/>
              </w:rPr>
              <w:t xml:space="preserve"> Kč</w:t>
            </w:r>
          </w:p>
        </w:tc>
        <w:tc>
          <w:tcPr>
            <w:tcW w:w="1970" w:type="dxa"/>
            <w:tcBorders>
              <w:top w:val="single" w:sz="4" w:space="0" w:color="auto"/>
              <w:left w:val="nil"/>
              <w:bottom w:val="single" w:sz="4" w:space="0" w:color="auto"/>
              <w:right w:val="single" w:sz="4" w:space="0" w:color="auto"/>
            </w:tcBorders>
            <w:noWrap/>
            <w:vAlign w:val="center"/>
            <w:hideMark/>
          </w:tcPr>
          <w:p w:rsidR="00DE6726" w:rsidP="00DE6726">
            <w:pPr>
              <w:spacing w:after="0"/>
              <w:jc w:val="right"/>
            </w:pPr>
            <w:r>
              <w:rPr>
                <w:rFonts w:cs="Arial"/>
                <w:snapToGrid w:val="0"/>
              </w:rPr>
              <w:t>2 400,00</w:t>
            </w:r>
            <w:r w:rsidRPr="009F23EC">
              <w:rPr>
                <w:rFonts w:cs="Arial"/>
                <w:snapToGrid w:val="0"/>
              </w:rPr>
              <w:t xml:space="preserve"> Kč</w:t>
            </w:r>
          </w:p>
        </w:tc>
      </w:tr>
      <w:tr w:rsidTr="00513ACB">
        <w:tblPrEx>
          <w:tblW w:w="9058" w:type="dxa"/>
          <w:tblCellMar>
            <w:left w:w="70" w:type="dxa"/>
            <w:right w:w="70" w:type="dxa"/>
          </w:tblCellMar>
          <w:tblLook w:val="04A0"/>
        </w:tblPrEx>
        <w:trPr>
          <w:trHeight w:val="264"/>
        </w:trPr>
        <w:tc>
          <w:tcPr>
            <w:tcW w:w="385" w:type="dxa"/>
            <w:tcBorders>
              <w:top w:val="single" w:sz="4" w:space="0" w:color="auto"/>
              <w:bottom w:val="single" w:sz="4" w:space="0" w:color="auto"/>
            </w:tcBorders>
            <w:noWrap/>
            <w:vAlign w:val="center"/>
            <w:hideMark/>
          </w:tcPr>
          <w:p w:rsidR="00DE6726" w:rsidRPr="00366B56" w:rsidP="00DE6726">
            <w:pPr>
              <w:spacing w:after="0" w:line="240" w:lineRule="auto"/>
              <w:jc w:val="right"/>
              <w:rPr>
                <w:rFonts w:eastAsia="Times New Roman" w:cs="Arial"/>
                <w:color w:val="000000"/>
                <w:szCs w:val="20"/>
              </w:rPr>
            </w:pPr>
          </w:p>
        </w:tc>
        <w:tc>
          <w:tcPr>
            <w:tcW w:w="4577" w:type="dxa"/>
            <w:tcBorders>
              <w:top w:val="single" w:sz="4" w:space="0" w:color="auto"/>
              <w:bottom w:val="single" w:sz="4" w:space="0" w:color="auto"/>
            </w:tcBorders>
            <w:noWrap/>
            <w:vAlign w:val="center"/>
            <w:hideMark/>
          </w:tcPr>
          <w:p w:rsidR="00DE6726" w:rsidRPr="00366B56" w:rsidP="00DE6726">
            <w:pPr>
              <w:spacing w:after="0" w:line="240" w:lineRule="auto"/>
              <w:jc w:val="center"/>
              <w:rPr>
                <w:rFonts w:ascii="Times New Roman" w:eastAsia="Times New Roman" w:hAnsi="Times New Roman" w:cs="Times New Roman"/>
                <w:szCs w:val="20"/>
              </w:rPr>
            </w:pPr>
          </w:p>
        </w:tc>
        <w:tc>
          <w:tcPr>
            <w:tcW w:w="2126" w:type="dxa"/>
            <w:tcBorders>
              <w:top w:val="single" w:sz="4" w:space="0" w:color="auto"/>
              <w:bottom w:val="single" w:sz="4" w:space="0" w:color="auto"/>
            </w:tcBorders>
            <w:noWrap/>
            <w:vAlign w:val="center"/>
            <w:hideMark/>
          </w:tcPr>
          <w:p w:rsidR="00DE6726" w:rsidRPr="00366B56" w:rsidP="00DE6726">
            <w:pPr>
              <w:spacing w:after="0" w:line="240" w:lineRule="auto"/>
              <w:jc w:val="left"/>
              <w:rPr>
                <w:rFonts w:ascii="Times New Roman" w:eastAsia="Times New Roman" w:hAnsi="Times New Roman" w:cs="Times New Roman"/>
                <w:szCs w:val="20"/>
              </w:rPr>
            </w:pPr>
          </w:p>
        </w:tc>
        <w:tc>
          <w:tcPr>
            <w:tcW w:w="1970" w:type="dxa"/>
            <w:tcBorders>
              <w:top w:val="single" w:sz="4" w:space="0" w:color="auto"/>
              <w:bottom w:val="single" w:sz="4" w:space="0" w:color="auto"/>
            </w:tcBorders>
            <w:noWrap/>
            <w:vAlign w:val="center"/>
            <w:hideMark/>
          </w:tcPr>
          <w:p w:rsidR="00DE6726" w:rsidRPr="00366B56" w:rsidP="00DE6726">
            <w:pPr>
              <w:spacing w:after="0" w:line="240" w:lineRule="auto"/>
              <w:jc w:val="left"/>
              <w:rPr>
                <w:rFonts w:ascii="Times New Roman" w:eastAsia="Times New Roman" w:hAnsi="Times New Roman" w:cs="Times New Roman"/>
                <w:szCs w:val="20"/>
              </w:rPr>
            </w:pPr>
          </w:p>
        </w:tc>
      </w:tr>
      <w:tr w:rsidTr="00533154">
        <w:tblPrEx>
          <w:tblW w:w="9058" w:type="dxa"/>
          <w:tblCellMar>
            <w:left w:w="70" w:type="dxa"/>
            <w:right w:w="70" w:type="dxa"/>
          </w:tblCellMar>
          <w:tblLook w:val="04A0"/>
        </w:tblPrEx>
        <w:trPr>
          <w:trHeight w:val="801"/>
        </w:trPr>
        <w:tc>
          <w:tcPr>
            <w:tcW w:w="496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E6726" w:rsidRPr="00366B56" w:rsidP="00DE6726">
            <w:pPr>
              <w:spacing w:after="0" w:line="240" w:lineRule="auto"/>
              <w:jc w:val="left"/>
              <w:rPr>
                <w:rFonts w:eastAsia="Times New Roman" w:cs="Arial"/>
                <w:b/>
                <w:bCs/>
                <w:color w:val="000000"/>
                <w:szCs w:val="20"/>
              </w:rPr>
            </w:pPr>
            <w:r w:rsidRPr="00366B56">
              <w:rPr>
                <w:rFonts w:eastAsia="Times New Roman" w:cs="Arial"/>
                <w:b/>
                <w:bCs/>
                <w:color w:val="000000"/>
                <w:szCs w:val="20"/>
              </w:rPr>
              <w:t>CELKOVÁ ČÁSTKA</w:t>
            </w:r>
            <w:r>
              <w:rPr>
                <w:rFonts w:eastAsia="Times New Roman" w:cs="Arial"/>
                <w:b/>
                <w:bCs/>
                <w:color w:val="000000"/>
                <w:szCs w:val="20"/>
              </w:rPr>
              <w:t xml:space="preserve"> (I + II + III + IV)</w:t>
            </w:r>
          </w:p>
        </w:tc>
        <w:tc>
          <w:tcPr>
            <w:tcW w:w="2126" w:type="dxa"/>
            <w:tcBorders>
              <w:top w:val="single" w:sz="4" w:space="0" w:color="auto"/>
              <w:left w:val="nil"/>
              <w:bottom w:val="single" w:sz="4" w:space="0" w:color="auto"/>
              <w:right w:val="single" w:sz="4" w:space="0" w:color="auto"/>
            </w:tcBorders>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měsíc</w:t>
            </w:r>
          </w:p>
        </w:tc>
        <w:tc>
          <w:tcPr>
            <w:tcW w:w="1970" w:type="dxa"/>
            <w:tcBorders>
              <w:top w:val="single" w:sz="4" w:space="0" w:color="auto"/>
              <w:left w:val="nil"/>
              <w:bottom w:val="single" w:sz="4" w:space="0" w:color="auto"/>
              <w:right w:val="single" w:sz="4" w:space="0" w:color="auto"/>
            </w:tcBorders>
            <w:vAlign w:val="center"/>
            <w:hideMark/>
          </w:tcPr>
          <w:p w:rsidR="00DE6726" w:rsidRPr="00366B56" w:rsidP="00DE6726">
            <w:pPr>
              <w:spacing w:after="0" w:line="240" w:lineRule="auto"/>
              <w:jc w:val="center"/>
              <w:rPr>
                <w:rFonts w:eastAsia="Times New Roman" w:cs="Arial"/>
                <w:b/>
                <w:bCs/>
                <w:color w:val="000000"/>
                <w:szCs w:val="20"/>
              </w:rPr>
            </w:pPr>
            <w:r w:rsidRPr="00366B56">
              <w:rPr>
                <w:rFonts w:eastAsia="Times New Roman" w:cs="Arial"/>
                <w:b/>
                <w:bCs/>
                <w:color w:val="000000"/>
                <w:szCs w:val="20"/>
              </w:rPr>
              <w:t>Celkem za kalendářní rok</w:t>
            </w:r>
          </w:p>
        </w:tc>
      </w:tr>
      <w:tr w:rsidTr="00DE6726">
        <w:tblPrEx>
          <w:tblW w:w="9058" w:type="dxa"/>
          <w:tblCellMar>
            <w:left w:w="70" w:type="dxa"/>
            <w:right w:w="70" w:type="dxa"/>
          </w:tblCellMar>
          <w:tblLook w:val="04A0"/>
        </w:tblPrEx>
        <w:trPr>
          <w:trHeight w:val="506"/>
        </w:trPr>
        <w:tc>
          <w:tcPr>
            <w:tcW w:w="4962" w:type="dxa"/>
            <w:gridSpan w:val="2"/>
            <w:vMerge/>
            <w:tcBorders>
              <w:top w:val="single" w:sz="4" w:space="0" w:color="auto"/>
              <w:left w:val="single" w:sz="4" w:space="0" w:color="auto"/>
              <w:bottom w:val="single" w:sz="4" w:space="0" w:color="auto"/>
              <w:right w:val="single" w:sz="4" w:space="0" w:color="auto"/>
            </w:tcBorders>
            <w:vAlign w:val="center"/>
            <w:hideMark/>
          </w:tcPr>
          <w:p w:rsidR="00DE6726" w:rsidRPr="00366B56" w:rsidP="00DE6726">
            <w:pPr>
              <w:spacing w:after="0" w:line="240" w:lineRule="auto"/>
              <w:jc w:val="left"/>
              <w:rPr>
                <w:rFonts w:eastAsia="Times New Roman" w:cs="Arial"/>
                <w:b/>
                <w:bCs/>
                <w:color w:val="000000"/>
                <w:szCs w:val="20"/>
              </w:rPr>
            </w:pPr>
          </w:p>
        </w:tc>
        <w:tc>
          <w:tcPr>
            <w:tcW w:w="2126" w:type="dxa"/>
            <w:tcBorders>
              <w:top w:val="single" w:sz="4" w:space="0" w:color="auto"/>
              <w:left w:val="nil"/>
              <w:bottom w:val="single" w:sz="4" w:space="0" w:color="auto"/>
              <w:right w:val="single" w:sz="4" w:space="0" w:color="auto"/>
            </w:tcBorders>
            <w:noWrap/>
            <w:vAlign w:val="center"/>
          </w:tcPr>
          <w:p w:rsidR="00DE6726" w:rsidP="00DE6726">
            <w:pPr>
              <w:spacing w:after="0"/>
              <w:jc w:val="right"/>
            </w:pPr>
            <w:r>
              <w:rPr>
                <w:rFonts w:cs="Arial"/>
              </w:rPr>
              <w:t>[</w:t>
            </w:r>
            <w:r w:rsidRPr="00754174">
              <w:rPr>
                <w:highlight w:val="green"/>
              </w:rPr>
              <w:t xml:space="preserve">doplní </w:t>
            </w:r>
            <w:r>
              <w:rPr>
                <w:highlight w:val="green"/>
              </w:rPr>
              <w:t>Pronajímatel</w:t>
            </w:r>
            <w:r w:rsidRPr="00754174">
              <w:rPr>
                <w:highlight w:val="green"/>
              </w:rPr>
              <w:t xml:space="preserve"> před podpisem Smlouvy</w:t>
            </w:r>
            <w:r>
              <w:rPr>
                <w:rFonts w:cs="Arial"/>
              </w:rPr>
              <w:t xml:space="preserve">] </w:t>
            </w:r>
            <w:r w:rsidRPr="001B44DA">
              <w:rPr>
                <w:rFonts w:cs="Arial"/>
                <w:snapToGrid w:val="0"/>
              </w:rPr>
              <w:t>Kč</w:t>
            </w:r>
          </w:p>
        </w:tc>
        <w:tc>
          <w:tcPr>
            <w:tcW w:w="1970" w:type="dxa"/>
            <w:tcBorders>
              <w:top w:val="single" w:sz="4" w:space="0" w:color="auto"/>
              <w:left w:val="nil"/>
              <w:bottom w:val="single" w:sz="4" w:space="0" w:color="auto"/>
              <w:right w:val="single" w:sz="4" w:space="0" w:color="auto"/>
            </w:tcBorders>
            <w:noWrap/>
            <w:vAlign w:val="center"/>
          </w:tcPr>
          <w:p w:rsidR="00DE6726" w:rsidP="00DE6726">
            <w:pPr>
              <w:spacing w:after="0"/>
              <w:jc w:val="right"/>
            </w:pPr>
            <w:r>
              <w:rPr>
                <w:rFonts w:cs="Arial"/>
              </w:rPr>
              <w:t>[</w:t>
            </w:r>
            <w:r w:rsidRPr="00754174">
              <w:rPr>
                <w:highlight w:val="green"/>
              </w:rPr>
              <w:t xml:space="preserve">doplní </w:t>
            </w:r>
            <w:r>
              <w:rPr>
                <w:highlight w:val="green"/>
              </w:rPr>
              <w:t>Pronajímatel</w:t>
            </w:r>
            <w:r w:rsidRPr="00754174">
              <w:rPr>
                <w:highlight w:val="green"/>
              </w:rPr>
              <w:t xml:space="preserve"> před podpisem Smlouvy</w:t>
            </w:r>
            <w:r>
              <w:rPr>
                <w:rFonts w:cs="Arial"/>
              </w:rPr>
              <w:t xml:space="preserve">] </w:t>
            </w:r>
            <w:r w:rsidRPr="001B44DA">
              <w:rPr>
                <w:rFonts w:cs="Arial"/>
                <w:snapToGrid w:val="0"/>
              </w:rPr>
              <w:t>Kč</w:t>
            </w:r>
          </w:p>
        </w:tc>
      </w:tr>
      <w:tr w:rsidTr="00513ACB">
        <w:tblPrEx>
          <w:tblW w:w="9058" w:type="dxa"/>
          <w:tblCellMar>
            <w:left w:w="70" w:type="dxa"/>
            <w:right w:w="70" w:type="dxa"/>
          </w:tblCellMar>
          <w:tblLook w:val="04A0"/>
        </w:tblPrEx>
        <w:trPr>
          <w:trHeight w:val="264"/>
        </w:trPr>
        <w:tc>
          <w:tcPr>
            <w:tcW w:w="385" w:type="dxa"/>
            <w:tcBorders>
              <w:top w:val="nil"/>
              <w:left w:val="nil"/>
              <w:bottom w:val="nil"/>
              <w:right w:val="nil"/>
            </w:tcBorders>
            <w:noWrap/>
            <w:vAlign w:val="center"/>
            <w:hideMark/>
          </w:tcPr>
          <w:p w:rsidR="00DE6726" w:rsidRPr="00366B56" w:rsidP="00DE6726">
            <w:pPr>
              <w:spacing w:after="0" w:line="240" w:lineRule="auto"/>
              <w:jc w:val="right"/>
              <w:rPr>
                <w:rFonts w:eastAsia="Times New Roman" w:cs="Arial"/>
                <w:color w:val="000000"/>
                <w:szCs w:val="20"/>
              </w:rPr>
            </w:pPr>
          </w:p>
        </w:tc>
        <w:tc>
          <w:tcPr>
            <w:tcW w:w="4577" w:type="dxa"/>
            <w:tcBorders>
              <w:top w:val="nil"/>
              <w:left w:val="nil"/>
              <w:bottom w:val="nil"/>
              <w:right w:val="nil"/>
            </w:tcBorders>
            <w:noWrap/>
            <w:vAlign w:val="center"/>
            <w:hideMark/>
          </w:tcPr>
          <w:p w:rsidR="00DE6726" w:rsidRPr="00366B56" w:rsidP="00DE6726">
            <w:pPr>
              <w:spacing w:after="0" w:line="240" w:lineRule="auto"/>
              <w:jc w:val="left"/>
              <w:rPr>
                <w:rFonts w:ascii="Times New Roman" w:eastAsia="Times New Roman" w:hAnsi="Times New Roman" w:cs="Times New Roman"/>
                <w:szCs w:val="20"/>
              </w:rPr>
            </w:pPr>
          </w:p>
        </w:tc>
        <w:tc>
          <w:tcPr>
            <w:tcW w:w="2126" w:type="dxa"/>
            <w:tcBorders>
              <w:top w:val="nil"/>
              <w:left w:val="nil"/>
              <w:bottom w:val="nil"/>
              <w:right w:val="nil"/>
            </w:tcBorders>
            <w:noWrap/>
            <w:vAlign w:val="center"/>
            <w:hideMark/>
          </w:tcPr>
          <w:p w:rsidR="00DE6726" w:rsidRPr="00366B56" w:rsidP="00DE6726">
            <w:pPr>
              <w:spacing w:after="0" w:line="240" w:lineRule="auto"/>
              <w:jc w:val="left"/>
              <w:rPr>
                <w:rFonts w:ascii="Times New Roman" w:eastAsia="Times New Roman" w:hAnsi="Times New Roman" w:cs="Times New Roman"/>
                <w:szCs w:val="20"/>
              </w:rPr>
            </w:pPr>
          </w:p>
        </w:tc>
        <w:tc>
          <w:tcPr>
            <w:tcW w:w="1970" w:type="dxa"/>
            <w:tcBorders>
              <w:top w:val="nil"/>
              <w:left w:val="nil"/>
              <w:bottom w:val="nil"/>
              <w:right w:val="nil"/>
            </w:tcBorders>
            <w:noWrap/>
            <w:vAlign w:val="center"/>
            <w:hideMark/>
          </w:tcPr>
          <w:p w:rsidR="00DE6726" w:rsidRPr="00366B56" w:rsidP="00DE6726">
            <w:pPr>
              <w:spacing w:after="0" w:line="240" w:lineRule="auto"/>
              <w:jc w:val="left"/>
              <w:rPr>
                <w:rFonts w:ascii="Times New Roman" w:eastAsia="Times New Roman" w:hAnsi="Times New Roman" w:cs="Times New Roman"/>
                <w:szCs w:val="20"/>
              </w:rPr>
            </w:pPr>
          </w:p>
        </w:tc>
      </w:tr>
      <w:tr w:rsidTr="00533154">
        <w:tblPrEx>
          <w:tblW w:w="9058" w:type="dxa"/>
          <w:tblCellMar>
            <w:left w:w="70" w:type="dxa"/>
            <w:right w:w="70" w:type="dxa"/>
          </w:tblCellMar>
          <w:tblLook w:val="04A0"/>
        </w:tblPrEx>
        <w:trPr>
          <w:trHeight w:val="264"/>
        </w:trPr>
        <w:tc>
          <w:tcPr>
            <w:tcW w:w="9058" w:type="dxa"/>
            <w:gridSpan w:val="4"/>
            <w:tcBorders>
              <w:top w:val="nil"/>
              <w:left w:val="nil"/>
              <w:bottom w:val="nil"/>
              <w:right w:val="nil"/>
            </w:tcBorders>
            <w:noWrap/>
            <w:vAlign w:val="center"/>
            <w:hideMark/>
          </w:tcPr>
          <w:p w:rsidR="00DE6726" w:rsidRPr="00366B56" w:rsidP="00DE6726">
            <w:pPr>
              <w:spacing w:after="0" w:line="240" w:lineRule="auto"/>
              <w:jc w:val="left"/>
              <w:rPr>
                <w:rFonts w:eastAsia="Times New Roman" w:cs="Arial"/>
                <w:color w:val="000000"/>
                <w:szCs w:val="20"/>
              </w:rPr>
            </w:pPr>
            <w:r>
              <w:rPr>
                <w:rFonts w:eastAsia="Times New Roman" w:cs="Arial"/>
                <w:color w:val="000000"/>
                <w:szCs w:val="20"/>
              </w:rPr>
              <w:t>Částky</w:t>
            </w:r>
            <w:r w:rsidRPr="00366B56">
              <w:rPr>
                <w:rFonts w:eastAsia="Times New Roman" w:cs="Arial"/>
                <w:color w:val="000000"/>
                <w:szCs w:val="20"/>
              </w:rPr>
              <w:t xml:space="preserve"> </w:t>
            </w:r>
            <w:r>
              <w:rPr>
                <w:rFonts w:eastAsia="Times New Roman" w:cs="Arial"/>
                <w:color w:val="000000"/>
                <w:szCs w:val="20"/>
              </w:rPr>
              <w:t xml:space="preserve">uvedené pod č. II, III a IV </w:t>
            </w:r>
            <w:r w:rsidRPr="00366B56">
              <w:rPr>
                <w:rFonts w:eastAsia="Times New Roman" w:cs="Arial"/>
                <w:color w:val="000000"/>
                <w:szCs w:val="20"/>
              </w:rPr>
              <w:t>jsou uvedeny bez</w:t>
            </w:r>
            <w:r>
              <w:rPr>
                <w:rFonts w:eastAsia="Times New Roman" w:cs="Arial"/>
                <w:color w:val="000000"/>
                <w:szCs w:val="20"/>
              </w:rPr>
              <w:t xml:space="preserve"> příslušné sazby</w:t>
            </w:r>
            <w:r w:rsidRPr="00366B56">
              <w:rPr>
                <w:rFonts w:eastAsia="Times New Roman" w:cs="Arial"/>
                <w:color w:val="000000"/>
                <w:szCs w:val="20"/>
              </w:rPr>
              <w:t xml:space="preserve"> DPH</w:t>
            </w:r>
            <w:r>
              <w:rPr>
                <w:rFonts w:eastAsia="Times New Roman" w:cs="Arial"/>
                <w:color w:val="000000"/>
                <w:szCs w:val="20"/>
              </w:rPr>
              <w:t>.</w:t>
            </w:r>
          </w:p>
        </w:tc>
      </w:tr>
    </w:tbl>
    <w:p w:rsidR="00FC1822">
      <w:pPr>
        <w:spacing w:after="200"/>
        <w:jc w:val="left"/>
        <w:rPr>
          <w:rFonts w:eastAsia="Times New Roman" w:cs="Times New Roman"/>
          <w:szCs w:val="20"/>
        </w:rPr>
      </w:pPr>
      <w:r>
        <w:br w:type="page"/>
      </w:r>
    </w:p>
    <w:p w:rsidR="00C45D9C" w:rsidRPr="00FC1822" w:rsidP="00FC1822">
      <w:pPr>
        <w:pStyle w:val="Header"/>
        <w:spacing w:after="60"/>
        <w:jc w:val="center"/>
        <w:rPr>
          <w:b/>
        </w:rPr>
      </w:pPr>
      <w:r w:rsidRPr="00FC1822">
        <w:rPr>
          <w:b/>
        </w:rPr>
        <w:t>Příloha č. 3</w:t>
      </w:r>
    </w:p>
    <w:p w:rsidR="00FC1822" w:rsidP="00C45D9C">
      <w:pPr>
        <w:pStyle w:val="Header"/>
        <w:jc w:val="center"/>
        <w:rPr>
          <w:b/>
        </w:rPr>
      </w:pPr>
      <w:r>
        <w:rPr>
          <w:b/>
        </w:rPr>
        <w:t>Seznam Movitého vybavení</w:t>
      </w:r>
    </w:p>
    <w:p w:rsidR="00FB5AA5" w:rsidP="00C45D9C">
      <w:pPr>
        <w:pStyle w:val="Header"/>
        <w:jc w:val="center"/>
        <w:rPr>
          <w:b/>
        </w:rPr>
      </w:pPr>
    </w:p>
    <w:p w:rsidR="00D332C4" w:rsidP="00D332C4">
      <w:pPr>
        <w:spacing w:after="240"/>
        <w:jc w:val="left"/>
      </w:pPr>
      <w:r w:rsidRPr="000A3BFA">
        <w:t xml:space="preserve">Hodnota Movitého vybavení v Nebytových prostorech činí </w:t>
      </w:r>
      <w:r w:rsidR="00D4525F">
        <w:t>639 055,11</w:t>
      </w:r>
      <w:r>
        <w:t xml:space="preserve"> Kč.</w:t>
      </w:r>
    </w:p>
    <w:p w:rsidR="00D332C4" w:rsidP="00D332C4">
      <w:pPr>
        <w:spacing w:after="240"/>
      </w:pPr>
      <w:r>
        <w:t>Nájem</w:t>
      </w:r>
      <w:r w:rsidR="00D4525F">
        <w:t>né za užívání</w:t>
      </w:r>
      <w:r>
        <w:t xml:space="preserve"> Movitého vybavení bude Nájemci účtován</w:t>
      </w:r>
      <w:r w:rsidR="00D4525F">
        <w:t>o</w:t>
      </w:r>
      <w:r>
        <w:t xml:space="preserve"> ve výši podle znaleckého posudku </w:t>
      </w:r>
      <w:r w:rsidR="00D4525F">
        <w:br/>
      </w:r>
      <w:r>
        <w:t>č. 192/04/2020 vypracovaného v měsících srpen až září 2020 paní Ivou Miksovou, znalcem v oboru Ekonomika, ceny a odhady věcí movitých se sídlem Zbudovská 767, Praha 4, IČO: 71424881 (dále jen „</w:t>
      </w:r>
      <w:r w:rsidRPr="00F2470E">
        <w:rPr>
          <w:b/>
        </w:rPr>
        <w:t>Cena za Movité vybavení</w:t>
      </w:r>
      <w:r>
        <w:t>“).</w:t>
      </w:r>
    </w:p>
    <w:p w:rsidR="00D332C4" w:rsidRPr="00947833" w:rsidP="00D332C4">
      <w:pPr>
        <w:spacing w:after="240"/>
        <w:rPr>
          <w:b/>
        </w:rPr>
      </w:pPr>
      <w:r w:rsidRPr="00D4525F">
        <w:t>Od Ceny za Movité vybavení Pronajímatel odečítá hodnotu jídelního stolu a 4 jídelních židlí v celkové výši 73</w:t>
      </w:r>
      <w:r w:rsidR="00D4525F">
        <w:t xml:space="preserve"> </w:t>
      </w:r>
      <w:r w:rsidRPr="00D4525F">
        <w:t>665,00 Kč</w:t>
      </w:r>
      <w:r w:rsidR="00D4525F">
        <w:t>, které neslouží pro potřeby Nájemce</w:t>
      </w:r>
      <w:r w:rsidRPr="00D4525F">
        <w:t xml:space="preserve">. Cena za Movité vybavení po odpočtu činí </w:t>
      </w:r>
      <w:r w:rsidR="00D4525F">
        <w:br/>
      </w:r>
      <w:r w:rsidRPr="00D4525F">
        <w:rPr>
          <w:b/>
        </w:rPr>
        <w:t>5</w:t>
      </w:r>
      <w:r w:rsidRPr="00D4525F" w:rsidR="00D4525F">
        <w:rPr>
          <w:b/>
        </w:rPr>
        <w:t>65</w:t>
      </w:r>
      <w:r w:rsidRPr="00D4525F">
        <w:rPr>
          <w:b/>
        </w:rPr>
        <w:t xml:space="preserve"> </w:t>
      </w:r>
      <w:r w:rsidRPr="00D4525F" w:rsidR="00D4525F">
        <w:rPr>
          <w:b/>
        </w:rPr>
        <w:t>390</w:t>
      </w:r>
      <w:r w:rsidRPr="00D4525F">
        <w:rPr>
          <w:b/>
        </w:rPr>
        <w:t>,</w:t>
      </w:r>
      <w:r w:rsidRPr="00D4525F" w:rsidR="00D4525F">
        <w:rPr>
          <w:b/>
        </w:rPr>
        <w:t>11</w:t>
      </w:r>
      <w:r w:rsidRPr="00D4525F">
        <w:rPr>
          <w:b/>
        </w:rPr>
        <w:t xml:space="preserve"> Kč.</w:t>
      </w:r>
      <w:r w:rsidRPr="00947833">
        <w:rPr>
          <w:b/>
        </w:rPr>
        <w:t xml:space="preserve"> </w:t>
      </w:r>
    </w:p>
    <w:p w:rsidR="00D332C4" w:rsidP="00D332C4">
      <w:pPr>
        <w:spacing w:after="240"/>
      </w:pPr>
      <w:r>
        <w:t>K</w:t>
      </w:r>
      <w:r w:rsidR="00D4525F">
        <w:t xml:space="preserve"> nájemnému za užívání </w:t>
      </w:r>
      <w:r>
        <w:t xml:space="preserve">Movitého vybavení bude přičtena příslušná sazba daně z přidané hodnoty </w:t>
      </w:r>
      <w:r w:rsidR="00167632">
        <w:t>po</w:t>
      </w:r>
      <w:r>
        <w:t xml:space="preserve">dle zákona č. 235/2004 Sb., o dani z přidané hodnoty, ve znění pozdějších předpisů. </w:t>
      </w:r>
      <w:r w:rsidR="00D4525F">
        <w:t>V</w:t>
      </w:r>
      <w:r>
        <w:t xml:space="preserve">ýše </w:t>
      </w:r>
      <w:r w:rsidR="00D4525F">
        <w:t>n</w:t>
      </w:r>
      <w:r>
        <w:t>áj</w:t>
      </w:r>
      <w:r w:rsidR="00D4525F">
        <w:t xml:space="preserve">emného za užívání </w:t>
      </w:r>
      <w:r>
        <w:t>Movitého vybavení činí 28</w:t>
      </w:r>
      <w:r w:rsidR="00D4525F">
        <w:t> 296,60</w:t>
      </w:r>
      <w:r>
        <w:t xml:space="preserve"> Kč bez </w:t>
      </w:r>
      <w:r w:rsidR="00D4525F">
        <w:t>příslušné sazby daně z přidané hodnoty</w:t>
      </w:r>
      <w:r>
        <w:t xml:space="preserve"> </w:t>
      </w:r>
      <w:r w:rsidR="00D4525F">
        <w:t xml:space="preserve">ročně. </w:t>
      </w:r>
    </w:p>
    <w:p w:rsidR="00D332C4" w:rsidRPr="00A23143" w:rsidP="00D332C4">
      <w:pPr>
        <w:rPr>
          <w:bCs/>
        </w:rPr>
      </w:pPr>
      <w:r>
        <w:t>Nájem</w:t>
      </w:r>
      <w:r w:rsidR="00D4525F">
        <w:t>né za užívání</w:t>
      </w:r>
      <w:r>
        <w:t xml:space="preserve"> Movitého vybavení za kalendářní měsíc tak činí </w:t>
      </w:r>
      <w:r w:rsidRPr="00947833">
        <w:rPr>
          <w:b/>
        </w:rPr>
        <w:t>2</w:t>
      </w:r>
      <w:r>
        <w:rPr>
          <w:b/>
        </w:rPr>
        <w:t xml:space="preserve"> </w:t>
      </w:r>
      <w:r w:rsidRPr="00947833">
        <w:rPr>
          <w:b/>
        </w:rPr>
        <w:t>3</w:t>
      </w:r>
      <w:r w:rsidR="00D4525F">
        <w:rPr>
          <w:b/>
        </w:rPr>
        <w:t>55</w:t>
      </w:r>
      <w:r w:rsidRPr="00947833">
        <w:rPr>
          <w:b/>
        </w:rPr>
        <w:t>,</w:t>
      </w:r>
      <w:r w:rsidR="00D4525F">
        <w:rPr>
          <w:b/>
        </w:rPr>
        <w:t>80</w:t>
      </w:r>
      <w:r w:rsidRPr="00947833">
        <w:rPr>
          <w:b/>
        </w:rPr>
        <w:t xml:space="preserve"> Kč</w:t>
      </w:r>
      <w:r w:rsidR="00A23143">
        <w:rPr>
          <w:b/>
        </w:rPr>
        <w:t xml:space="preserve">. </w:t>
      </w:r>
      <w:r w:rsidRPr="00A23143" w:rsidR="00A23143">
        <w:rPr>
          <w:bCs/>
        </w:rPr>
        <w:t xml:space="preserve">K nájemnému za </w:t>
      </w:r>
      <w:r w:rsidR="00A23143">
        <w:rPr>
          <w:bCs/>
        </w:rPr>
        <w:t>u</w:t>
      </w:r>
      <w:r w:rsidRPr="00A23143" w:rsidR="00A23143">
        <w:rPr>
          <w:bCs/>
        </w:rPr>
        <w:t xml:space="preserve">žívání Movitého vybavení bude připočtena příslušná sazba </w:t>
      </w:r>
      <w:r w:rsidRPr="00A23143" w:rsidR="00D4525F">
        <w:rPr>
          <w:bCs/>
        </w:rPr>
        <w:t>daně z přidané hodnoty</w:t>
      </w:r>
      <w:r w:rsidRPr="00A23143">
        <w:rPr>
          <w:bCs/>
        </w:rPr>
        <w:t>.</w:t>
      </w:r>
    </w:p>
    <w:p w:rsidR="00FB5AA5" w:rsidP="00D332C4">
      <w:pPr>
        <w:pStyle w:val="Header"/>
        <w:spacing w:after="60"/>
        <w:rPr>
          <w:b/>
        </w:rPr>
      </w:pPr>
    </w:p>
    <w:p w:rsidR="00D332C4">
      <w:pPr>
        <w:spacing w:after="200"/>
        <w:jc w:val="left"/>
        <w:rPr>
          <w:b/>
        </w:rPr>
        <w:sectPr>
          <w:headerReference w:type="default" r:id="rId8"/>
          <w:footerReference w:type="default" r:id="rId9"/>
          <w:pgSz w:w="11906" w:h="16838"/>
          <w:pgMar w:top="1417" w:right="1417" w:bottom="1417" w:left="1417" w:header="708" w:footer="708" w:gutter="0"/>
          <w:cols w:space="708"/>
          <w:docGrid w:linePitch="360"/>
        </w:sectPr>
      </w:pPr>
    </w:p>
    <w:p w:rsidR="00FB5AA5">
      <w:pPr>
        <w:spacing w:after="200"/>
        <w:jc w:val="left"/>
        <w:rPr>
          <w:rFonts w:eastAsia="Times New Roman" w:cs="Times New Roman"/>
          <w:b/>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5"/>
        <w:gridCol w:w="566"/>
        <w:gridCol w:w="952"/>
        <w:gridCol w:w="5852"/>
        <w:gridCol w:w="1418"/>
        <w:gridCol w:w="992"/>
        <w:gridCol w:w="1417"/>
        <w:gridCol w:w="709"/>
        <w:gridCol w:w="1418"/>
      </w:tblGrid>
      <w:tr w:rsidTr="003C1291">
        <w:tblPrEx>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613"/>
        </w:trPr>
        <w:tc>
          <w:tcPr>
            <w:tcW w:w="705"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Druh kód</w:t>
            </w:r>
          </w:p>
        </w:tc>
        <w:tc>
          <w:tcPr>
            <w:tcW w:w="566"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Stav kód</w:t>
            </w:r>
          </w:p>
        </w:tc>
        <w:tc>
          <w:tcPr>
            <w:tcW w:w="952"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Inventární číslo</w:t>
            </w:r>
          </w:p>
        </w:tc>
        <w:tc>
          <w:tcPr>
            <w:tcW w:w="5852" w:type="dxa"/>
            <w:shd w:val="clear" w:color="FFFFFF" w:fill="FFFFFF"/>
            <w:vAlign w:val="center"/>
            <w:hideMark/>
          </w:tcPr>
          <w:p w:rsidR="003C1291" w:rsidRPr="003C1291" w:rsidP="003C1291">
            <w:pPr>
              <w:spacing w:after="0" w:line="240" w:lineRule="auto"/>
              <w:jc w:val="left"/>
              <w:rPr>
                <w:rFonts w:eastAsia="Times New Roman" w:cs="Arial"/>
                <w:b/>
                <w:bCs/>
                <w:color w:val="000000"/>
                <w:sz w:val="16"/>
                <w:szCs w:val="16"/>
              </w:rPr>
            </w:pPr>
            <w:r w:rsidRPr="003C1291">
              <w:rPr>
                <w:rFonts w:eastAsia="Times New Roman" w:cs="Arial"/>
                <w:b/>
                <w:bCs/>
                <w:color w:val="000000"/>
                <w:sz w:val="16"/>
                <w:szCs w:val="16"/>
              </w:rPr>
              <w:t>Název celý</w:t>
            </w:r>
          </w:p>
        </w:tc>
        <w:tc>
          <w:tcPr>
            <w:tcW w:w="1418"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Pořizovací cena</w:t>
            </w:r>
          </w:p>
        </w:tc>
        <w:tc>
          <w:tcPr>
            <w:tcW w:w="992"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Majetkový účet</w:t>
            </w:r>
          </w:p>
        </w:tc>
        <w:tc>
          <w:tcPr>
            <w:tcW w:w="1417"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Číslo střediska</w:t>
            </w:r>
          </w:p>
        </w:tc>
        <w:tc>
          <w:tcPr>
            <w:tcW w:w="709"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HOM kód</w:t>
            </w:r>
          </w:p>
        </w:tc>
        <w:tc>
          <w:tcPr>
            <w:tcW w:w="1418" w:type="dxa"/>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Datum zařazení do užívání</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81007</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ZIDLE KANCELARSKA OTOCNA</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2 781,79</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01.10.2013</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91477</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VITRINA CHLADICI LADA 1500GZ</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68 486,00</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022 205</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25.09.2018</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91478</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VITRINA CHLADICI LADA 1500GZ</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68 486,00</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022 205</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25.09.2018</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DDHM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94659</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 xml:space="preserve">SKRIN CHLADICI </w:t>
            </w:r>
            <w:r w:rsidRPr="003C1291">
              <w:rPr>
                <w:rFonts w:eastAsia="Times New Roman" w:cs="Arial"/>
                <w:color w:val="000000"/>
                <w:sz w:val="16"/>
                <w:szCs w:val="16"/>
              </w:rPr>
              <w:t>NORDline</w:t>
            </w:r>
            <w:r w:rsidRPr="003C1291">
              <w:rPr>
                <w:rFonts w:eastAsia="Times New Roman" w:cs="Arial"/>
                <w:color w:val="000000"/>
                <w:sz w:val="16"/>
                <w:szCs w:val="16"/>
              </w:rPr>
              <w:t>, UR400G, PROSKLENNE DVERE</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16 900,00</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028 200</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09.03.2020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DDHM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94660</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 xml:space="preserve">SKRIN CHLADICI </w:t>
            </w:r>
            <w:r w:rsidRPr="003C1291">
              <w:rPr>
                <w:rFonts w:eastAsia="Times New Roman" w:cs="Arial"/>
                <w:color w:val="000000"/>
                <w:sz w:val="16"/>
                <w:szCs w:val="16"/>
              </w:rPr>
              <w:t>NORDline</w:t>
            </w:r>
            <w:r w:rsidRPr="003C1291">
              <w:rPr>
                <w:rFonts w:eastAsia="Times New Roman" w:cs="Arial"/>
                <w:color w:val="000000"/>
                <w:sz w:val="16"/>
                <w:szCs w:val="16"/>
              </w:rPr>
              <w:t>, UR400G, PROSKLENNE DVERE</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16 900,00</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028 200</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09.03.2020</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DDHM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94661</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 xml:space="preserve">SKRIN CHLADICI </w:t>
            </w:r>
            <w:r w:rsidRPr="003C1291">
              <w:rPr>
                <w:rFonts w:eastAsia="Times New Roman" w:cs="Arial"/>
                <w:color w:val="000000"/>
                <w:sz w:val="16"/>
                <w:szCs w:val="16"/>
              </w:rPr>
              <w:t>NORDline</w:t>
            </w:r>
            <w:r w:rsidRPr="003C1291">
              <w:rPr>
                <w:rFonts w:eastAsia="Times New Roman" w:cs="Arial"/>
                <w:color w:val="000000"/>
                <w:sz w:val="16"/>
                <w:szCs w:val="16"/>
              </w:rPr>
              <w:t>, UR400G, PROSKLENNE DVERE</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16 900,00</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028 200</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09.03.2020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DDHM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94662</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MYCKA NADOBI WEIC3C26F, INTEGROVANA WHIRLPOOL</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8 429,75</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028 200</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09.03.2020</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DDHM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94753</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DESKA PRACOVNI</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33 777,00</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028 210</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15.05.2020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94767</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REGAL ULOZNY</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68 900,00</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022 207</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15.05.2020</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94768</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SKRIN OBLOZENI CHLADICI VITRINY</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115 200,00</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022 207</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15.05.2020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94769</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PULT PRACOVNI S REGALEM</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69 877,00</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022 207</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15.05.2020</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94770</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PULT PRACOVNI S OPLASTENIM</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41 200,00</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022 207</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15.05.2020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94897</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REGAL SKLADOVY SUPER TYP:877850113 (1840X1050X400MM, POZINK)</w:t>
            </w:r>
            <w:r>
              <w:rPr>
                <w:rFonts w:eastAsia="Times New Roman" w:cs="Arial"/>
                <w:color w:val="000000"/>
                <w:sz w:val="16"/>
                <w:szCs w:val="16"/>
              </w:rPr>
              <w:t xml:space="preserve"> </w:t>
            </w:r>
            <w:r w:rsidRPr="003C1291">
              <w:rPr>
                <w:rFonts w:eastAsia="Times New Roman" w:cs="Arial"/>
                <w:color w:val="000000"/>
                <w:sz w:val="16"/>
                <w:szCs w:val="16"/>
              </w:rPr>
              <w:t>+4XPRESTAVITELNAPOLICE</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1 760,05</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19.06.2020</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94898</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REGAL SKLADOVY SUPER TYP:877850114 (1840X1050X400MM, POZINK)</w:t>
            </w:r>
            <w:r>
              <w:rPr>
                <w:rFonts w:eastAsia="Times New Roman" w:cs="Arial"/>
                <w:color w:val="000000"/>
                <w:sz w:val="16"/>
                <w:szCs w:val="16"/>
              </w:rPr>
              <w:t xml:space="preserve"> </w:t>
            </w:r>
            <w:r w:rsidRPr="003C1291">
              <w:rPr>
                <w:rFonts w:eastAsia="Times New Roman" w:cs="Arial"/>
                <w:color w:val="000000"/>
                <w:sz w:val="16"/>
                <w:szCs w:val="16"/>
              </w:rPr>
              <w:t>+5X PRESTAVITELNA POLICE</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1 985,05</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19.06.2020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94899</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REGAL SKLADOVY SUPER TYP:877850114 (1840X1050X400MM, POZINK)</w:t>
            </w:r>
            <w:r>
              <w:rPr>
                <w:rFonts w:eastAsia="Times New Roman" w:cs="Arial"/>
                <w:color w:val="000000"/>
                <w:sz w:val="16"/>
                <w:szCs w:val="16"/>
              </w:rPr>
              <w:t xml:space="preserve"> </w:t>
            </w:r>
            <w:r w:rsidRPr="003C1291">
              <w:rPr>
                <w:rFonts w:eastAsia="Times New Roman" w:cs="Arial"/>
                <w:color w:val="000000"/>
                <w:sz w:val="16"/>
                <w:szCs w:val="16"/>
              </w:rPr>
              <w:t>+5X PRESTAVITELNA POLICE</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1 985,05</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19.06.2020</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94900</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REGAL SKLADOVY SUPER TYP:877850119 (1840X1050X400MM, POZINK)</w:t>
            </w:r>
            <w:r>
              <w:rPr>
                <w:rFonts w:eastAsia="Times New Roman" w:cs="Arial"/>
                <w:color w:val="000000"/>
                <w:sz w:val="16"/>
                <w:szCs w:val="16"/>
              </w:rPr>
              <w:t xml:space="preserve"> </w:t>
            </w:r>
            <w:r w:rsidRPr="003C1291">
              <w:rPr>
                <w:rFonts w:eastAsia="Times New Roman" w:cs="Arial"/>
                <w:color w:val="000000"/>
                <w:sz w:val="16"/>
                <w:szCs w:val="16"/>
              </w:rPr>
              <w:t>+4X PRESTAVITELNA POLICE</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2 092,06</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19.06.2020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94901</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REGAL SKLADOVY SUPER TYP:877850120 (1840X1050X400MM, POZINK)</w:t>
            </w:r>
            <w:r>
              <w:rPr>
                <w:rFonts w:eastAsia="Times New Roman" w:cs="Arial"/>
                <w:color w:val="000000"/>
                <w:sz w:val="16"/>
                <w:szCs w:val="16"/>
              </w:rPr>
              <w:t xml:space="preserve"> </w:t>
            </w:r>
            <w:r w:rsidRPr="003C1291">
              <w:rPr>
                <w:rFonts w:eastAsia="Times New Roman" w:cs="Arial"/>
                <w:color w:val="000000"/>
                <w:sz w:val="16"/>
                <w:szCs w:val="16"/>
              </w:rPr>
              <w:t>+5X PRESTAVITELNA POLICE</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2 400,05</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19.06.2020</w:t>
            </w:r>
          </w:p>
        </w:tc>
      </w:tr>
      <w:tr w:rsidTr="003C1291">
        <w:tblPrEx>
          <w:tblW w:w="14029" w:type="dxa"/>
          <w:tblCellMar>
            <w:left w:w="70" w:type="dxa"/>
            <w:right w:w="70" w:type="dxa"/>
          </w:tblCellMar>
          <w:tblLook w:val="04A0"/>
        </w:tblPrEx>
        <w:trPr>
          <w:trHeight w:val="499"/>
        </w:trPr>
        <w:tc>
          <w:tcPr>
            <w:tcW w:w="705"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94902</w:t>
            </w:r>
          </w:p>
        </w:tc>
        <w:tc>
          <w:tcPr>
            <w:tcW w:w="5852"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REGAL SKLADOVY SUPER TYP:877850120 (1840X1050X400MM, POZINK)</w:t>
            </w:r>
            <w:r>
              <w:rPr>
                <w:rFonts w:eastAsia="Times New Roman" w:cs="Arial"/>
                <w:color w:val="000000"/>
                <w:sz w:val="16"/>
                <w:szCs w:val="16"/>
              </w:rPr>
              <w:t xml:space="preserve"> </w:t>
            </w:r>
            <w:r w:rsidRPr="003C1291">
              <w:rPr>
                <w:rFonts w:eastAsia="Times New Roman" w:cs="Arial"/>
                <w:color w:val="000000"/>
                <w:sz w:val="16"/>
                <w:szCs w:val="16"/>
              </w:rPr>
              <w:t>+5X PRESTAVITELNA POLICE</w:t>
            </w:r>
          </w:p>
        </w:tc>
        <w:tc>
          <w:tcPr>
            <w:tcW w:w="1418" w:type="dxa"/>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2 400,05</w:t>
            </w:r>
          </w:p>
        </w:tc>
        <w:tc>
          <w:tcPr>
            <w:tcW w:w="992"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19.06.2020</w:t>
            </w:r>
          </w:p>
        </w:tc>
      </w:tr>
      <w:tr w:rsidTr="003C1291">
        <w:tblPrEx>
          <w:tblW w:w="14029" w:type="dxa"/>
          <w:tblCellMar>
            <w:left w:w="70" w:type="dxa"/>
            <w:right w:w="70" w:type="dxa"/>
          </w:tblCellMar>
          <w:tblLook w:val="04A0"/>
        </w:tblPrEx>
        <w:trPr>
          <w:trHeight w:val="499"/>
        </w:trPr>
        <w:tc>
          <w:tcPr>
            <w:tcW w:w="705"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EVHM</w:t>
            </w:r>
          </w:p>
        </w:tc>
        <w:tc>
          <w:tcPr>
            <w:tcW w:w="566"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98736</w:t>
            </w:r>
          </w:p>
        </w:tc>
        <w:tc>
          <w:tcPr>
            <w:tcW w:w="5852"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STUL PRACOVNI  180 cm S PRISEDEM 200 cm (</w:t>
            </w:r>
            <w:r w:rsidRPr="003C1291">
              <w:rPr>
                <w:rFonts w:eastAsia="Times New Roman" w:cs="Arial"/>
                <w:color w:val="000000"/>
                <w:sz w:val="16"/>
                <w:szCs w:val="16"/>
              </w:rPr>
              <w:t>ved</w:t>
            </w:r>
            <w:r w:rsidRPr="003C1291">
              <w:rPr>
                <w:rFonts w:eastAsia="Times New Roman" w:cs="Arial"/>
                <w:color w:val="000000"/>
                <w:sz w:val="16"/>
                <w:szCs w:val="16"/>
              </w:rPr>
              <w:t>. odd. + sekret.)</w:t>
            </w:r>
          </w:p>
        </w:tc>
        <w:tc>
          <w:tcPr>
            <w:tcW w:w="1418" w:type="dxa"/>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414,04</w:t>
            </w:r>
          </w:p>
        </w:tc>
        <w:tc>
          <w:tcPr>
            <w:tcW w:w="992"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902 100</w:t>
            </w:r>
          </w:p>
        </w:tc>
        <w:tc>
          <w:tcPr>
            <w:tcW w:w="1417" w:type="dxa"/>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30.09.2021</w:t>
            </w:r>
          </w:p>
        </w:tc>
      </w:tr>
      <w:tr w:rsidTr="003C1291">
        <w:tblPrEx>
          <w:tblW w:w="14029" w:type="dxa"/>
          <w:tblCellMar>
            <w:left w:w="70" w:type="dxa"/>
            <w:right w:w="70" w:type="dxa"/>
          </w:tblCellMar>
          <w:tblLook w:val="04A0"/>
        </w:tblPrEx>
        <w:trPr>
          <w:trHeight w:val="499"/>
        </w:trPr>
        <w:tc>
          <w:tcPr>
            <w:tcW w:w="705" w:type="dxa"/>
            <w:tcBorders>
              <w:bottom w:val="single" w:sz="4" w:space="0" w:color="auto"/>
            </w:tcBorders>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DDHM</w:t>
            </w:r>
          </w:p>
        </w:tc>
        <w:tc>
          <w:tcPr>
            <w:tcW w:w="566" w:type="dxa"/>
            <w:tcBorders>
              <w:bottom w:val="single" w:sz="4" w:space="0" w:color="auto"/>
            </w:tcBorders>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tcBorders>
              <w:bottom w:val="single" w:sz="4" w:space="0" w:color="auto"/>
            </w:tcBorders>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101728</w:t>
            </w:r>
          </w:p>
        </w:tc>
        <w:tc>
          <w:tcPr>
            <w:tcW w:w="5852" w:type="dxa"/>
            <w:tcBorders>
              <w:bottom w:val="single" w:sz="4" w:space="0" w:color="auto"/>
            </w:tcBorders>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SKRIN CHLADICI TELCOLD, UR40G</w:t>
            </w:r>
          </w:p>
        </w:tc>
        <w:tc>
          <w:tcPr>
            <w:tcW w:w="1418" w:type="dxa"/>
            <w:tcBorders>
              <w:bottom w:val="single" w:sz="4" w:space="0" w:color="auto"/>
            </w:tcBorders>
            <w:shd w:val="clear" w:color="F0F0F0" w:fill="F0F0F0"/>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19 940,00</w:t>
            </w:r>
          </w:p>
        </w:tc>
        <w:tc>
          <w:tcPr>
            <w:tcW w:w="992" w:type="dxa"/>
            <w:tcBorders>
              <w:bottom w:val="single" w:sz="4" w:space="0" w:color="auto"/>
            </w:tcBorders>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028 200</w:t>
            </w:r>
          </w:p>
        </w:tc>
        <w:tc>
          <w:tcPr>
            <w:tcW w:w="1417" w:type="dxa"/>
            <w:tcBorders>
              <w:bottom w:val="single" w:sz="4" w:space="0" w:color="auto"/>
            </w:tcBorders>
            <w:shd w:val="clear" w:color="F0F0F0" w:fill="F0F0F0"/>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tcBorders>
              <w:bottom w:val="single" w:sz="4" w:space="0" w:color="auto"/>
            </w:tcBorders>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tcBorders>
              <w:bottom w:val="single" w:sz="4" w:space="0" w:color="auto"/>
            </w:tcBorders>
            <w:shd w:val="clear" w:color="F0F0F0" w:fill="F0F0F0"/>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29.03.2023</w:t>
            </w:r>
          </w:p>
        </w:tc>
      </w:tr>
      <w:tr w:rsidTr="003C1291">
        <w:tblPrEx>
          <w:tblW w:w="14029" w:type="dxa"/>
          <w:tblCellMar>
            <w:left w:w="70" w:type="dxa"/>
            <w:right w:w="70" w:type="dxa"/>
          </w:tblCellMar>
          <w:tblLook w:val="04A0"/>
        </w:tblPrEx>
        <w:trPr>
          <w:trHeight w:val="499"/>
        </w:trPr>
        <w:tc>
          <w:tcPr>
            <w:tcW w:w="705" w:type="dxa"/>
            <w:tcBorders>
              <w:bottom w:val="single" w:sz="4" w:space="0" w:color="auto"/>
            </w:tcBorders>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DDHM</w:t>
            </w:r>
          </w:p>
        </w:tc>
        <w:tc>
          <w:tcPr>
            <w:tcW w:w="566" w:type="dxa"/>
            <w:tcBorders>
              <w:bottom w:val="single" w:sz="4" w:space="0" w:color="auto"/>
            </w:tcBorders>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PRO</w:t>
            </w:r>
          </w:p>
        </w:tc>
        <w:tc>
          <w:tcPr>
            <w:tcW w:w="952" w:type="dxa"/>
            <w:tcBorders>
              <w:bottom w:val="single" w:sz="4" w:space="0" w:color="auto"/>
            </w:tcBorders>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101764</w:t>
            </w:r>
          </w:p>
        </w:tc>
        <w:tc>
          <w:tcPr>
            <w:tcW w:w="5852" w:type="dxa"/>
            <w:tcBorders>
              <w:bottom w:val="single" w:sz="4" w:space="0" w:color="auto"/>
            </w:tcBorders>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VOZIK PLOSINOVY, 4x NIZKE PLETIVO, 1200x800 mm</w:t>
            </w:r>
          </w:p>
        </w:tc>
        <w:tc>
          <w:tcPr>
            <w:tcW w:w="1418" w:type="dxa"/>
            <w:tcBorders>
              <w:bottom w:val="single" w:sz="4" w:space="0" w:color="auto"/>
            </w:tcBorders>
            <w:shd w:val="clear" w:color="FFFFFF" w:fill="FFFFFF"/>
            <w:vAlign w:val="center"/>
            <w:hideMark/>
          </w:tcPr>
          <w:p w:rsidR="003C1291" w:rsidRPr="003C1291" w:rsidP="003C1291">
            <w:pPr>
              <w:spacing w:after="0" w:line="240" w:lineRule="auto"/>
              <w:jc w:val="right"/>
              <w:rPr>
                <w:rFonts w:eastAsia="Times New Roman" w:cs="Arial"/>
                <w:color w:val="000000"/>
                <w:sz w:val="16"/>
                <w:szCs w:val="16"/>
              </w:rPr>
            </w:pPr>
            <w:r w:rsidRPr="003C1291">
              <w:rPr>
                <w:rFonts w:eastAsia="Times New Roman" w:cs="Arial"/>
                <w:color w:val="000000"/>
                <w:sz w:val="16"/>
                <w:szCs w:val="16"/>
              </w:rPr>
              <w:t>4 576,22</w:t>
            </w:r>
          </w:p>
        </w:tc>
        <w:tc>
          <w:tcPr>
            <w:tcW w:w="992" w:type="dxa"/>
            <w:tcBorders>
              <w:bottom w:val="single" w:sz="4" w:space="0" w:color="auto"/>
            </w:tcBorders>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028 200</w:t>
            </w:r>
          </w:p>
        </w:tc>
        <w:tc>
          <w:tcPr>
            <w:tcW w:w="1417" w:type="dxa"/>
            <w:tcBorders>
              <w:bottom w:val="single" w:sz="4" w:space="0" w:color="auto"/>
            </w:tcBorders>
            <w:shd w:val="clear" w:color="FFFFFF" w:fill="FFFFFF"/>
            <w:vAlign w:val="center"/>
            <w:hideMark/>
          </w:tcPr>
          <w:p w:rsidR="003C1291" w:rsidRPr="003C1291" w:rsidP="003C1291">
            <w:pPr>
              <w:spacing w:after="0" w:line="240" w:lineRule="auto"/>
              <w:jc w:val="left"/>
              <w:rPr>
                <w:rFonts w:eastAsia="Times New Roman" w:cs="Arial"/>
                <w:color w:val="000000"/>
                <w:sz w:val="16"/>
                <w:szCs w:val="16"/>
              </w:rPr>
            </w:pPr>
            <w:r w:rsidRPr="003C1291">
              <w:rPr>
                <w:rFonts w:eastAsia="Times New Roman" w:cs="Arial"/>
                <w:color w:val="000000"/>
                <w:sz w:val="16"/>
                <w:szCs w:val="16"/>
              </w:rPr>
              <w:t>093120013000</w:t>
            </w:r>
          </w:p>
        </w:tc>
        <w:tc>
          <w:tcPr>
            <w:tcW w:w="709" w:type="dxa"/>
            <w:tcBorders>
              <w:bottom w:val="single" w:sz="4" w:space="0" w:color="auto"/>
            </w:tcBorders>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401</w:t>
            </w:r>
          </w:p>
        </w:tc>
        <w:tc>
          <w:tcPr>
            <w:tcW w:w="1418" w:type="dxa"/>
            <w:tcBorders>
              <w:bottom w:val="single" w:sz="4" w:space="0" w:color="auto"/>
            </w:tcBorders>
            <w:shd w:val="clear" w:color="FFFFFF" w:fill="FFFFFF"/>
            <w:vAlign w:val="center"/>
            <w:hideMark/>
          </w:tcPr>
          <w:p w:rsidR="003C1291" w:rsidRPr="003C1291" w:rsidP="003C1291">
            <w:pPr>
              <w:spacing w:after="0" w:line="240" w:lineRule="auto"/>
              <w:jc w:val="center"/>
              <w:rPr>
                <w:rFonts w:eastAsia="Times New Roman" w:cs="Arial"/>
                <w:color w:val="000000"/>
                <w:sz w:val="16"/>
                <w:szCs w:val="16"/>
              </w:rPr>
            </w:pPr>
            <w:r w:rsidRPr="003C1291">
              <w:rPr>
                <w:rFonts w:eastAsia="Times New Roman" w:cs="Arial"/>
                <w:color w:val="000000"/>
                <w:sz w:val="16"/>
                <w:szCs w:val="16"/>
              </w:rPr>
              <w:t>20.04.2023</w:t>
            </w:r>
          </w:p>
        </w:tc>
      </w:tr>
      <w:tr w:rsidTr="003C1291">
        <w:tblPrEx>
          <w:tblW w:w="14029" w:type="dxa"/>
          <w:tblCellMar>
            <w:left w:w="70" w:type="dxa"/>
            <w:right w:w="70" w:type="dxa"/>
          </w:tblCellMar>
          <w:tblLook w:val="04A0"/>
        </w:tblPrEx>
        <w:trPr>
          <w:trHeight w:val="396"/>
        </w:trPr>
        <w:tc>
          <w:tcPr>
            <w:tcW w:w="705"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left"/>
              <w:rPr>
                <w:rFonts w:eastAsia="Times New Roman" w:cs="Arial"/>
                <w:b/>
                <w:bCs/>
                <w:color w:val="000000"/>
                <w:sz w:val="16"/>
                <w:szCs w:val="16"/>
              </w:rPr>
            </w:pPr>
            <w:r w:rsidRPr="003C1291">
              <w:rPr>
                <w:rFonts w:eastAsia="Times New Roman" w:cs="Arial"/>
                <w:b/>
                <w:bCs/>
                <w:color w:val="000000"/>
                <w:sz w:val="16"/>
                <w:szCs w:val="16"/>
              </w:rPr>
              <w:t> </w:t>
            </w:r>
          </w:p>
        </w:tc>
        <w:tc>
          <w:tcPr>
            <w:tcW w:w="566"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left"/>
              <w:rPr>
                <w:rFonts w:eastAsia="Times New Roman" w:cs="Arial"/>
                <w:b/>
                <w:bCs/>
                <w:color w:val="000000"/>
                <w:sz w:val="16"/>
                <w:szCs w:val="16"/>
              </w:rPr>
            </w:pPr>
            <w:r w:rsidRPr="003C1291">
              <w:rPr>
                <w:rFonts w:eastAsia="Times New Roman" w:cs="Arial"/>
                <w:b/>
                <w:bCs/>
                <w:color w:val="000000"/>
                <w:sz w:val="16"/>
                <w:szCs w:val="16"/>
              </w:rPr>
              <w:t> </w:t>
            </w:r>
          </w:p>
        </w:tc>
        <w:tc>
          <w:tcPr>
            <w:tcW w:w="952"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right"/>
              <w:rPr>
                <w:rFonts w:eastAsia="Times New Roman" w:cs="Arial"/>
                <w:b/>
                <w:bCs/>
                <w:color w:val="000000"/>
                <w:sz w:val="16"/>
                <w:szCs w:val="16"/>
              </w:rPr>
            </w:pPr>
            <w:r w:rsidRPr="003C1291">
              <w:rPr>
                <w:rFonts w:eastAsia="Times New Roman" w:cs="Arial"/>
                <w:b/>
                <w:bCs/>
                <w:color w:val="000000"/>
                <w:sz w:val="16"/>
                <w:szCs w:val="16"/>
              </w:rPr>
              <w:t> </w:t>
            </w:r>
          </w:p>
        </w:tc>
        <w:tc>
          <w:tcPr>
            <w:tcW w:w="5852"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left"/>
              <w:rPr>
                <w:rFonts w:eastAsia="Times New Roman" w:cs="Arial"/>
                <w:b/>
                <w:bCs/>
                <w:color w:val="000000"/>
                <w:sz w:val="16"/>
                <w:szCs w:val="16"/>
              </w:rPr>
            </w:pPr>
            <w:r w:rsidRPr="003C1291">
              <w:rPr>
                <w:rFonts w:eastAsia="Times New Roman" w:cs="Arial"/>
                <w:b/>
                <w:bCs/>
                <w:color w:val="000000"/>
                <w:sz w:val="16"/>
                <w:szCs w:val="16"/>
              </w:rPr>
              <w:t> </w:t>
            </w:r>
          </w:p>
        </w:tc>
        <w:tc>
          <w:tcPr>
            <w:tcW w:w="1418"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right"/>
              <w:rPr>
                <w:rFonts w:eastAsia="Times New Roman" w:cs="Arial"/>
                <w:b/>
                <w:bCs/>
                <w:color w:val="000000"/>
                <w:sz w:val="16"/>
                <w:szCs w:val="16"/>
              </w:rPr>
            </w:pPr>
            <w:r w:rsidRPr="003C1291">
              <w:rPr>
                <w:rFonts w:eastAsia="Times New Roman" w:cs="Arial"/>
                <w:b/>
                <w:bCs/>
                <w:color w:val="000000"/>
                <w:sz w:val="16"/>
                <w:szCs w:val="16"/>
              </w:rPr>
              <w:t>Σ 565 390,11</w:t>
            </w:r>
          </w:p>
        </w:tc>
        <w:tc>
          <w:tcPr>
            <w:tcW w:w="992"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 </w:t>
            </w:r>
          </w:p>
        </w:tc>
        <w:tc>
          <w:tcPr>
            <w:tcW w:w="1417"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left"/>
              <w:rPr>
                <w:rFonts w:eastAsia="Times New Roman" w:cs="Arial"/>
                <w:b/>
                <w:bCs/>
                <w:color w:val="000000"/>
                <w:sz w:val="16"/>
                <w:szCs w:val="16"/>
              </w:rPr>
            </w:pPr>
            <w:r w:rsidRPr="003C1291">
              <w:rPr>
                <w:rFonts w:eastAsia="Times New Roman" w:cs="Arial"/>
                <w:b/>
                <w:bCs/>
                <w:color w:val="000000"/>
                <w:sz w:val="16"/>
                <w:szCs w:val="16"/>
              </w:rPr>
              <w:t> </w:t>
            </w:r>
          </w:p>
        </w:tc>
        <w:tc>
          <w:tcPr>
            <w:tcW w:w="709"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 </w:t>
            </w:r>
          </w:p>
        </w:tc>
        <w:tc>
          <w:tcPr>
            <w:tcW w:w="1418" w:type="dxa"/>
            <w:tcBorders>
              <w:top w:val="single" w:sz="4" w:space="0" w:color="auto"/>
              <w:left w:val="nil"/>
              <w:bottom w:val="nil"/>
              <w:right w:val="nil"/>
            </w:tcBorders>
            <w:shd w:val="clear" w:color="FFFFFF" w:fill="FFFFFF"/>
            <w:vAlign w:val="center"/>
            <w:hideMark/>
          </w:tcPr>
          <w:p w:rsidR="003C1291" w:rsidRPr="003C1291" w:rsidP="003C1291">
            <w:pPr>
              <w:spacing w:after="0" w:line="240" w:lineRule="auto"/>
              <w:jc w:val="center"/>
              <w:rPr>
                <w:rFonts w:eastAsia="Times New Roman" w:cs="Arial"/>
                <w:b/>
                <w:bCs/>
                <w:color w:val="000000"/>
                <w:sz w:val="16"/>
                <w:szCs w:val="16"/>
              </w:rPr>
            </w:pPr>
            <w:r w:rsidRPr="003C1291">
              <w:rPr>
                <w:rFonts w:eastAsia="Times New Roman" w:cs="Arial"/>
                <w:b/>
                <w:bCs/>
                <w:color w:val="000000"/>
                <w:sz w:val="16"/>
                <w:szCs w:val="16"/>
              </w:rPr>
              <w:t> </w:t>
            </w:r>
          </w:p>
        </w:tc>
      </w:tr>
      <w:tr w:rsidTr="003C1291">
        <w:tblPrEx>
          <w:tblW w:w="14029" w:type="dxa"/>
          <w:tblCellMar>
            <w:left w:w="70" w:type="dxa"/>
            <w:right w:w="70" w:type="dxa"/>
          </w:tblCellMar>
          <w:tblLook w:val="04A0"/>
        </w:tblPrEx>
        <w:trPr>
          <w:trHeight w:val="282"/>
        </w:trPr>
        <w:tc>
          <w:tcPr>
            <w:tcW w:w="14029" w:type="dxa"/>
            <w:gridSpan w:val="9"/>
            <w:tcBorders>
              <w:top w:val="nil"/>
              <w:left w:val="nil"/>
              <w:bottom w:val="nil"/>
              <w:right w:val="nil"/>
            </w:tcBorders>
            <w:shd w:val="clear" w:color="FFFFFF" w:fill="FFFFFF"/>
            <w:vAlign w:val="center"/>
            <w:hideMark/>
          </w:tcPr>
          <w:p w:rsidR="003C1291" w:rsidRPr="003C1291" w:rsidP="003C1291">
            <w:pPr>
              <w:spacing w:after="0" w:line="240" w:lineRule="auto"/>
              <w:jc w:val="left"/>
              <w:rPr>
                <w:rFonts w:ascii="Calibri" w:eastAsia="Times New Roman" w:hAnsi="Calibri" w:cs="Calibri"/>
                <w:sz w:val="22"/>
              </w:rPr>
            </w:pPr>
            <w:r w:rsidRPr="003C1291">
              <w:rPr>
                <w:rFonts w:eastAsia="Times New Roman" w:cs="Arial"/>
                <w:b/>
                <w:bCs/>
                <w:color w:val="000000"/>
                <w:sz w:val="16"/>
                <w:szCs w:val="16"/>
              </w:rPr>
              <w:t xml:space="preserve">Počet položek: </w:t>
            </w:r>
            <w:r w:rsidRPr="003C1291">
              <w:rPr>
                <w:rFonts w:eastAsia="Times New Roman" w:cs="Arial"/>
                <w:color w:val="000000"/>
                <w:sz w:val="16"/>
                <w:szCs w:val="16"/>
              </w:rPr>
              <w:t>21</w:t>
            </w:r>
          </w:p>
        </w:tc>
      </w:tr>
    </w:tbl>
    <w:p w:rsidR="00D332C4" w:rsidP="00FB5AA5">
      <w:pPr>
        <w:pStyle w:val="Header"/>
        <w:spacing w:after="60"/>
        <w:jc w:val="center"/>
        <w:rPr>
          <w:b/>
        </w:rPr>
      </w:pPr>
    </w:p>
    <w:p w:rsidR="00D332C4" w:rsidP="00FB5AA5">
      <w:pPr>
        <w:pStyle w:val="Header"/>
        <w:spacing w:after="60"/>
        <w:jc w:val="center"/>
        <w:rPr>
          <w:b/>
        </w:rPr>
      </w:pPr>
    </w:p>
    <w:p w:rsidR="00D332C4" w:rsidP="00FB5AA5">
      <w:pPr>
        <w:pStyle w:val="Header"/>
        <w:spacing w:after="60"/>
        <w:jc w:val="center"/>
        <w:rPr>
          <w:b/>
        </w:rPr>
      </w:pPr>
    </w:p>
    <w:p w:rsidR="00D332C4" w:rsidP="00FB5AA5">
      <w:pPr>
        <w:pStyle w:val="Header"/>
        <w:spacing w:after="60"/>
        <w:jc w:val="center"/>
        <w:rPr>
          <w:b/>
        </w:rPr>
        <w:sectPr w:rsidSect="00D332C4">
          <w:pgSz w:w="16838" w:h="11906" w:orient="landscape"/>
          <w:pgMar w:top="1417" w:right="1417" w:bottom="1417" w:left="1417" w:header="708" w:footer="708" w:gutter="0"/>
          <w:cols w:space="708"/>
          <w:docGrid w:linePitch="360"/>
        </w:sectPr>
      </w:pPr>
    </w:p>
    <w:p w:rsidR="00FB5AA5" w:rsidP="00FB5AA5">
      <w:pPr>
        <w:pStyle w:val="Header"/>
        <w:spacing w:after="60"/>
        <w:jc w:val="center"/>
        <w:rPr>
          <w:b/>
        </w:rPr>
      </w:pPr>
      <w:r>
        <w:rPr>
          <w:b/>
        </w:rPr>
        <w:t>Příloha č. 4</w:t>
      </w:r>
    </w:p>
    <w:p w:rsidR="00FB5AA5" w:rsidP="00C45D9C">
      <w:pPr>
        <w:pStyle w:val="Header"/>
        <w:jc w:val="center"/>
        <w:rPr>
          <w:b/>
        </w:rPr>
      </w:pPr>
      <w:r>
        <w:rPr>
          <w:b/>
        </w:rPr>
        <w:t>Předávací protokol (vzor)</w:t>
      </w:r>
    </w:p>
    <w:p w:rsidR="00FC1822" w:rsidP="00FC1822">
      <w:pPr>
        <w:spacing w:after="0"/>
        <w:rPr>
          <w:rFonts w:cs="Arial"/>
          <w:snapToGrid w:val="0"/>
        </w:rPr>
      </w:pPr>
    </w:p>
    <w:p w:rsidR="00D332C4" w:rsidP="00D332C4">
      <w:pPr>
        <w:ind w:firstLine="567"/>
        <w:jc w:val="center"/>
        <w:rPr>
          <w:b/>
          <w:sz w:val="32"/>
          <w:szCs w:val="32"/>
        </w:rPr>
      </w:pPr>
      <w:r w:rsidRPr="0058037A">
        <w:rPr>
          <w:b/>
          <w:sz w:val="32"/>
          <w:szCs w:val="32"/>
        </w:rPr>
        <w:t>PŘEDÁVACÍ PROTOKOL</w:t>
      </w:r>
    </w:p>
    <w:p w:rsidR="00D332C4" w:rsidP="00D332C4">
      <w:pPr>
        <w:spacing w:after="60"/>
        <w:jc w:val="center"/>
        <w:rPr>
          <w:rFonts w:cs="Arial"/>
          <w:b/>
          <w:snapToGrid w:val="0"/>
        </w:rPr>
      </w:pPr>
    </w:p>
    <w:tbl>
      <w:tblPr>
        <w:tblStyle w:val="TableGrid"/>
        <w:tblW w:w="9067" w:type="dxa"/>
        <w:tblLook w:val="04A0"/>
      </w:tblPr>
      <w:tblGrid>
        <w:gridCol w:w="4106"/>
        <w:gridCol w:w="851"/>
        <w:gridCol w:w="4110"/>
      </w:tblGrid>
      <w:tr w:rsidTr="004D51BE">
        <w:tblPrEx>
          <w:tblW w:w="9067" w:type="dxa"/>
          <w:tblLook w:val="04A0"/>
        </w:tblPrEx>
        <w:tc>
          <w:tcPr>
            <w:tcW w:w="4106" w:type="dxa"/>
          </w:tcPr>
          <w:p w:rsidR="00D332C4" w:rsidP="00ED1E0B">
            <w:pPr>
              <w:tabs>
                <w:tab w:val="left" w:pos="4395"/>
              </w:tabs>
              <w:spacing w:before="120" w:after="60"/>
              <w:rPr>
                <w:rFonts w:cs="Arial"/>
                <w:b/>
              </w:rPr>
            </w:pPr>
            <w:r>
              <w:rPr>
                <w:rFonts w:cs="Arial"/>
                <w:b/>
              </w:rPr>
              <w:t>Pronajímatel – Předávající</w:t>
            </w:r>
            <w:r w:rsidRPr="006745B5">
              <w:rPr>
                <w:rFonts w:cs="Arial"/>
                <w:b/>
              </w:rPr>
              <w:t>:</w:t>
            </w:r>
          </w:p>
          <w:p w:rsidR="00D332C4" w:rsidRPr="00691825" w:rsidP="00D332C4">
            <w:pPr>
              <w:tabs>
                <w:tab w:val="left" w:pos="4395"/>
              </w:tabs>
              <w:spacing w:after="60"/>
              <w:rPr>
                <w:rFonts w:cs="Arial"/>
                <w:b/>
                <w:szCs w:val="20"/>
              </w:rPr>
            </w:pPr>
          </w:p>
          <w:p w:rsidR="00D332C4" w:rsidRPr="00257BF4" w:rsidP="00D332C4">
            <w:pPr>
              <w:pStyle w:val="NoSpacing"/>
              <w:spacing w:after="60"/>
              <w:rPr>
                <w:rFonts w:ascii="Arial" w:hAnsi="Arial" w:cs="Arial"/>
                <w:sz w:val="20"/>
                <w:szCs w:val="20"/>
              </w:rPr>
            </w:pPr>
            <w:r w:rsidRPr="00257BF4">
              <w:rPr>
                <w:rFonts w:ascii="Arial" w:hAnsi="Arial" w:cs="Arial"/>
                <w:sz w:val="20"/>
                <w:szCs w:val="20"/>
              </w:rPr>
              <w:t>Česká republika – Ministerstvo financí</w:t>
            </w:r>
          </w:p>
          <w:p w:rsidR="00D332C4" w:rsidP="00D332C4">
            <w:pPr>
              <w:pStyle w:val="NoSpacing"/>
              <w:spacing w:after="60"/>
              <w:rPr>
                <w:rFonts w:ascii="Arial" w:hAnsi="Arial" w:cs="Arial"/>
                <w:sz w:val="20"/>
                <w:szCs w:val="20"/>
              </w:rPr>
            </w:pPr>
            <w:r w:rsidRPr="00257BF4">
              <w:rPr>
                <w:rFonts w:ascii="Arial" w:hAnsi="Arial" w:cs="Arial"/>
                <w:sz w:val="20"/>
                <w:szCs w:val="20"/>
              </w:rPr>
              <w:t xml:space="preserve">Letenská </w:t>
            </w:r>
            <w:r>
              <w:rPr>
                <w:rFonts w:ascii="Arial" w:hAnsi="Arial" w:cs="Arial"/>
                <w:sz w:val="20"/>
                <w:szCs w:val="20"/>
              </w:rPr>
              <w:t>525/</w:t>
            </w:r>
            <w:r w:rsidRPr="00257BF4">
              <w:rPr>
                <w:rFonts w:ascii="Arial" w:hAnsi="Arial" w:cs="Arial"/>
                <w:sz w:val="20"/>
                <w:szCs w:val="20"/>
              </w:rPr>
              <w:t>15</w:t>
            </w:r>
            <w:r>
              <w:rPr>
                <w:rFonts w:ascii="Arial" w:hAnsi="Arial" w:cs="Arial"/>
                <w:sz w:val="20"/>
                <w:szCs w:val="20"/>
              </w:rPr>
              <w:t xml:space="preserve">, </w:t>
            </w:r>
            <w:r w:rsidRPr="00257BF4">
              <w:rPr>
                <w:rFonts w:ascii="Arial" w:hAnsi="Arial" w:cs="Arial"/>
                <w:sz w:val="20"/>
                <w:szCs w:val="20"/>
              </w:rPr>
              <w:t>118 10 Praha 1</w:t>
            </w:r>
          </w:p>
          <w:p w:rsidR="00D332C4" w:rsidP="00D332C4">
            <w:pPr>
              <w:pStyle w:val="NoSpacing"/>
              <w:spacing w:after="60"/>
              <w:rPr>
                <w:rFonts w:ascii="Arial" w:hAnsi="Arial" w:cs="Arial"/>
                <w:sz w:val="20"/>
                <w:szCs w:val="20"/>
              </w:rPr>
            </w:pPr>
            <w:r>
              <w:rPr>
                <w:rFonts w:ascii="Arial" w:hAnsi="Arial" w:cs="Arial"/>
                <w:sz w:val="20"/>
                <w:szCs w:val="20"/>
              </w:rPr>
              <w:t>IČO: 00006947</w:t>
            </w:r>
          </w:p>
          <w:p w:rsidR="00D332C4" w:rsidRPr="00257BF4" w:rsidP="00D332C4">
            <w:pPr>
              <w:pStyle w:val="NoSpacing"/>
              <w:spacing w:after="60"/>
            </w:pPr>
            <w:r>
              <w:rPr>
                <w:rFonts w:ascii="Arial" w:hAnsi="Arial" w:cs="Arial"/>
                <w:sz w:val="20"/>
                <w:szCs w:val="20"/>
              </w:rPr>
              <w:t>DIČ: CZ00006947</w:t>
            </w:r>
          </w:p>
          <w:p w:rsidR="00D332C4" w:rsidP="00D332C4">
            <w:pPr>
              <w:spacing w:after="60"/>
              <w:jc w:val="center"/>
              <w:rPr>
                <w:rFonts w:cs="Arial"/>
                <w:b/>
                <w:snapToGrid w:val="0"/>
              </w:rPr>
            </w:pPr>
          </w:p>
        </w:tc>
        <w:tc>
          <w:tcPr>
            <w:tcW w:w="851" w:type="dxa"/>
            <w:tcBorders>
              <w:top w:val="nil"/>
              <w:bottom w:val="nil"/>
            </w:tcBorders>
          </w:tcPr>
          <w:p w:rsidR="00D332C4" w:rsidP="00D332C4">
            <w:pPr>
              <w:spacing w:after="60"/>
              <w:jc w:val="center"/>
              <w:rPr>
                <w:rFonts w:cs="Arial"/>
                <w:b/>
                <w:snapToGrid w:val="0"/>
              </w:rPr>
            </w:pPr>
          </w:p>
        </w:tc>
        <w:tc>
          <w:tcPr>
            <w:tcW w:w="4110" w:type="dxa"/>
          </w:tcPr>
          <w:p w:rsidR="00D332C4" w:rsidP="00ED1E0B">
            <w:pPr>
              <w:tabs>
                <w:tab w:val="left" w:pos="4395"/>
              </w:tabs>
              <w:spacing w:before="120" w:after="60"/>
              <w:rPr>
                <w:rFonts w:cs="Arial"/>
                <w:b/>
              </w:rPr>
            </w:pPr>
            <w:r>
              <w:rPr>
                <w:rFonts w:cs="Arial"/>
                <w:b/>
              </w:rPr>
              <w:t>Nájemce – Pře</w:t>
            </w:r>
            <w:r w:rsidR="00ED1E0B">
              <w:rPr>
                <w:rFonts w:cs="Arial"/>
                <w:b/>
              </w:rPr>
              <w:t>jíma</w:t>
            </w:r>
            <w:r>
              <w:rPr>
                <w:rFonts w:cs="Arial"/>
                <w:b/>
              </w:rPr>
              <w:t>jící</w:t>
            </w:r>
            <w:r w:rsidRPr="00257BF4">
              <w:rPr>
                <w:rFonts w:cs="Arial"/>
                <w:b/>
              </w:rPr>
              <w:t>:</w:t>
            </w:r>
          </w:p>
          <w:p w:rsidR="00D332C4" w:rsidP="00D332C4">
            <w:pPr>
              <w:spacing w:after="60"/>
              <w:rPr>
                <w:rFonts w:cs="Arial"/>
                <w:b/>
                <w:snapToGrid w:val="0"/>
              </w:rPr>
            </w:pPr>
          </w:p>
          <w:p w:rsidR="00D332C4" w:rsidP="00D332C4">
            <w:pPr>
              <w:spacing w:after="60"/>
              <w:rPr>
                <w:rFonts w:cs="Arial"/>
                <w:b/>
                <w:snapToGrid w:val="0"/>
              </w:rPr>
            </w:pPr>
            <w:r>
              <w:rPr>
                <w:rFonts w:cs="Arial"/>
              </w:rPr>
              <w:t>[</w:t>
            </w:r>
            <w:r w:rsidRPr="00754174">
              <w:rPr>
                <w:highlight w:val="green"/>
              </w:rPr>
              <w:t xml:space="preserve">doplní </w:t>
            </w:r>
            <w:r>
              <w:rPr>
                <w:highlight w:val="green"/>
              </w:rPr>
              <w:t>Pronajímatel</w:t>
            </w:r>
            <w:r w:rsidRPr="00754174">
              <w:rPr>
                <w:highlight w:val="green"/>
              </w:rPr>
              <w:t xml:space="preserve"> před podpisem Smlouvy</w:t>
            </w:r>
            <w:r>
              <w:rPr>
                <w:rFonts w:cs="Arial"/>
              </w:rPr>
              <w:t>]</w:t>
            </w:r>
          </w:p>
        </w:tc>
      </w:tr>
    </w:tbl>
    <w:p w:rsidR="00D332C4" w:rsidP="00D332C4">
      <w:pPr>
        <w:spacing w:after="60"/>
        <w:jc w:val="center"/>
        <w:rPr>
          <w:rFonts w:cs="Arial"/>
          <w:b/>
          <w:snapToGrid w:val="0"/>
        </w:rPr>
      </w:pPr>
    </w:p>
    <w:p w:rsidR="00D332C4" w:rsidRPr="00B65A95" w:rsidP="00D332C4">
      <w:pPr>
        <w:rPr>
          <w:b/>
          <w:szCs w:val="24"/>
        </w:rPr>
      </w:pPr>
      <w:r w:rsidRPr="00B65A95">
        <w:rPr>
          <w:b/>
          <w:szCs w:val="24"/>
        </w:rPr>
        <w:t>Předmět předání a převzetí</w:t>
      </w:r>
    </w:p>
    <w:p w:rsidR="00D332C4" w:rsidP="00D332C4">
      <w:pPr>
        <w:spacing w:after="0"/>
        <w:rPr>
          <w:szCs w:val="24"/>
        </w:rPr>
      </w:pPr>
      <w:r w:rsidRPr="000447EE">
        <w:rPr>
          <w:szCs w:val="24"/>
        </w:rPr>
        <w:t xml:space="preserve">Předávající a Přejímající uzavřeli </w:t>
      </w:r>
      <w:r w:rsidRPr="00696085">
        <w:rPr>
          <w:szCs w:val="24"/>
        </w:rPr>
        <w:t xml:space="preserve">dne [●] </w:t>
      </w:r>
      <w:r w:rsidRPr="00696085">
        <w:rPr>
          <w:snapToGrid w:val="0"/>
        </w:rPr>
        <w:t>smlouvu</w:t>
      </w:r>
      <w:r>
        <w:rPr>
          <w:snapToGrid w:val="0"/>
        </w:rPr>
        <w:t xml:space="preserve"> o nájmu prostor sloužících k podnikání</w:t>
      </w:r>
      <w:r w:rsidRPr="000447EE">
        <w:rPr>
          <w:szCs w:val="24"/>
        </w:rPr>
        <w:t>,</w:t>
      </w:r>
      <w:r>
        <w:rPr>
          <w:szCs w:val="24"/>
        </w:rPr>
        <w:t xml:space="preserve"> </w:t>
      </w:r>
      <w:r>
        <w:rPr>
          <w:szCs w:val="24"/>
        </w:rPr>
        <w:br/>
      </w:r>
      <w:r w:rsidRPr="000447EE">
        <w:rPr>
          <w:szCs w:val="24"/>
        </w:rPr>
        <w:t xml:space="preserve">CES: </w:t>
      </w:r>
      <w:r>
        <w:rPr>
          <w:rFonts w:cs="Arial"/>
        </w:rPr>
        <w:t>[</w:t>
      </w:r>
      <w:r w:rsidRPr="00754174">
        <w:rPr>
          <w:highlight w:val="green"/>
        </w:rPr>
        <w:t xml:space="preserve">doplní </w:t>
      </w:r>
      <w:r>
        <w:rPr>
          <w:highlight w:val="green"/>
        </w:rPr>
        <w:t>Pronajímatel</w:t>
      </w:r>
      <w:r w:rsidRPr="00754174">
        <w:rPr>
          <w:highlight w:val="green"/>
        </w:rPr>
        <w:t xml:space="preserve"> před podpisem Smlouvy</w:t>
      </w:r>
      <w:r>
        <w:rPr>
          <w:rFonts w:cs="Arial"/>
        </w:rPr>
        <w:t>]</w:t>
      </w:r>
      <w:r w:rsidRPr="000447EE">
        <w:rPr>
          <w:szCs w:val="24"/>
        </w:rPr>
        <w:t xml:space="preserve"> (dále jen „</w:t>
      </w:r>
      <w:r w:rsidRPr="000447EE">
        <w:rPr>
          <w:b/>
          <w:szCs w:val="24"/>
        </w:rPr>
        <w:t>Smlouva</w:t>
      </w:r>
      <w:r w:rsidRPr="000447EE">
        <w:rPr>
          <w:szCs w:val="24"/>
        </w:rPr>
        <w:t>“), na základě které byl</w:t>
      </w:r>
      <w:r w:rsidR="007D4BB0">
        <w:rPr>
          <w:szCs w:val="24"/>
        </w:rPr>
        <w:t>y</w:t>
      </w:r>
      <w:r w:rsidRPr="000447EE">
        <w:rPr>
          <w:szCs w:val="24"/>
        </w:rPr>
        <w:t xml:space="preserve"> </w:t>
      </w:r>
      <w:r w:rsidR="00ED1E0B">
        <w:rPr>
          <w:szCs w:val="24"/>
        </w:rPr>
        <w:t>Přejímajícímu</w:t>
      </w:r>
      <w:r w:rsidRPr="000447EE">
        <w:rPr>
          <w:szCs w:val="24"/>
        </w:rPr>
        <w:t xml:space="preserve"> přenechán</w:t>
      </w:r>
      <w:r>
        <w:rPr>
          <w:szCs w:val="24"/>
        </w:rPr>
        <w:t>y</w:t>
      </w:r>
      <w:r w:rsidRPr="000447EE">
        <w:rPr>
          <w:szCs w:val="24"/>
        </w:rPr>
        <w:t xml:space="preserve"> do dočasného užívání </w:t>
      </w:r>
      <w:r w:rsidR="00000B4D">
        <w:t>N</w:t>
      </w:r>
      <w:r>
        <w:t>ebytové prostory umístěné v 1. nadzemním podlaží budovy</w:t>
      </w:r>
      <w:r w:rsidR="007D4BB0">
        <w:t xml:space="preserve"> </w:t>
      </w:r>
      <w:r>
        <w:t>č. p. 525, Letenská 15, Praha 1 – Malá Strana zapsané na listu vlastnictví č. 172 v katastru nemovitostí vedeném Katastrálním úřadem pro hlavní město Prahu, katastrálním pracovištěm Praha (dále jen „</w:t>
      </w:r>
      <w:r w:rsidRPr="00000B4D">
        <w:rPr>
          <w:b/>
          <w:bCs/>
        </w:rPr>
        <w:t>Objekt</w:t>
      </w:r>
      <w:r>
        <w:t>“).</w:t>
      </w:r>
    </w:p>
    <w:p w:rsidR="00ED1E0B" w:rsidP="00ED1E0B">
      <w:pPr>
        <w:rPr>
          <w:szCs w:val="24"/>
        </w:rPr>
      </w:pPr>
    </w:p>
    <w:p w:rsidR="00D332C4" w:rsidP="00D332C4">
      <w:pPr>
        <w:rPr>
          <w:szCs w:val="24"/>
        </w:rPr>
      </w:pPr>
      <w:r>
        <w:rPr>
          <w:szCs w:val="24"/>
        </w:rPr>
        <w:t>Předmětem převzetí jsou:</w:t>
      </w:r>
    </w:p>
    <w:p w:rsidR="00D332C4" w:rsidRPr="00E75244" w:rsidP="00D332C4">
      <w:pPr>
        <w:pStyle w:val="ListParagraph"/>
        <w:numPr>
          <w:ilvl w:val="0"/>
          <w:numId w:val="20"/>
        </w:numPr>
        <w:ind w:left="567" w:hanging="567"/>
        <w:rPr>
          <w:szCs w:val="24"/>
        </w:rPr>
      </w:pPr>
      <w:r>
        <w:t>Nebytové prostory o celkové výměře 71,13 m</w:t>
      </w:r>
      <w:r w:rsidRPr="00E75244">
        <w:rPr>
          <w:vertAlign w:val="superscript"/>
        </w:rPr>
        <w:t>2</w:t>
      </w:r>
      <w:r>
        <w:t xml:space="preserve"> umístěné v 1. nadzemním podlaží budovy C Objektu v rozsahu </w:t>
      </w:r>
      <w:r w:rsidR="00000B4D">
        <w:t>po</w:t>
      </w:r>
      <w:r>
        <w:t>dle Přílohy č. 1 Smlouvy</w:t>
      </w:r>
      <w:r w:rsidR="00000B4D">
        <w:t xml:space="preserve"> – Plán Nebytových prostor</w:t>
      </w:r>
      <w:r>
        <w:t>;</w:t>
      </w:r>
    </w:p>
    <w:p w:rsidR="00D332C4" w:rsidRPr="00ED1E0B" w:rsidP="00ED1E0B">
      <w:pPr>
        <w:pStyle w:val="ListParagraph"/>
        <w:numPr>
          <w:ilvl w:val="0"/>
          <w:numId w:val="20"/>
        </w:numPr>
        <w:spacing w:after="0"/>
        <w:ind w:left="567" w:hanging="567"/>
        <w:rPr>
          <w:szCs w:val="24"/>
        </w:rPr>
      </w:pPr>
      <w:r w:rsidRPr="00254B5D">
        <w:t xml:space="preserve">Movité vybavení v rozsahu </w:t>
      </w:r>
      <w:r w:rsidR="00000B4D">
        <w:t>po</w:t>
      </w:r>
      <w:r w:rsidRPr="00254B5D">
        <w:t>dle Přílohy č. 3 Smlouvy</w:t>
      </w:r>
      <w:r w:rsidR="00000B4D">
        <w:t xml:space="preserve"> – Seznam Movitého vybavení</w:t>
      </w:r>
      <w:r w:rsidRPr="00254B5D">
        <w:t>.</w:t>
      </w:r>
    </w:p>
    <w:p w:rsidR="00ED1E0B" w:rsidP="00ED1E0B">
      <w:pPr>
        <w:rPr>
          <w:szCs w:val="24"/>
        </w:rPr>
      </w:pPr>
    </w:p>
    <w:p w:rsidR="00D332C4" w:rsidP="00D332C4">
      <w:pPr>
        <w:spacing w:after="0"/>
        <w:rPr>
          <w:rFonts w:cs="Arial"/>
          <w:szCs w:val="20"/>
        </w:rPr>
      </w:pPr>
      <w:r w:rsidRPr="00254B5D">
        <w:rPr>
          <w:rFonts w:cs="Arial"/>
          <w:szCs w:val="20"/>
        </w:rPr>
        <w:t>Předávající podpisem tohoto Předávacího protokolu předává výše uvedené Nebytové prostory a Movité vybavení do užívání Přejímajícího. Přejímající si Nebytové prostory a Movité vybavení prohlédl, je mu znám jejich stav a v tomto stavu je přebírá.</w:t>
      </w:r>
    </w:p>
    <w:p w:rsidR="00D332C4" w:rsidP="00ED1E0B">
      <w:pPr>
        <w:rPr>
          <w:rFonts w:cs="Arial"/>
          <w:szCs w:val="20"/>
        </w:rPr>
      </w:pPr>
    </w:p>
    <w:p w:rsidR="00ED1E0B" w:rsidP="00D332C4">
      <w:pPr>
        <w:rPr>
          <w:rFonts w:cs="Arial"/>
          <w:szCs w:val="20"/>
        </w:rPr>
      </w:pPr>
      <w:r>
        <w:rPr>
          <w:rFonts w:cs="Arial"/>
          <w:szCs w:val="20"/>
        </w:rPr>
        <w:t>Předávající dále předal Přejímajícímu:</w:t>
      </w:r>
    </w:p>
    <w:p w:rsidR="00ED1E0B" w:rsidP="00ED1E0B">
      <w:pPr>
        <w:ind w:left="567" w:hanging="567"/>
        <w:rPr>
          <w:szCs w:val="24"/>
        </w:rPr>
      </w:pPr>
      <w:r>
        <w:rPr>
          <w:szCs w:val="24"/>
        </w:rPr>
        <w:t xml:space="preserve">a) </w:t>
      </w:r>
      <w:r>
        <w:rPr>
          <w:szCs w:val="24"/>
        </w:rPr>
        <w:tab/>
      </w:r>
      <w:r w:rsidRPr="00696085">
        <w:rPr>
          <w:szCs w:val="24"/>
        </w:rPr>
        <w:t>[●]</w:t>
      </w:r>
      <w:r>
        <w:rPr>
          <w:szCs w:val="24"/>
        </w:rPr>
        <w:t xml:space="preserve"> ks identifikačních karet sloužících ke vstupu do Objektu;</w:t>
      </w:r>
    </w:p>
    <w:p w:rsidR="00ED1E0B" w:rsidP="00ED1E0B">
      <w:pPr>
        <w:ind w:left="567" w:hanging="567"/>
        <w:rPr>
          <w:rFonts w:cs="Arial"/>
          <w:szCs w:val="20"/>
        </w:rPr>
      </w:pPr>
      <w:r>
        <w:rPr>
          <w:szCs w:val="24"/>
        </w:rPr>
        <w:t>b)</w:t>
      </w:r>
      <w:r>
        <w:rPr>
          <w:szCs w:val="24"/>
        </w:rPr>
        <w:tab/>
      </w:r>
      <w:r w:rsidRPr="00696085">
        <w:rPr>
          <w:szCs w:val="24"/>
        </w:rPr>
        <w:t>[●]</w:t>
      </w:r>
      <w:r>
        <w:rPr>
          <w:szCs w:val="24"/>
        </w:rPr>
        <w:t xml:space="preserve"> ks klíčů od Nebytových prostor.</w:t>
      </w:r>
    </w:p>
    <w:p w:rsidR="00ED1E0B" w:rsidP="00ED1E0B">
      <w:pPr>
        <w:rPr>
          <w:rFonts w:cs="Arial"/>
          <w:szCs w:val="20"/>
        </w:rPr>
      </w:pPr>
    </w:p>
    <w:p w:rsidR="00D332C4" w:rsidRPr="00DE52F5" w:rsidP="00D332C4">
      <w:pPr>
        <w:rPr>
          <w:rFonts w:cs="Arial"/>
          <w:szCs w:val="20"/>
        </w:rPr>
      </w:pPr>
      <w:r w:rsidRPr="00DE52F5">
        <w:rPr>
          <w:rFonts w:cs="Arial"/>
          <w:szCs w:val="20"/>
        </w:rPr>
        <w:t>Předávaj</w:t>
      </w:r>
      <w:r>
        <w:rPr>
          <w:rFonts w:cs="Arial"/>
          <w:szCs w:val="20"/>
        </w:rPr>
        <w:t xml:space="preserve">ící a Přejímající zaznamenali k </w:t>
      </w:r>
      <w:r w:rsidRPr="00DE52F5">
        <w:rPr>
          <w:rFonts w:cs="Arial"/>
          <w:szCs w:val="20"/>
        </w:rPr>
        <w:t>dnešnímu dni t</w:t>
      </w:r>
      <w:r>
        <w:rPr>
          <w:rFonts w:cs="Arial"/>
          <w:szCs w:val="20"/>
        </w:rPr>
        <w:t>ento</w:t>
      </w:r>
      <w:r w:rsidRPr="00DE52F5">
        <w:rPr>
          <w:rFonts w:cs="Arial"/>
          <w:szCs w:val="20"/>
        </w:rPr>
        <w:t xml:space="preserve"> stav instalovan</w:t>
      </w:r>
      <w:r>
        <w:rPr>
          <w:rFonts w:cs="Arial"/>
          <w:szCs w:val="20"/>
        </w:rPr>
        <w:t>ých měřidel:</w:t>
      </w:r>
    </w:p>
    <w:p w:rsidR="00D332C4" w:rsidRPr="00BD5AA5" w:rsidP="00D332C4">
      <w:pPr>
        <w:spacing w:after="0"/>
        <w:rPr>
          <w:rFonts w:cs="Arial"/>
          <w:szCs w:val="20"/>
        </w:rPr>
      </w:pPr>
      <w:r w:rsidRPr="00BD5AA5">
        <w:rPr>
          <w:rFonts w:cs="Arial"/>
          <w:szCs w:val="20"/>
        </w:rPr>
        <w:t xml:space="preserve">elektroměr v. č. </w:t>
      </w:r>
      <w:r w:rsidR="00ED1E0B">
        <w:rPr>
          <w:rFonts w:cs="Arial"/>
          <w:szCs w:val="20"/>
        </w:rPr>
        <w:t>5001</w:t>
      </w:r>
      <w:r w:rsidRPr="00BD5AA5">
        <w:rPr>
          <w:rFonts w:cs="Arial"/>
          <w:szCs w:val="20"/>
        </w:rPr>
        <w:t>:</w:t>
      </w:r>
      <w:r w:rsidRPr="00BD5AA5">
        <w:rPr>
          <w:rFonts w:cs="Arial"/>
          <w:szCs w:val="20"/>
        </w:rPr>
        <w:tab/>
      </w:r>
      <w:r w:rsidRPr="00BD5AA5">
        <w:rPr>
          <w:rFonts w:cs="Arial"/>
          <w:szCs w:val="20"/>
        </w:rPr>
        <w:tab/>
        <w:t>stav ______________ kWh</w:t>
      </w:r>
    </w:p>
    <w:p w:rsidR="00D332C4" w:rsidRPr="000376EA" w:rsidP="00ED1E0B">
      <w:pPr>
        <w:rPr>
          <w:rFonts w:cs="Arial"/>
          <w:szCs w:val="20"/>
          <w:highlight w:val="green"/>
        </w:rPr>
      </w:pPr>
    </w:p>
    <w:p w:rsidR="00D332C4" w:rsidRPr="00A30A67" w:rsidP="00D332C4">
      <w:pPr>
        <w:rPr>
          <w:rFonts w:cs="Arial"/>
        </w:rPr>
      </w:pPr>
      <w:r w:rsidRPr="00A30A67">
        <w:rPr>
          <w:rFonts w:cs="Arial"/>
          <w:b/>
        </w:rPr>
        <w:t xml:space="preserve">Výsledek: </w:t>
      </w:r>
      <w:r w:rsidRPr="00A30A67">
        <w:rPr>
          <w:rFonts w:cs="Arial"/>
        </w:rPr>
        <w:t>(variantu výsledku označte křížkem)</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8"/>
        <w:gridCol w:w="3119"/>
        <w:gridCol w:w="2835"/>
      </w:tblGrid>
      <w:tr w:rsidTr="00ED1E0B">
        <w:tblPrEx>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67"/>
        </w:trPr>
        <w:tc>
          <w:tcPr>
            <w:tcW w:w="3118" w:type="dxa"/>
          </w:tcPr>
          <w:p w:rsidR="00D332C4" w:rsidRPr="00A30A67" w:rsidP="00ED1E0B">
            <w:pPr>
              <w:spacing w:before="120"/>
              <w:ind w:left="-79"/>
              <w:jc w:val="left"/>
              <w:rPr>
                <w:rFonts w:cs="Arial"/>
                <w:b/>
                <w:i/>
              </w:rPr>
            </w:pPr>
            <w:r w:rsidRPr="00233699">
              <w:rPr>
                <w:rFonts w:cs="Arial"/>
                <w:b/>
                <w:i/>
                <w:sz w:val="24"/>
                <w:szCs w:val="24"/>
              </w:rPr>
              <w:fldChar w:fldCharType="begin">
                <w:ffData>
                  <w:name w:val="Zaškrtávací2"/>
                  <w:enabled/>
                  <w:calcOnExit w:val="0"/>
                  <w:checkBox>
                    <w:sizeAuto/>
                    <w:default w:val="0"/>
                  </w:checkBox>
                </w:ffData>
              </w:fldChar>
            </w:r>
            <w:r w:rsidRPr="00233699">
              <w:rPr>
                <w:rFonts w:cs="Arial"/>
                <w:b/>
                <w:i/>
                <w:sz w:val="24"/>
                <w:szCs w:val="24"/>
              </w:rPr>
              <w:instrText xml:space="preserve"> FORMCHECKBOX </w:instrText>
            </w:r>
            <w:r w:rsidRPr="00233699">
              <w:rPr>
                <w:rFonts w:cs="Arial"/>
                <w:b/>
                <w:i/>
                <w:sz w:val="24"/>
                <w:szCs w:val="24"/>
              </w:rPr>
              <w:fldChar w:fldCharType="separate"/>
            </w:r>
            <w:r w:rsidRPr="00233699">
              <w:rPr>
                <w:rFonts w:cs="Arial"/>
                <w:b/>
                <w:i/>
                <w:sz w:val="24"/>
                <w:szCs w:val="24"/>
              </w:rPr>
              <w:fldChar w:fldCharType="end"/>
            </w:r>
            <w:r>
              <w:rPr>
                <w:rFonts w:cs="Arial"/>
                <w:b/>
                <w:i/>
              </w:rPr>
              <w:t xml:space="preserve"> </w:t>
            </w:r>
            <w:r w:rsidRPr="00A30A67">
              <w:rPr>
                <w:rFonts w:cs="Arial"/>
                <w:b/>
                <w:i/>
              </w:rPr>
              <w:t>akceptováno</w:t>
            </w:r>
          </w:p>
        </w:tc>
        <w:tc>
          <w:tcPr>
            <w:tcW w:w="3119" w:type="dxa"/>
          </w:tcPr>
          <w:p w:rsidR="00D332C4" w:rsidRPr="00A30A67" w:rsidP="00ED1E0B">
            <w:pPr>
              <w:spacing w:before="120"/>
              <w:jc w:val="left"/>
              <w:rPr>
                <w:rFonts w:cs="Arial"/>
                <w:b/>
                <w:i/>
              </w:rPr>
            </w:pPr>
            <w:r w:rsidRPr="00233699">
              <w:rPr>
                <w:rFonts w:cs="Arial"/>
                <w:b/>
                <w:i/>
                <w:sz w:val="24"/>
                <w:szCs w:val="24"/>
              </w:rPr>
              <w:fldChar w:fldCharType="begin">
                <w:ffData>
                  <w:name w:val="Zaškrtávací2"/>
                  <w:enabled/>
                  <w:calcOnExit w:val="0"/>
                  <w:checkBox>
                    <w:sizeAuto/>
                    <w:default w:val="0"/>
                  </w:checkBox>
                </w:ffData>
              </w:fldChar>
            </w:r>
            <w:r w:rsidRPr="00233699">
              <w:rPr>
                <w:rFonts w:cs="Arial"/>
                <w:b/>
                <w:i/>
                <w:sz w:val="24"/>
                <w:szCs w:val="24"/>
              </w:rPr>
              <w:instrText xml:space="preserve"> FORMCHECKBOX </w:instrText>
            </w:r>
            <w:r w:rsidRPr="00233699">
              <w:rPr>
                <w:rFonts w:cs="Arial"/>
                <w:b/>
                <w:i/>
                <w:sz w:val="24"/>
                <w:szCs w:val="24"/>
              </w:rPr>
              <w:fldChar w:fldCharType="separate"/>
            </w:r>
            <w:r w:rsidRPr="00233699">
              <w:rPr>
                <w:rFonts w:cs="Arial"/>
                <w:b/>
                <w:i/>
                <w:sz w:val="24"/>
                <w:szCs w:val="24"/>
              </w:rPr>
              <w:fldChar w:fldCharType="end"/>
            </w:r>
            <w:r w:rsidRPr="00A30A67">
              <w:rPr>
                <w:rFonts w:cs="Arial"/>
                <w:b/>
                <w:i/>
              </w:rPr>
              <w:t xml:space="preserve"> akceptováno s výhradami*</w:t>
            </w:r>
          </w:p>
        </w:tc>
        <w:tc>
          <w:tcPr>
            <w:tcW w:w="2835" w:type="dxa"/>
          </w:tcPr>
          <w:p w:rsidR="00D332C4" w:rsidRPr="00A30A67" w:rsidP="00ED1E0B">
            <w:pPr>
              <w:spacing w:before="120"/>
              <w:jc w:val="left"/>
              <w:rPr>
                <w:rFonts w:cs="Arial"/>
                <w:b/>
                <w:i/>
              </w:rPr>
            </w:pPr>
            <w:r w:rsidRPr="00233699">
              <w:rPr>
                <w:rFonts w:cs="Arial"/>
                <w:b/>
                <w:i/>
                <w:sz w:val="24"/>
                <w:szCs w:val="24"/>
              </w:rPr>
              <w:fldChar w:fldCharType="begin">
                <w:ffData>
                  <w:name w:val="Zaškrtávací3"/>
                  <w:enabled/>
                  <w:calcOnExit w:val="0"/>
                  <w:checkBox>
                    <w:sizeAuto/>
                    <w:default w:val="0"/>
                  </w:checkBox>
                </w:ffData>
              </w:fldChar>
            </w:r>
            <w:r w:rsidRPr="00233699">
              <w:rPr>
                <w:rFonts w:cs="Arial"/>
                <w:b/>
                <w:i/>
                <w:sz w:val="24"/>
                <w:szCs w:val="24"/>
              </w:rPr>
              <w:instrText xml:space="preserve"> FORMCHECKBOX </w:instrText>
            </w:r>
            <w:r w:rsidRPr="00233699">
              <w:rPr>
                <w:rFonts w:cs="Arial"/>
                <w:b/>
                <w:i/>
                <w:sz w:val="24"/>
                <w:szCs w:val="24"/>
              </w:rPr>
              <w:fldChar w:fldCharType="separate"/>
            </w:r>
            <w:r w:rsidRPr="00233699">
              <w:rPr>
                <w:rFonts w:cs="Arial"/>
                <w:b/>
                <w:i/>
                <w:sz w:val="24"/>
                <w:szCs w:val="24"/>
              </w:rPr>
              <w:fldChar w:fldCharType="end"/>
            </w:r>
            <w:r w:rsidRPr="00A30A67">
              <w:rPr>
                <w:rFonts w:cs="Arial"/>
                <w:b/>
                <w:i/>
              </w:rPr>
              <w:t xml:space="preserve"> neakceptováno*</w:t>
            </w:r>
          </w:p>
        </w:tc>
      </w:tr>
    </w:tbl>
    <w:p w:rsidR="00ED1E0B" w:rsidP="004D51BE">
      <w:pPr>
        <w:spacing w:after="0"/>
        <w:rPr>
          <w:rFonts w:cs="Arial"/>
          <w:i/>
        </w:rPr>
      </w:pPr>
    </w:p>
    <w:p w:rsidR="00ED1E0B">
      <w:pPr>
        <w:spacing w:after="200"/>
        <w:jc w:val="left"/>
        <w:rPr>
          <w:rFonts w:cs="Arial"/>
          <w:i/>
        </w:rPr>
      </w:pPr>
      <w:r>
        <w:rPr>
          <w:rFonts w:cs="Arial"/>
          <w:i/>
        </w:rPr>
        <w:br w:type="page"/>
      </w:r>
    </w:p>
    <w:p w:rsidR="00D332C4" w:rsidRPr="00A30A67" w:rsidP="004D51BE">
      <w:pPr>
        <w:spacing w:after="0"/>
        <w:rPr>
          <w:rFonts w:cs="Arial"/>
          <w:i/>
        </w:rPr>
      </w:pPr>
      <w:r w:rsidRPr="00A30A67">
        <w:rPr>
          <w:rFonts w:cs="Arial"/>
          <w:i/>
        </w:rPr>
        <w:t xml:space="preserve">* </w:t>
      </w:r>
      <w:r w:rsidRPr="00A30A67">
        <w:rPr>
          <w:rFonts w:cs="Arial"/>
          <w:b/>
        </w:rPr>
        <w:t xml:space="preserve">Popis </w:t>
      </w:r>
      <w:r>
        <w:rPr>
          <w:rFonts w:cs="Arial"/>
          <w:b/>
        </w:rPr>
        <w:t xml:space="preserve">vad a nedodělků </w:t>
      </w:r>
      <w:r w:rsidRPr="00A30A67">
        <w:rPr>
          <w:rFonts w:cs="Arial"/>
          <w:b/>
        </w:rPr>
        <w:t>a dohodnutý další postup:</w:t>
      </w:r>
      <w:r w:rsidRPr="00A30A67">
        <w:rPr>
          <w:rFonts w:cs="Arial"/>
          <w:i/>
        </w:rPr>
        <w:t xml:space="preserve"> </w:t>
      </w:r>
    </w:p>
    <w:tbl>
      <w:tblPr>
        <w:tblpPr w:leftFromText="141" w:rightFromText="141" w:vertAnchor="text" w:horzAnchor="margin" w:tblpX="108" w:tblpY="1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6"/>
        <w:gridCol w:w="4463"/>
      </w:tblGrid>
      <w:tr w:rsidTr="00533154">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17"/>
        </w:trPr>
        <w:tc>
          <w:tcPr>
            <w:tcW w:w="4576" w:type="dxa"/>
            <w:vAlign w:val="center"/>
          </w:tcPr>
          <w:p w:rsidR="00D332C4" w:rsidRPr="00A30A67" w:rsidP="004D51BE">
            <w:pPr>
              <w:spacing w:after="0"/>
              <w:rPr>
                <w:rFonts w:cs="Arial"/>
                <w:b/>
              </w:rPr>
            </w:pPr>
            <w:r w:rsidRPr="00A30A67">
              <w:rPr>
                <w:rFonts w:cs="Arial"/>
                <w:b/>
              </w:rPr>
              <w:t xml:space="preserve">Popis </w:t>
            </w:r>
            <w:r>
              <w:rPr>
                <w:rFonts w:cs="Arial"/>
                <w:b/>
              </w:rPr>
              <w:t>vad a nedodělků</w:t>
            </w:r>
          </w:p>
        </w:tc>
        <w:tc>
          <w:tcPr>
            <w:tcW w:w="4463" w:type="dxa"/>
          </w:tcPr>
          <w:p w:rsidR="00D332C4" w:rsidRPr="00A30A67" w:rsidP="00533154">
            <w:pPr>
              <w:spacing w:after="0"/>
              <w:jc w:val="center"/>
              <w:rPr>
                <w:rFonts w:cs="Arial"/>
                <w:b/>
              </w:rPr>
            </w:pPr>
          </w:p>
          <w:p w:rsidR="00D332C4" w:rsidRPr="00A30A67" w:rsidP="004D51BE">
            <w:pPr>
              <w:spacing w:after="0"/>
              <w:rPr>
                <w:rFonts w:cs="Arial"/>
                <w:b/>
              </w:rPr>
            </w:pPr>
            <w:r w:rsidRPr="00A30A67">
              <w:rPr>
                <w:rFonts w:cs="Arial"/>
                <w:b/>
              </w:rPr>
              <w:t>Další dohodnutý postup</w:t>
            </w:r>
          </w:p>
        </w:tc>
      </w:tr>
      <w:tr w:rsidTr="004D51BE">
        <w:tblPrEx>
          <w:tblW w:w="9039" w:type="dxa"/>
          <w:tblLook w:val="01E0"/>
        </w:tblPrEx>
        <w:trPr>
          <w:trHeight w:val="402"/>
        </w:trPr>
        <w:tc>
          <w:tcPr>
            <w:tcW w:w="4576" w:type="dxa"/>
          </w:tcPr>
          <w:p w:rsidR="00D332C4" w:rsidRPr="00A30A67" w:rsidP="00533154">
            <w:pPr>
              <w:rPr>
                <w:rFonts w:cs="Arial"/>
                <w:b/>
              </w:rPr>
            </w:pPr>
          </w:p>
        </w:tc>
        <w:tc>
          <w:tcPr>
            <w:tcW w:w="4463" w:type="dxa"/>
          </w:tcPr>
          <w:p w:rsidR="00D332C4" w:rsidRPr="00A30A67" w:rsidP="00533154">
            <w:pPr>
              <w:rPr>
                <w:rFonts w:cs="Arial"/>
                <w:b/>
              </w:rPr>
            </w:pPr>
          </w:p>
        </w:tc>
      </w:tr>
      <w:tr w:rsidTr="004D51BE">
        <w:tblPrEx>
          <w:tblW w:w="9039" w:type="dxa"/>
          <w:tblLook w:val="01E0"/>
        </w:tblPrEx>
        <w:trPr>
          <w:trHeight w:val="277"/>
        </w:trPr>
        <w:tc>
          <w:tcPr>
            <w:tcW w:w="4576" w:type="dxa"/>
          </w:tcPr>
          <w:p w:rsidR="00D332C4" w:rsidP="00533154">
            <w:pPr>
              <w:rPr>
                <w:rFonts w:cs="Arial"/>
                <w:b/>
              </w:rPr>
            </w:pPr>
          </w:p>
        </w:tc>
        <w:tc>
          <w:tcPr>
            <w:tcW w:w="4463" w:type="dxa"/>
          </w:tcPr>
          <w:p w:rsidR="00D332C4" w:rsidRPr="00A30A67" w:rsidP="00533154">
            <w:pPr>
              <w:rPr>
                <w:rFonts w:cs="Arial"/>
                <w:b/>
              </w:rPr>
            </w:pPr>
          </w:p>
        </w:tc>
      </w:tr>
    </w:tbl>
    <w:p w:rsidR="00D332C4" w:rsidP="00D332C4">
      <w:pPr>
        <w:rPr>
          <w:rFonts w:cs="Arial"/>
          <w:b/>
        </w:rPr>
      </w:pPr>
    </w:p>
    <w:p w:rsidR="00D332C4" w:rsidP="00D332C4">
      <w:pPr>
        <w:rPr>
          <w:rFonts w:cs="Arial"/>
          <w:b/>
        </w:rPr>
      </w:pPr>
      <w:r>
        <w:rPr>
          <w:rFonts w:cs="Arial"/>
          <w:b/>
        </w:rPr>
        <w:t>Stanovení lhůty pro odstranění vad a nedodělků:</w:t>
      </w:r>
    </w:p>
    <w:tbl>
      <w:tblPr>
        <w:tblStyle w:val="TableGrid"/>
        <w:tblW w:w="0" w:type="auto"/>
        <w:tblLook w:val="04A0"/>
      </w:tblPr>
      <w:tblGrid>
        <w:gridCol w:w="9062"/>
      </w:tblGrid>
      <w:tr w:rsidTr="004D51BE">
        <w:tblPrEx>
          <w:tblW w:w="0" w:type="auto"/>
          <w:tblLook w:val="04A0"/>
        </w:tblPrEx>
        <w:trPr>
          <w:trHeight w:val="686"/>
        </w:trPr>
        <w:tc>
          <w:tcPr>
            <w:tcW w:w="9062" w:type="dxa"/>
            <w:vAlign w:val="center"/>
          </w:tcPr>
          <w:p w:rsidR="004D51BE" w:rsidRPr="004D51BE" w:rsidP="004D51BE">
            <w:pPr>
              <w:spacing w:after="60"/>
              <w:ind w:right="-26"/>
              <w:rPr>
                <w:rFonts w:cs="Arial"/>
                <w:szCs w:val="20"/>
              </w:rPr>
            </w:pPr>
            <w:r>
              <w:rPr>
                <w:rFonts w:cs="Arial"/>
                <w:szCs w:val="20"/>
              </w:rPr>
              <w:t>Uvedené vady a nedodělky budou Předávajícím odstraněny a předány nejpozději do _____________</w:t>
            </w:r>
          </w:p>
        </w:tc>
      </w:tr>
    </w:tbl>
    <w:p w:rsidR="004D51BE" w:rsidP="00D332C4">
      <w:pPr>
        <w:rPr>
          <w:rFonts w:cs="Arial"/>
          <w:b/>
        </w:rPr>
      </w:pPr>
    </w:p>
    <w:p w:rsidR="00D332C4" w:rsidP="00D332C4">
      <w:r w:rsidRPr="00921859">
        <w:t xml:space="preserve">Po odstranění vad a nedodělků označených v Předávacím protokolu dojde k sepsání </w:t>
      </w:r>
      <w:r>
        <w:t>nového Předávacího protokolu bez vad</w:t>
      </w:r>
      <w:r w:rsidRPr="00921859">
        <w:t>, který podepíšou obě Smluvní strany.</w:t>
      </w:r>
    </w:p>
    <w:p w:rsidR="00D332C4" w:rsidRPr="006745B5" w:rsidP="00D332C4">
      <w:pPr>
        <w:rPr>
          <w:rFonts w:cs="Arial"/>
        </w:rPr>
      </w:pPr>
      <w:r w:rsidRPr="006745B5">
        <w:rPr>
          <w:rFonts w:cs="Arial"/>
        </w:rPr>
        <w:t xml:space="preserve">Předávací protokol je vypracován ve dvou vyhotoveních, jeden je určen pro </w:t>
      </w:r>
      <w:r>
        <w:rPr>
          <w:rFonts w:cs="Arial"/>
        </w:rPr>
        <w:t>Předávajícího</w:t>
      </w:r>
      <w:r w:rsidRPr="006745B5">
        <w:rPr>
          <w:rFonts w:cs="Arial"/>
        </w:rPr>
        <w:t xml:space="preserve"> a jeden pro</w:t>
      </w:r>
      <w:r>
        <w:rPr>
          <w:rFonts w:cs="Arial"/>
        </w:rPr>
        <w:t> </w:t>
      </w:r>
      <w:r w:rsidR="00ED1E0B">
        <w:rPr>
          <w:rFonts w:cs="Arial"/>
        </w:rPr>
        <w:t>Přejímajícího</w:t>
      </w:r>
      <w:r w:rsidRPr="006745B5">
        <w:rPr>
          <w:rFonts w:cs="Arial"/>
        </w:rPr>
        <w:t>.</w:t>
      </w:r>
    </w:p>
    <w:p w:rsidR="00D332C4" w:rsidP="00D332C4">
      <w:pPr>
        <w:rPr>
          <w:rFonts w:cs="Arial"/>
          <w:b/>
        </w:rPr>
      </w:pPr>
    </w:p>
    <w:p w:rsidR="00D332C4" w:rsidRPr="00E87EA5" w:rsidP="00D332C4">
      <w:pPr>
        <w:rPr>
          <w:rFonts w:cs="Arial"/>
          <w:b/>
        </w:rPr>
      </w:pPr>
    </w:p>
    <w:tbl>
      <w:tblPr>
        <w:tblW w:w="9072" w:type="dxa"/>
        <w:tblInd w:w="108" w:type="dxa"/>
        <w:tblLook w:val="04A0"/>
      </w:tblPr>
      <w:tblGrid>
        <w:gridCol w:w="3969"/>
        <w:gridCol w:w="1134"/>
        <w:gridCol w:w="3969"/>
      </w:tblGrid>
      <w:tr w:rsidTr="00533154">
        <w:tblPrEx>
          <w:tblW w:w="9072" w:type="dxa"/>
          <w:tblInd w:w="108" w:type="dxa"/>
          <w:tblLook w:val="04A0"/>
        </w:tblPrEx>
        <w:tc>
          <w:tcPr>
            <w:tcW w:w="3969" w:type="dxa"/>
          </w:tcPr>
          <w:p w:rsidR="00D332C4" w:rsidP="004D51BE">
            <w:pPr>
              <w:ind w:left="-108"/>
              <w:rPr>
                <w:rFonts w:cs="Arial"/>
              </w:rPr>
            </w:pPr>
            <w:r>
              <w:rPr>
                <w:rFonts w:cs="Arial"/>
              </w:rPr>
              <w:t>V Praze dne ______________</w:t>
            </w:r>
          </w:p>
          <w:p w:rsidR="00D332C4" w:rsidRPr="00B6708A" w:rsidP="00533154">
            <w:pPr>
              <w:ind w:left="-108"/>
              <w:rPr>
                <w:rFonts w:cs="Arial"/>
              </w:rPr>
            </w:pPr>
            <w:r>
              <w:rPr>
                <w:rFonts w:cs="Arial"/>
              </w:rPr>
              <w:t>za Předávajícího:</w:t>
            </w:r>
          </w:p>
        </w:tc>
        <w:tc>
          <w:tcPr>
            <w:tcW w:w="1134" w:type="dxa"/>
          </w:tcPr>
          <w:p w:rsidR="00D332C4" w:rsidRPr="00C24CFD" w:rsidP="00533154">
            <w:pPr>
              <w:ind w:left="-108"/>
              <w:rPr>
                <w:rFonts w:cs="Arial"/>
                <w:iCs/>
              </w:rPr>
            </w:pPr>
          </w:p>
        </w:tc>
        <w:tc>
          <w:tcPr>
            <w:tcW w:w="3969" w:type="dxa"/>
          </w:tcPr>
          <w:p w:rsidR="00D332C4" w:rsidP="004D51BE">
            <w:pPr>
              <w:rPr>
                <w:rFonts w:cs="Arial"/>
              </w:rPr>
            </w:pPr>
          </w:p>
          <w:p w:rsidR="00D332C4" w:rsidP="00533154">
            <w:pPr>
              <w:spacing w:after="0"/>
              <w:ind w:left="-108"/>
              <w:rPr>
                <w:rFonts w:cs="Arial"/>
              </w:rPr>
            </w:pPr>
            <w:r>
              <w:rPr>
                <w:rFonts w:cs="Arial"/>
              </w:rPr>
              <w:t xml:space="preserve">za </w:t>
            </w:r>
            <w:r w:rsidR="00ED1E0B">
              <w:rPr>
                <w:rFonts w:cs="Arial"/>
              </w:rPr>
              <w:t>Přejímajícího</w:t>
            </w:r>
            <w:r>
              <w:rPr>
                <w:rFonts w:cs="Arial"/>
              </w:rPr>
              <w:t>:</w:t>
            </w:r>
          </w:p>
          <w:p w:rsidR="00D332C4" w:rsidRPr="00211858" w:rsidP="00533154">
            <w:pPr>
              <w:spacing w:after="0"/>
              <w:ind w:left="-108"/>
              <w:rPr>
                <w:rFonts w:cs="Arial"/>
              </w:rPr>
            </w:pPr>
          </w:p>
        </w:tc>
      </w:tr>
      <w:tr w:rsidTr="00533154">
        <w:tblPrEx>
          <w:tblW w:w="9072" w:type="dxa"/>
          <w:tblInd w:w="108" w:type="dxa"/>
          <w:tblLook w:val="04A0"/>
        </w:tblPrEx>
        <w:tc>
          <w:tcPr>
            <w:tcW w:w="3969" w:type="dxa"/>
          </w:tcPr>
          <w:p w:rsidR="00D332C4" w:rsidP="00533154">
            <w:pPr>
              <w:ind w:left="-108"/>
              <w:rPr>
                <w:rFonts w:cs="Arial"/>
                <w:iCs/>
              </w:rPr>
            </w:pPr>
          </w:p>
          <w:p w:rsidR="00D332C4" w:rsidRPr="00C24CFD" w:rsidP="00533154">
            <w:pPr>
              <w:ind w:left="-108"/>
              <w:rPr>
                <w:rFonts w:cs="Arial"/>
                <w:iCs/>
              </w:rPr>
            </w:pPr>
          </w:p>
        </w:tc>
        <w:tc>
          <w:tcPr>
            <w:tcW w:w="1134" w:type="dxa"/>
          </w:tcPr>
          <w:p w:rsidR="00D332C4" w:rsidRPr="00C24CFD" w:rsidP="00533154">
            <w:pPr>
              <w:ind w:left="-108"/>
              <w:rPr>
                <w:rFonts w:cs="Arial"/>
                <w:iCs/>
              </w:rPr>
            </w:pPr>
          </w:p>
        </w:tc>
        <w:tc>
          <w:tcPr>
            <w:tcW w:w="3969" w:type="dxa"/>
          </w:tcPr>
          <w:p w:rsidR="00D332C4" w:rsidRPr="00C24CFD" w:rsidP="00533154">
            <w:pPr>
              <w:ind w:left="-108"/>
              <w:rPr>
                <w:rFonts w:cs="Arial"/>
                <w:iCs/>
              </w:rPr>
            </w:pPr>
          </w:p>
        </w:tc>
      </w:tr>
      <w:tr w:rsidTr="00533154">
        <w:tblPrEx>
          <w:tblW w:w="9072" w:type="dxa"/>
          <w:tblInd w:w="108" w:type="dxa"/>
          <w:tblLook w:val="04A0"/>
        </w:tblPrEx>
        <w:tc>
          <w:tcPr>
            <w:tcW w:w="3969" w:type="dxa"/>
            <w:tcBorders>
              <w:bottom w:val="single" w:sz="4" w:space="0" w:color="auto"/>
            </w:tcBorders>
          </w:tcPr>
          <w:p w:rsidR="00D332C4" w:rsidRPr="00C24CFD" w:rsidP="00533154">
            <w:pPr>
              <w:ind w:left="-108"/>
              <w:rPr>
                <w:rFonts w:cs="Arial"/>
                <w:iCs/>
              </w:rPr>
            </w:pPr>
          </w:p>
        </w:tc>
        <w:tc>
          <w:tcPr>
            <w:tcW w:w="1134" w:type="dxa"/>
          </w:tcPr>
          <w:p w:rsidR="00D332C4" w:rsidRPr="00C24CFD" w:rsidP="00533154">
            <w:pPr>
              <w:ind w:left="-108"/>
              <w:rPr>
                <w:rFonts w:cs="Arial"/>
                <w:iCs/>
              </w:rPr>
            </w:pPr>
          </w:p>
        </w:tc>
        <w:tc>
          <w:tcPr>
            <w:tcW w:w="3969" w:type="dxa"/>
            <w:tcBorders>
              <w:bottom w:val="single" w:sz="4" w:space="0" w:color="auto"/>
            </w:tcBorders>
          </w:tcPr>
          <w:p w:rsidR="00D332C4" w:rsidRPr="00C24CFD" w:rsidP="00533154">
            <w:pPr>
              <w:ind w:left="-108"/>
              <w:rPr>
                <w:rFonts w:cs="Arial"/>
                <w:iCs/>
              </w:rPr>
            </w:pPr>
          </w:p>
        </w:tc>
      </w:tr>
      <w:tr w:rsidTr="00533154">
        <w:tblPrEx>
          <w:tblW w:w="9072" w:type="dxa"/>
          <w:tblInd w:w="108" w:type="dxa"/>
          <w:tblLook w:val="04A0"/>
        </w:tblPrEx>
        <w:tc>
          <w:tcPr>
            <w:tcW w:w="3969" w:type="dxa"/>
            <w:tcBorders>
              <w:top w:val="single" w:sz="4" w:space="0" w:color="auto"/>
            </w:tcBorders>
          </w:tcPr>
          <w:p w:rsidR="00D332C4" w:rsidRPr="00B27BAC" w:rsidP="00533154">
            <w:pPr>
              <w:spacing w:before="120" w:after="0"/>
              <w:ind w:left="-108"/>
              <w:rPr>
                <w:rFonts w:cs="Arial"/>
                <w:iCs/>
              </w:rPr>
            </w:pPr>
            <w:r w:rsidRPr="00696085">
              <w:rPr>
                <w:rFonts w:cs="Arial"/>
                <w:snapToGrid w:val="0"/>
              </w:rPr>
              <w:t>[●]</w:t>
            </w:r>
          </w:p>
          <w:p w:rsidR="00D332C4" w:rsidRPr="00C24CFD" w:rsidP="00533154">
            <w:pPr>
              <w:spacing w:before="120" w:after="0"/>
              <w:ind w:left="-108"/>
              <w:rPr>
                <w:rFonts w:cs="Arial"/>
                <w:iCs/>
              </w:rPr>
            </w:pPr>
            <w:r>
              <w:rPr>
                <w:rFonts w:cs="Arial"/>
              </w:rPr>
              <w:t xml:space="preserve">                                                                                 </w:t>
            </w:r>
          </w:p>
        </w:tc>
        <w:tc>
          <w:tcPr>
            <w:tcW w:w="1134" w:type="dxa"/>
          </w:tcPr>
          <w:p w:rsidR="00D332C4" w:rsidRPr="00254B5D" w:rsidP="00533154">
            <w:pPr>
              <w:rPr>
                <w:rFonts w:cs="Arial"/>
                <w:iCs/>
              </w:rPr>
            </w:pPr>
          </w:p>
        </w:tc>
        <w:tc>
          <w:tcPr>
            <w:tcW w:w="3969" w:type="dxa"/>
            <w:tcBorders>
              <w:top w:val="single" w:sz="4" w:space="0" w:color="auto"/>
            </w:tcBorders>
          </w:tcPr>
          <w:p w:rsidR="00D332C4" w:rsidRPr="00254B5D" w:rsidP="00533154">
            <w:pPr>
              <w:spacing w:before="120" w:after="0"/>
              <w:ind w:left="-108"/>
              <w:rPr>
                <w:rFonts w:cs="Arial"/>
                <w:iCs/>
              </w:rPr>
            </w:pPr>
            <w:r w:rsidRPr="00254B5D">
              <w:rPr>
                <w:rFonts w:cs="Arial"/>
                <w:snapToGrid w:val="0"/>
              </w:rPr>
              <w:t>[●]</w:t>
            </w:r>
          </w:p>
          <w:p w:rsidR="00D332C4" w:rsidRPr="00254B5D" w:rsidP="00533154">
            <w:pPr>
              <w:spacing w:before="120" w:after="0"/>
              <w:ind w:left="-108"/>
              <w:rPr>
                <w:rFonts w:cs="Arial"/>
                <w:iCs/>
              </w:rPr>
            </w:pPr>
          </w:p>
        </w:tc>
      </w:tr>
    </w:tbl>
    <w:p w:rsidR="00FC1822" w:rsidRPr="00FC1822" w:rsidP="00C45D9C">
      <w:pPr>
        <w:pStyle w:val="Header"/>
        <w:jc w:val="center"/>
        <w:rPr>
          <w:b/>
        </w:rPr>
      </w:pPr>
    </w:p>
    <w:sectPr>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szCs w:val="20"/>
      </w:rPr>
      <w:id w:val="-1493569847"/>
      <w:docPartObj>
        <w:docPartGallery w:val="Page Numbers (Bottom of Page)"/>
        <w:docPartUnique/>
      </w:docPartObj>
    </w:sdtPr>
    <w:sdtContent>
      <w:sdt>
        <w:sdtPr>
          <w:rPr>
            <w:szCs w:val="20"/>
          </w:rPr>
          <w:id w:val="-1669238322"/>
          <w:docPartObj>
            <w:docPartGallery w:val="Page Numbers (Top of Page)"/>
            <w:docPartUnique/>
          </w:docPartObj>
        </w:sdtPr>
        <w:sdtContent>
          <w:p w:rsidR="00E3361E" w:rsidRPr="00CC7293">
            <w:pPr>
              <w:pStyle w:val="Footer"/>
              <w:jc w:val="center"/>
              <w:rPr>
                <w:szCs w:val="20"/>
              </w:rPr>
            </w:pPr>
            <w:r w:rsidRPr="00CC7293">
              <w:rPr>
                <w:szCs w:val="20"/>
              </w:rPr>
              <w:t xml:space="preserve">Stránka </w:t>
            </w:r>
            <w:r w:rsidRPr="00CC7293">
              <w:rPr>
                <w:bCs/>
                <w:szCs w:val="20"/>
              </w:rPr>
              <w:fldChar w:fldCharType="begin"/>
            </w:r>
            <w:r w:rsidRPr="00CC7293">
              <w:rPr>
                <w:bCs/>
                <w:szCs w:val="20"/>
              </w:rPr>
              <w:instrText>PAGE</w:instrText>
            </w:r>
            <w:r w:rsidRPr="00CC7293">
              <w:rPr>
                <w:bCs/>
                <w:szCs w:val="20"/>
              </w:rPr>
              <w:fldChar w:fldCharType="separate"/>
            </w:r>
            <w:r w:rsidR="00E80A21">
              <w:rPr>
                <w:bCs/>
                <w:noProof/>
                <w:szCs w:val="20"/>
              </w:rPr>
              <w:t>2</w:t>
            </w:r>
            <w:r w:rsidRPr="00CC7293">
              <w:rPr>
                <w:bCs/>
                <w:szCs w:val="20"/>
              </w:rPr>
              <w:fldChar w:fldCharType="end"/>
            </w:r>
            <w:r w:rsidRPr="00CC7293">
              <w:rPr>
                <w:szCs w:val="20"/>
              </w:rPr>
              <w:t xml:space="preserve"> z </w:t>
            </w:r>
            <w:r>
              <w:rPr>
                <w:szCs w:val="20"/>
              </w:rPr>
              <w:t>1</w:t>
            </w:r>
            <w:r w:rsidR="00B04100">
              <w:rPr>
                <w:szCs w:val="20"/>
              </w:rPr>
              <w:t>6</w:t>
            </w:r>
          </w:p>
        </w:sdtContent>
      </w:sdt>
    </w:sdtContent>
  </w:sdt>
  <w:p w:rsidR="00E336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36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568B7" w:rsidP="00CC7293">
      <w:pPr>
        <w:spacing w:after="0" w:line="240" w:lineRule="auto"/>
      </w:pPr>
      <w:r>
        <w:separator/>
      </w:r>
    </w:p>
  </w:footnote>
  <w:footnote w:type="continuationSeparator" w:id="1">
    <w:p w:rsidR="008568B7" w:rsidP="00CC7293">
      <w:pPr>
        <w:spacing w:after="0" w:line="240" w:lineRule="auto"/>
      </w:pPr>
      <w:r>
        <w:continuationSeparator/>
      </w:r>
    </w:p>
  </w:footnote>
  <w:footnote w:id="2">
    <w:p w:rsidR="00D332C4" w:rsidP="00D332C4">
      <w:pPr>
        <w:pStyle w:val="FootnoteText"/>
      </w:pPr>
      <w:r>
        <w:rPr>
          <w:rStyle w:val="FootnoteReference"/>
        </w:rPr>
        <w:footnoteRef/>
      </w:r>
      <w:r>
        <w:t xml:space="preserve"> </w:t>
      </w:r>
      <w:r w:rsidRPr="00366B56">
        <w:t xml:space="preserve">Změna </w:t>
      </w:r>
      <w:r w:rsidR="00513ACB">
        <w:t xml:space="preserve">Přílohy č. </w:t>
      </w:r>
      <w:r w:rsidR="00ED1E0B">
        <w:t>2 Smlouvy</w:t>
      </w:r>
      <w:r w:rsidR="00513ACB">
        <w:t xml:space="preserve"> – Cenová k</w:t>
      </w:r>
      <w:r w:rsidRPr="00366B56">
        <w:t xml:space="preserve">alkulace vyhrazena (viz </w:t>
      </w:r>
      <w:r w:rsidRPr="000B4AC8">
        <w:t>článek 1</w:t>
      </w:r>
      <w:r w:rsidR="00B04100">
        <w:t>5</w:t>
      </w:r>
      <w:r w:rsidRPr="000B4AC8">
        <w:t>.5 Smlouvy</w:t>
      </w:r>
      <w:r w:rsidRPr="00366B5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3361E" w:rsidP="00CC7293">
    <w:pPr>
      <w:pStyle w:val="Header"/>
      <w:jc w:val="right"/>
    </w:pPr>
    <w:r w:rsidRPr="00FB23DF">
      <w:t>Číslo v CES</w:t>
    </w:r>
    <w:r w:rsidRPr="00C45D9C">
      <w:t xml:space="preserve">: </w:t>
    </w:r>
    <w:r>
      <w:rPr>
        <w:rFonts w:cs="Arial"/>
      </w:rPr>
      <w:t>[</w:t>
    </w:r>
    <w:r w:rsidRPr="00754174">
      <w:rPr>
        <w:highlight w:val="green"/>
      </w:rPr>
      <w:t xml:space="preserve">doplní </w:t>
    </w:r>
    <w:r w:rsidR="00AD1AC4">
      <w:rPr>
        <w:highlight w:val="green"/>
      </w:rPr>
      <w:t>Pronajímatel</w:t>
    </w:r>
    <w:r w:rsidRPr="00754174">
      <w:rPr>
        <w:highlight w:val="green"/>
      </w:rPr>
      <w:t xml:space="preserve"> před podpisem Smlouvy</w:t>
    </w:r>
    <w:r>
      <w:rPr>
        <w:rFonts w:cs="Arial"/>
      </w:rPr>
      <w:t>]</w:t>
    </w:r>
  </w:p>
  <w:p w:rsidR="00E336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1A05F7"/>
    <w:multiLevelType w:val="hybridMultilevel"/>
    <w:tmpl w:val="2BD4AD94"/>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D235D99"/>
    <w:multiLevelType w:val="multilevel"/>
    <w:tmpl w:val="6298D7C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i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579D726D"/>
    <w:multiLevelType w:val="hybridMultilevel"/>
    <w:tmpl w:val="63CE4FDE"/>
    <w:lvl w:ilvl="0">
      <w:start w:val="1"/>
      <w:numFmt w:val="lowerLetter"/>
      <w:pStyle w:val="Heading4"/>
      <w:lvlText w:val="%1)"/>
      <w:lvlJc w:val="left"/>
      <w:pPr>
        <w:ind w:left="720" w:hanging="360"/>
      </w:pPr>
      <w:rPr>
        <w:rFonts w:ascii="Arial" w:hAnsi="Arial" w:cs="Arial" w:hint="default"/>
        <w:b w:val="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94027F6"/>
    <w:multiLevelType w:val="hybridMultilevel"/>
    <w:tmpl w:val="05FCE074"/>
    <w:lvl w:ilvl="0">
      <w:start w:val="1"/>
      <w:numFmt w:val="lowerLetter"/>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4">
    <w:nsid w:val="70775D56"/>
    <w:multiLevelType w:val="hybridMultilevel"/>
    <w:tmpl w:val="9DB019A8"/>
    <w:lvl w:ilvl="0">
      <w:start w:val="1"/>
      <w:numFmt w:val="lowerLetter"/>
      <w:lvlText w:val="%1)"/>
      <w:lvlJc w:val="left"/>
      <w:pPr>
        <w:ind w:left="1287" w:hanging="360"/>
      </w:pPr>
      <w:rPr>
        <w:i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5">
    <w:nsid w:val="7B216AF5"/>
    <w:multiLevelType w:val="hybridMultilevel"/>
    <w:tmpl w:val="0194E90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7C011314"/>
    <w:multiLevelType w:val="hybridMultilevel"/>
    <w:tmpl w:val="F8D6D664"/>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4"/>
    <w:lvlOverride w:ilvl="0">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num>
  <w:num w:numId="8">
    <w:abstractNumId w:val="0"/>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3"/>
  </w:num>
  <w:num w:numId="19">
    <w:abstractNumId w:val="2"/>
  </w:num>
  <w:num w:numId="20">
    <w:abstractNumId w:val="5"/>
  </w:num>
  <w:num w:numId="2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cs-CZ"/>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D9C"/>
    <w:pPr>
      <w:spacing w:after="120"/>
      <w:jc w:val="both"/>
    </w:pPr>
    <w:rPr>
      <w:rFonts w:ascii="Arial" w:hAnsi="Arial"/>
      <w:sz w:val="20"/>
    </w:rPr>
  </w:style>
  <w:style w:type="paragraph" w:styleId="Heading1">
    <w:name w:val="heading 1"/>
    <w:aliases w:val="1,A,AL Chapter,ASAPHeading 1,Aliatel,H1,H1-Heading 1,Header 1,Heading A,Heading1,I,II+,JK Chapter,Kapitola,Legal Line 1,Nadpis 1 - Článek smlouvy,Nadpis 11,Nadpis dokumentu,PA Chapter,RFP,V_Head1,Záhlaví 1,Základní kapitola,h1,head 1,l1,list 1"/>
    <w:basedOn w:val="Normal"/>
    <w:next w:val="Normal"/>
    <w:link w:val="Nadpis1Char"/>
    <w:uiPriority w:val="9"/>
    <w:qFormat/>
    <w:rsid w:val="00C45D9C"/>
    <w:pPr>
      <w:keepNext/>
      <w:numPr>
        <w:numId w:val="1"/>
      </w:numPr>
      <w:spacing w:before="480" w:after="240"/>
      <w:ind w:left="567" w:hanging="567"/>
      <w:outlineLvl w:val="0"/>
    </w:pPr>
    <w:rPr>
      <w:rFonts w:eastAsiaTheme="majorEastAsia" w:cstheme="majorBidi"/>
      <w:b/>
      <w:bCs/>
      <w:caps/>
      <w:szCs w:val="28"/>
    </w:rPr>
  </w:style>
  <w:style w:type="paragraph" w:styleId="Heading2">
    <w:name w:val="heading 2"/>
    <w:aliases w:val="2,AL Major Section,ASAPHeading 2,B,F2,G2,H2,Head2A,Header 2,Header1,JK Major Section,Nadpis 2 - Odstavec,Nadpis kapitoly,NoNewPg,PA Major Section,PAR,Podkapitola základní kapitoly,Podkapitola1,RFP Aliatel,TOC1,V_Head2,h2,head2,hlavicka,l2,list2"/>
    <w:basedOn w:val="Normal"/>
    <w:next w:val="Normal"/>
    <w:link w:val="Nadpis2Char"/>
    <w:uiPriority w:val="9"/>
    <w:unhideWhenUsed/>
    <w:qFormat/>
    <w:rsid w:val="00C45D9C"/>
    <w:pPr>
      <w:numPr>
        <w:ilvl w:val="1"/>
        <w:numId w:val="1"/>
      </w:numPr>
      <w:outlineLvl w:val="1"/>
    </w:pPr>
    <w:rPr>
      <w:rFonts w:eastAsiaTheme="majorEastAsia" w:cstheme="majorBidi"/>
      <w:bCs/>
      <w:szCs w:val="26"/>
    </w:rPr>
  </w:style>
  <w:style w:type="paragraph" w:styleId="Heading3">
    <w:name w:val="heading 3"/>
    <w:aliases w:val="(Alt+3),H3,Nadpis 3 - Pododstavec,Podkapitola2,Table Attribute He...,V_Head3,h3,h3 sub heading"/>
    <w:basedOn w:val="Normal"/>
    <w:next w:val="Normal"/>
    <w:link w:val="Nadpis3Char"/>
    <w:uiPriority w:val="9"/>
    <w:unhideWhenUsed/>
    <w:qFormat/>
    <w:rsid w:val="00C45D9C"/>
    <w:pPr>
      <w:numPr>
        <w:ilvl w:val="2"/>
        <w:numId w:val="1"/>
      </w:numPr>
      <w:ind w:left="1134" w:hanging="567"/>
      <w:outlineLvl w:val="2"/>
    </w:pPr>
    <w:rPr>
      <w:rFonts w:eastAsiaTheme="majorEastAsia" w:cstheme="majorBidi"/>
      <w:bCs/>
    </w:rPr>
  </w:style>
  <w:style w:type="paragraph" w:styleId="Heading4">
    <w:name w:val="heading 4"/>
    <w:basedOn w:val="Normal"/>
    <w:next w:val="Normal"/>
    <w:link w:val="Nadpis4Char"/>
    <w:uiPriority w:val="9"/>
    <w:unhideWhenUsed/>
    <w:qFormat/>
    <w:rsid w:val="00CA5A5A"/>
    <w:pPr>
      <w:numPr>
        <w:numId w:val="2"/>
      </w:numPr>
      <w:ind w:left="1134" w:hanging="567"/>
      <w:outlineLvl w:val="3"/>
    </w:pPr>
    <w:rPr>
      <w:rFonts w:eastAsiaTheme="majorEastAsia" w:cstheme="majorBidi"/>
      <w:bCs/>
      <w:iCs/>
    </w:rPr>
  </w:style>
  <w:style w:type="paragraph" w:styleId="Heading5">
    <w:name w:val="heading 5"/>
    <w:basedOn w:val="Normal"/>
    <w:next w:val="Normal"/>
    <w:link w:val="Nadpis5Char"/>
    <w:uiPriority w:val="99"/>
    <w:unhideWhenUsed/>
    <w:qFormat/>
    <w:rsid w:val="00C45D9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Nadpis6Char"/>
    <w:unhideWhenUsed/>
    <w:qFormat/>
    <w:rsid w:val="00C45D9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Nadpis7Char"/>
    <w:semiHidden/>
    <w:unhideWhenUsed/>
    <w:qFormat/>
    <w:rsid w:val="00C45D9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Nadpis8Char"/>
    <w:semiHidden/>
    <w:unhideWhenUsed/>
    <w:qFormat/>
    <w:rsid w:val="00C45D9C"/>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Nadpis9Char"/>
    <w:semiHidden/>
    <w:unhideWhenUsed/>
    <w:qFormat/>
    <w:rsid w:val="00C45D9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1Char">
    <w:name w:val="Nadpis 1 Char"/>
    <w:aliases w:val="1 Char,A Char,AL Chapter Char,ASAPHeading 1 Char,Aliatel Char,H1 Char,JK Chapter Char,Kapitola Char,Nadpis 1 - Článek smlouvy Char,Nadpis 11 Char,Nadpis dokumentu Char,RFP Char,V_Head1 Char,Záhlaví 1 Char,Základní kapitola Char,h1 Char"/>
    <w:basedOn w:val="DefaultParagraphFont"/>
    <w:link w:val="Heading1"/>
    <w:uiPriority w:val="9"/>
    <w:rsid w:val="00C45D9C"/>
    <w:rPr>
      <w:rFonts w:ascii="Arial" w:hAnsi="Arial" w:eastAsiaTheme="majorEastAsia" w:cstheme="majorBidi"/>
      <w:b/>
      <w:bCs/>
      <w:caps/>
      <w:sz w:val="20"/>
      <w:szCs w:val="28"/>
    </w:rPr>
  </w:style>
  <w:style w:type="character" w:customStyle="1" w:styleId="Nadpis2Char">
    <w:name w:val="Nadpis 2 Char"/>
    <w:aliases w:val="2 Char,ASAPHeading 2 Char,B Char,H2 Char,Head2A Char,Header1 Char,Nadpis 2 - Odstavec Char,Nadpis kapitoly Char,NoNewPg Char,PA Major Section Char,Podkapitola1 Char,TOC1 Char,V_Head2 Char,h2 Char,head2 Char,hlavicka Char,l2 Char,list2 Char"/>
    <w:basedOn w:val="DefaultParagraphFont"/>
    <w:link w:val="Heading2"/>
    <w:uiPriority w:val="9"/>
    <w:rsid w:val="00C45D9C"/>
    <w:rPr>
      <w:rFonts w:ascii="Arial" w:hAnsi="Arial" w:eastAsiaTheme="majorEastAsia" w:cstheme="majorBidi"/>
      <w:bCs/>
      <w:sz w:val="20"/>
      <w:szCs w:val="26"/>
    </w:rPr>
  </w:style>
  <w:style w:type="character" w:customStyle="1" w:styleId="Nadpis3Char">
    <w:name w:val="Nadpis 3 Char"/>
    <w:aliases w:val="(Alt+3) Char,H3 Char,Nadpis 3 - Pododstavec Char,Podkapitola2 Char,Table Attribute He... Char,V_Head3 Char,h3 Char,h3 sub heading Char"/>
    <w:basedOn w:val="DefaultParagraphFont"/>
    <w:link w:val="Heading3"/>
    <w:uiPriority w:val="9"/>
    <w:rsid w:val="00C45D9C"/>
    <w:rPr>
      <w:rFonts w:ascii="Arial" w:hAnsi="Arial" w:eastAsiaTheme="majorEastAsia" w:cstheme="majorBidi"/>
      <w:bCs/>
      <w:sz w:val="20"/>
    </w:rPr>
  </w:style>
  <w:style w:type="character" w:customStyle="1" w:styleId="Nadpis4Char">
    <w:name w:val="Nadpis 4 Char"/>
    <w:basedOn w:val="DefaultParagraphFont"/>
    <w:link w:val="Heading4"/>
    <w:uiPriority w:val="9"/>
    <w:rsid w:val="00CA5A5A"/>
    <w:rPr>
      <w:rFonts w:ascii="Arial" w:hAnsi="Arial" w:eastAsiaTheme="majorEastAsia" w:cstheme="majorBidi"/>
      <w:bCs/>
      <w:iCs/>
      <w:sz w:val="20"/>
    </w:rPr>
  </w:style>
  <w:style w:type="character" w:customStyle="1" w:styleId="Nadpis5Char">
    <w:name w:val="Nadpis 5 Char"/>
    <w:basedOn w:val="DefaultParagraphFont"/>
    <w:link w:val="Heading5"/>
    <w:uiPriority w:val="99"/>
    <w:rsid w:val="00C45D9C"/>
    <w:rPr>
      <w:rFonts w:asciiTheme="majorHAnsi" w:eastAsiaTheme="majorEastAsia" w:hAnsiTheme="majorHAnsi" w:cstheme="majorBidi"/>
      <w:color w:val="243F60" w:themeColor="accent1" w:themeShade="7F"/>
      <w:sz w:val="20"/>
    </w:rPr>
  </w:style>
  <w:style w:type="character" w:customStyle="1" w:styleId="Nadpis6Char">
    <w:name w:val="Nadpis 6 Char"/>
    <w:basedOn w:val="DefaultParagraphFont"/>
    <w:link w:val="Heading6"/>
    <w:rsid w:val="00C45D9C"/>
    <w:rPr>
      <w:rFonts w:asciiTheme="majorHAnsi" w:eastAsiaTheme="majorEastAsia" w:hAnsiTheme="majorHAnsi" w:cstheme="majorBidi"/>
      <w:i/>
      <w:iCs/>
      <w:color w:val="243F60" w:themeColor="accent1" w:themeShade="7F"/>
      <w:sz w:val="20"/>
    </w:rPr>
  </w:style>
  <w:style w:type="character" w:customStyle="1" w:styleId="Nadpis7Char">
    <w:name w:val="Nadpis 7 Char"/>
    <w:basedOn w:val="DefaultParagraphFont"/>
    <w:link w:val="Heading7"/>
    <w:semiHidden/>
    <w:rsid w:val="00C45D9C"/>
    <w:rPr>
      <w:rFonts w:asciiTheme="majorHAnsi" w:eastAsiaTheme="majorEastAsia" w:hAnsiTheme="majorHAnsi" w:cstheme="majorBidi"/>
      <w:i/>
      <w:iCs/>
      <w:color w:val="404040" w:themeColor="text1" w:themeTint="BF"/>
      <w:sz w:val="20"/>
    </w:rPr>
  </w:style>
  <w:style w:type="character" w:customStyle="1" w:styleId="Nadpis8Char">
    <w:name w:val="Nadpis 8 Char"/>
    <w:basedOn w:val="DefaultParagraphFont"/>
    <w:link w:val="Heading8"/>
    <w:semiHidden/>
    <w:rsid w:val="00C45D9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DefaultParagraphFont"/>
    <w:link w:val="Heading9"/>
    <w:semiHidden/>
    <w:rsid w:val="00C45D9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ZhlavChar"/>
    <w:rsid w:val="00C45D9C"/>
    <w:pPr>
      <w:tabs>
        <w:tab w:val="center" w:pos="4536"/>
        <w:tab w:val="right" w:pos="9072"/>
      </w:tabs>
    </w:pPr>
    <w:rPr>
      <w:rFonts w:eastAsia="Times New Roman" w:cs="Times New Roman"/>
      <w:szCs w:val="20"/>
    </w:rPr>
  </w:style>
  <w:style w:type="character" w:customStyle="1" w:styleId="ZhlavChar">
    <w:name w:val="Záhlaví Char"/>
    <w:basedOn w:val="DefaultParagraphFont"/>
    <w:link w:val="Header"/>
    <w:rsid w:val="00C45D9C"/>
    <w:rPr>
      <w:rFonts w:ascii="Arial" w:eastAsia="Times New Roman" w:hAnsi="Arial" w:cs="Times New Roman"/>
      <w:sz w:val="20"/>
      <w:szCs w:val="20"/>
    </w:rPr>
  </w:style>
  <w:style w:type="paragraph" w:styleId="ListParagraph">
    <w:name w:val="List Paragraph"/>
    <w:basedOn w:val="Normal"/>
    <w:uiPriority w:val="34"/>
    <w:qFormat/>
    <w:rsid w:val="00C45D9C"/>
    <w:pPr>
      <w:ind w:left="708"/>
    </w:pPr>
    <w:rPr>
      <w:rFonts w:eastAsia="Times New Roman" w:cs="Times New Roman"/>
      <w:szCs w:val="20"/>
    </w:rPr>
  </w:style>
  <w:style w:type="character" w:styleId="CommentReference">
    <w:name w:val="annotation reference"/>
    <w:aliases w:val="Značka poznámky"/>
    <w:basedOn w:val="DefaultParagraphFont"/>
    <w:uiPriority w:val="99"/>
    <w:rsid w:val="004519F2"/>
    <w:rPr>
      <w:sz w:val="16"/>
      <w:szCs w:val="16"/>
    </w:rPr>
  </w:style>
  <w:style w:type="paragraph" w:styleId="CommentText">
    <w:name w:val="annotation text"/>
    <w:aliases w:val="Char"/>
    <w:basedOn w:val="Normal"/>
    <w:link w:val="TextkomenteChar"/>
    <w:uiPriority w:val="99"/>
    <w:rsid w:val="004519F2"/>
    <w:rPr>
      <w:rFonts w:eastAsia="Times New Roman" w:cs="Times New Roman"/>
      <w:szCs w:val="20"/>
    </w:rPr>
  </w:style>
  <w:style w:type="character" w:customStyle="1" w:styleId="TextkomenteChar">
    <w:name w:val="Text komentáře Char"/>
    <w:aliases w:val="Char Char"/>
    <w:basedOn w:val="DefaultParagraphFont"/>
    <w:link w:val="CommentText"/>
    <w:uiPriority w:val="99"/>
    <w:rsid w:val="004519F2"/>
    <w:rPr>
      <w:rFonts w:ascii="Arial" w:eastAsia="Times New Roman" w:hAnsi="Arial" w:cs="Times New Roman"/>
      <w:sz w:val="20"/>
      <w:szCs w:val="20"/>
    </w:rPr>
  </w:style>
  <w:style w:type="paragraph" w:styleId="BalloonText">
    <w:name w:val="Balloon Text"/>
    <w:basedOn w:val="Normal"/>
    <w:link w:val="TextbublinyChar"/>
    <w:uiPriority w:val="99"/>
    <w:semiHidden/>
    <w:unhideWhenUsed/>
    <w:rsid w:val="004519F2"/>
    <w:pPr>
      <w:spacing w:after="0" w:line="240" w:lineRule="auto"/>
    </w:pPr>
    <w:rPr>
      <w:rFonts w:ascii="Tahoma" w:hAnsi="Tahoma" w:cs="Tahoma"/>
      <w:sz w:val="16"/>
      <w:szCs w:val="16"/>
    </w:rPr>
  </w:style>
  <w:style w:type="character" w:customStyle="1" w:styleId="TextbublinyChar">
    <w:name w:val="Text bubliny Char"/>
    <w:basedOn w:val="DefaultParagraphFont"/>
    <w:link w:val="BalloonText"/>
    <w:uiPriority w:val="99"/>
    <w:semiHidden/>
    <w:rsid w:val="004519F2"/>
    <w:rPr>
      <w:rFonts w:ascii="Tahoma" w:hAnsi="Tahoma" w:cs="Tahoma"/>
      <w:sz w:val="16"/>
      <w:szCs w:val="16"/>
    </w:rPr>
  </w:style>
  <w:style w:type="paragraph" w:styleId="Footer">
    <w:name w:val="footer"/>
    <w:basedOn w:val="Normal"/>
    <w:link w:val="ZpatChar"/>
    <w:uiPriority w:val="99"/>
    <w:unhideWhenUsed/>
    <w:rsid w:val="00CC7293"/>
    <w:pPr>
      <w:tabs>
        <w:tab w:val="center" w:pos="4536"/>
        <w:tab w:val="right" w:pos="9072"/>
      </w:tabs>
      <w:spacing w:after="0" w:line="240" w:lineRule="auto"/>
    </w:pPr>
  </w:style>
  <w:style w:type="character" w:customStyle="1" w:styleId="ZpatChar">
    <w:name w:val="Zápatí Char"/>
    <w:basedOn w:val="DefaultParagraphFont"/>
    <w:link w:val="Footer"/>
    <w:uiPriority w:val="99"/>
    <w:rsid w:val="00CC7293"/>
    <w:rPr>
      <w:rFonts w:ascii="Arial" w:hAnsi="Arial"/>
      <w:sz w:val="20"/>
    </w:rPr>
  </w:style>
  <w:style w:type="character" w:customStyle="1" w:styleId="h1a">
    <w:name w:val="h1a"/>
    <w:basedOn w:val="DefaultParagraphFont"/>
    <w:rsid w:val="0010308D"/>
  </w:style>
  <w:style w:type="paragraph" w:customStyle="1" w:styleId="Nadpis2bezslovn">
    <w:name w:val="Nadpis 2 bez číslování"/>
    <w:basedOn w:val="Heading2"/>
    <w:link w:val="Nadpis2bezslovnChar"/>
    <w:qFormat/>
    <w:rsid w:val="0010308D"/>
    <w:pPr>
      <w:keepLines/>
      <w:numPr>
        <w:ilvl w:val="0"/>
        <w:numId w:val="0"/>
      </w:numPr>
      <w:spacing w:before="120" w:line="240" w:lineRule="auto"/>
      <w:ind w:left="392"/>
    </w:pPr>
    <w:rPr>
      <w:rFonts w:ascii="Times New Roman" w:hAnsi="Times New Roman"/>
      <w:sz w:val="24"/>
    </w:rPr>
  </w:style>
  <w:style w:type="character" w:customStyle="1" w:styleId="Nadpis2bezslovnChar">
    <w:name w:val="Nadpis 2 bez číslování Char"/>
    <w:basedOn w:val="DefaultParagraphFont"/>
    <w:link w:val="Nadpis2bezslovn"/>
    <w:rsid w:val="0010308D"/>
    <w:rPr>
      <w:rFonts w:ascii="Times New Roman" w:hAnsi="Times New Roman" w:eastAsiaTheme="majorEastAsia" w:cstheme="majorBidi"/>
      <w:bCs/>
      <w:sz w:val="24"/>
      <w:szCs w:val="26"/>
    </w:rPr>
  </w:style>
  <w:style w:type="character" w:styleId="Hyperlink">
    <w:name w:val="Hyperlink"/>
    <w:basedOn w:val="DefaultParagraphFont"/>
    <w:unhideWhenUsed/>
    <w:rsid w:val="007A6185"/>
    <w:rPr>
      <w:color w:val="0000FF" w:themeColor="hyperlink"/>
      <w:u w:val="single"/>
    </w:rPr>
  </w:style>
  <w:style w:type="paragraph" w:styleId="FootnoteText">
    <w:name w:val="footnote text"/>
    <w:basedOn w:val="Normal"/>
    <w:link w:val="TextpoznpodarouChar"/>
    <w:uiPriority w:val="99"/>
    <w:semiHidden/>
    <w:unhideWhenUsed/>
    <w:rsid w:val="00FC1822"/>
    <w:pPr>
      <w:spacing w:after="0" w:line="240" w:lineRule="auto"/>
    </w:pPr>
    <w:rPr>
      <w:szCs w:val="20"/>
    </w:rPr>
  </w:style>
  <w:style w:type="character" w:customStyle="1" w:styleId="TextpoznpodarouChar">
    <w:name w:val="Text pozn. pod čarou Char"/>
    <w:basedOn w:val="DefaultParagraphFont"/>
    <w:link w:val="FootnoteText"/>
    <w:uiPriority w:val="99"/>
    <w:semiHidden/>
    <w:rsid w:val="00FC1822"/>
    <w:rPr>
      <w:rFonts w:ascii="Arial" w:hAnsi="Arial"/>
      <w:sz w:val="20"/>
      <w:szCs w:val="20"/>
    </w:rPr>
  </w:style>
  <w:style w:type="character" w:styleId="FootnoteReference">
    <w:name w:val="footnote reference"/>
    <w:basedOn w:val="DefaultParagraphFont"/>
    <w:uiPriority w:val="99"/>
    <w:semiHidden/>
    <w:unhideWhenUsed/>
    <w:rsid w:val="00FC1822"/>
    <w:rPr>
      <w:vertAlign w:val="superscript"/>
    </w:rPr>
  </w:style>
  <w:style w:type="character" w:customStyle="1" w:styleId="UnresolvedMention">
    <w:name w:val="Unresolved Mention"/>
    <w:basedOn w:val="DefaultParagraphFont"/>
    <w:uiPriority w:val="99"/>
    <w:semiHidden/>
    <w:unhideWhenUsed/>
    <w:rsid w:val="00235ECF"/>
    <w:rPr>
      <w:color w:val="605E5C"/>
      <w:shd w:val="clear" w:color="auto" w:fill="E1DFDD"/>
    </w:rPr>
  </w:style>
  <w:style w:type="paragraph" w:styleId="CommentSubject">
    <w:name w:val="annotation subject"/>
    <w:basedOn w:val="CommentText"/>
    <w:next w:val="CommentText"/>
    <w:link w:val="PedmtkomenteChar"/>
    <w:uiPriority w:val="99"/>
    <w:semiHidden/>
    <w:unhideWhenUsed/>
    <w:rsid w:val="00934F1E"/>
    <w:pPr>
      <w:spacing w:line="240" w:lineRule="auto"/>
    </w:pPr>
    <w:rPr>
      <w:rFonts w:eastAsiaTheme="minorEastAsia" w:cstheme="minorBidi"/>
      <w:b/>
      <w:bCs/>
    </w:rPr>
  </w:style>
  <w:style w:type="character" w:customStyle="1" w:styleId="PedmtkomenteChar">
    <w:name w:val="Předmět komentáře Char"/>
    <w:basedOn w:val="TextkomenteChar"/>
    <w:link w:val="CommentSubject"/>
    <w:uiPriority w:val="99"/>
    <w:semiHidden/>
    <w:rsid w:val="00934F1E"/>
    <w:rPr>
      <w:rFonts w:ascii="Arial" w:eastAsia="Times New Roman" w:hAnsi="Arial" w:cs="Times New Roman"/>
      <w:b/>
      <w:bCs/>
      <w:sz w:val="20"/>
      <w:szCs w:val="20"/>
    </w:rPr>
  </w:style>
  <w:style w:type="table" w:styleId="TableGrid">
    <w:name w:val="Table Grid"/>
    <w:basedOn w:val="TableNormal"/>
    <w:uiPriority w:val="59"/>
    <w:rsid w:val="00D33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332C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header" Target="header1.xml" /><Relationship Id="rId9" Type="http://schemas.openxmlformats.org/officeDocument/2006/relationships/footer" Target="footer2.xm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15656\Desktop\Smlouva_sluzby.dotx" TargetMode="External"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77B52-A3FA-4F3B-BA4B-AC00965C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748</TotalTime>
  <Pages>23</Pages>
  <Words>7527</Words>
  <Characters>44416</Characters>
  <Application>Microsoft Office Word</Application>
  <DocSecurity>0</DocSecurity>
  <Lines>370</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24</cp:revision>
  <dcterms:created xsi:type="dcterms:W3CDTF">2026-02-02T09:23:00Z</dcterms:created>
</cp:coreProperties>
</file>