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9.0.0 -->
  <w:body>
    <w:p w:rsidR="003E1524" w:rsidRPr="00A3498A" w:rsidP="00A3498A">
      <w:pPr>
        <w:pStyle w:val="TechnicalBlock"/>
        <w:ind w:left="-1134" w:right="-1134"/>
      </w:pPr>
      <w:bookmarkStart w:id="0" w:name="DW_BM_COVERPAGE"/>
      <w:bookmarkStart w:id="1" w:name="_GoBack"/>
      <w:bookmarkEnd w:id="1"/>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aa0d064-e089-4af8-ada0-a461ac8a357d_0" style="height:410.1pt;width:568.5pt">
            <v:imagedata r:id="rId4" o:title=""/>
          </v:shape>
        </w:pict>
      </w:r>
      <w:bookmarkEnd w:id="0"/>
    </w:p>
    <w:p w:rsidR="00EE75A3" w:rsidP="00FE23AB">
      <w:pPr>
        <w:rPr>
          <w:rFonts w:asciiTheme="majorBidi" w:hAnsiTheme="majorBidi" w:cstheme="majorBidi"/>
        </w:rPr>
      </w:pPr>
      <w:r w:rsidRPr="00EE75A3">
        <w:rPr>
          <w:rFonts w:asciiTheme="majorBidi" w:hAnsiTheme="majorBidi" w:cstheme="majorBidi"/>
        </w:rPr>
        <w:t xml:space="preserve">Delegations will find in the annex the Council conclusions on </w:t>
      </w:r>
      <w:r w:rsidR="00F5236A">
        <w:rPr>
          <w:rFonts w:asciiTheme="majorBidi" w:hAnsiTheme="majorBidi" w:cstheme="majorBidi"/>
        </w:rPr>
        <w:t>the Commission 2016 A</w:t>
      </w:r>
      <w:r w:rsidRPr="00EE75A3">
        <w:rPr>
          <w:rFonts w:asciiTheme="majorBidi" w:hAnsiTheme="majorBidi" w:cstheme="majorBidi"/>
        </w:rPr>
        <w:t xml:space="preserve">ction Plan </w:t>
      </w:r>
      <w:r w:rsidR="00F5236A">
        <w:rPr>
          <w:rFonts w:asciiTheme="majorBidi" w:hAnsiTheme="majorBidi" w:cstheme="majorBidi"/>
        </w:rPr>
        <w:t xml:space="preserve">on VAT and </w:t>
      </w:r>
      <w:r w:rsidRPr="00EE75A3">
        <w:rPr>
          <w:rFonts w:asciiTheme="majorBidi" w:hAnsiTheme="majorBidi" w:cstheme="majorBidi"/>
        </w:rPr>
        <w:t xml:space="preserve">European Court of Auditors </w:t>
      </w:r>
      <w:r w:rsidR="00F5236A">
        <w:rPr>
          <w:rFonts w:asciiTheme="majorBidi" w:hAnsiTheme="majorBidi" w:cstheme="majorBidi"/>
        </w:rPr>
        <w:t>Special Report No. 24 on VAT fraud</w:t>
      </w:r>
      <w:r w:rsidRPr="00EE75A3">
        <w:rPr>
          <w:rFonts w:asciiTheme="majorBidi" w:hAnsiTheme="majorBidi" w:cstheme="majorBidi"/>
        </w:rPr>
        <w:t>, adopted by the Council at its 3468</w:t>
      </w:r>
      <w:r w:rsidRPr="008D3548">
        <w:rPr>
          <w:rFonts w:asciiTheme="majorBidi" w:hAnsiTheme="majorBidi" w:cstheme="majorBidi"/>
          <w:vertAlign w:val="superscript"/>
        </w:rPr>
        <w:t>th</w:t>
      </w:r>
      <w:r w:rsidRPr="00EE75A3">
        <w:rPr>
          <w:rFonts w:asciiTheme="majorBidi" w:hAnsiTheme="majorBidi" w:cstheme="majorBidi"/>
        </w:rPr>
        <w:t xml:space="preserve"> meeting held on 25 May 2016.</w:t>
      </w:r>
    </w:p>
    <w:p w:rsidR="00EE75A3" w:rsidP="00EE75A3">
      <w:pPr>
        <w:pStyle w:val="FinalLine"/>
      </w:pPr>
    </w:p>
    <w:p w:rsidR="00EE75A3" w:rsidP="00EE75A3">
      <w:pPr>
        <w:sectPr w:rsidSect="00FE23AB">
          <w:footerReference w:type="default" r:id="rId5"/>
          <w:footerReference w:type="first" r:id="rId6"/>
          <w:pgSz w:w="11907" w:h="16840" w:code="9"/>
          <w:pgMar w:top="624" w:right="1134" w:bottom="1134" w:left="1134" w:header="567" w:footer="567" w:gutter="0"/>
          <w:pgNumType w:start="1"/>
          <w:cols w:space="708"/>
          <w:titlePg/>
          <w:docGrid w:linePitch="360"/>
        </w:sectPr>
      </w:pPr>
    </w:p>
    <w:p w:rsidR="00EE75A3" w:rsidP="00EE75A3">
      <w:pPr>
        <w:pStyle w:val="Annex"/>
      </w:pPr>
      <w:r w:rsidRPr="00EE75A3">
        <w:t>ANNEX</w:t>
      </w:r>
    </w:p>
    <w:p w:rsidR="00C01E8F" w:rsidRPr="006F6996" w:rsidP="00C01E8F">
      <w:pPr>
        <w:jc w:val="center"/>
        <w:rPr>
          <w:caps/>
        </w:rPr>
      </w:pPr>
      <w:r w:rsidRPr="006F6996">
        <w:rPr>
          <w:b/>
          <w:bCs/>
          <w:caps/>
        </w:rPr>
        <w:t>COUNCIL CONCLUSIONS ON</w:t>
      </w:r>
      <w:r>
        <w:rPr>
          <w:caps/>
        </w:rPr>
        <w:br/>
      </w:r>
      <w:r w:rsidRPr="006F6996">
        <w:rPr>
          <w:b/>
        </w:rPr>
        <w:t>THE COMMISSION 2016 ACTION PLAN ON VAT AND</w:t>
      </w:r>
      <w:r>
        <w:rPr>
          <w:b/>
        </w:rPr>
        <w:br/>
      </w:r>
      <w:r w:rsidRPr="006F6996">
        <w:rPr>
          <w:b/>
          <w:bCs/>
        </w:rPr>
        <w:t>EUROPEAN COURT OF AUDITORS SPECIAL REPORT No. 24 ON VAT FRAUD</w:t>
      </w:r>
    </w:p>
    <w:p w:rsidR="00C01E8F" w:rsidRPr="006F6996" w:rsidP="00C01E8F">
      <w:pPr>
        <w:ind w:left="709" w:hanging="709"/>
      </w:pPr>
      <w:r w:rsidRPr="006F6996">
        <w:t>The Council of the European Union (ECOFIN):</w:t>
      </w:r>
    </w:p>
    <w:p w:rsidR="00C01E8F" w:rsidRPr="006F6996" w:rsidP="00C01E8F">
      <w:pPr>
        <w:pStyle w:val="Dash"/>
        <w:numPr>
          <w:ilvl w:val="0"/>
          <w:numId w:val="0"/>
        </w:numPr>
        <w:tabs>
          <w:tab w:val="left" w:pos="567"/>
        </w:tabs>
        <w:ind w:left="567" w:hanging="567"/>
      </w:pPr>
      <w:r w:rsidRPr="006F6996">
        <w:t>–</w:t>
      </w:r>
      <w:r w:rsidRPr="006F6996">
        <w:tab/>
        <w:t>WELCOMES the Commission Communication "Towards a single EU VAT area – Time to decide" (VAT Action Plan) and TAKES NOTE of the Special Report of the Court of Auditors No. 24: "Tackling intra-Community VAT Fraud: More action needed", as well as of the findings and recommendations set out therein;</w:t>
      </w:r>
    </w:p>
    <w:p w:rsidR="00C01E8F" w:rsidRPr="006F6996" w:rsidP="00C01E8F">
      <w:pPr>
        <w:pStyle w:val="Dash"/>
        <w:numPr>
          <w:ilvl w:val="0"/>
          <w:numId w:val="0"/>
        </w:numPr>
        <w:tabs>
          <w:tab w:val="left" w:pos="567"/>
        </w:tabs>
        <w:ind w:left="567" w:hanging="567"/>
      </w:pPr>
      <w:r w:rsidRPr="006F6996">
        <w:t>–</w:t>
      </w:r>
      <w:r w:rsidRPr="006F6996">
        <w:tab/>
        <w:t>RECALLS Council conclusions of 15 May 2012 "On the Future of VAT", where the Council has emphasised that the EU needs a simpler VAT system, which at the same time is more efficient, more robust, fraud-proof and tailored for single market</w:t>
      </w:r>
      <w:r>
        <w:t xml:space="preserve"> and has pointed out </w:t>
      </w:r>
      <w:r w:rsidRPr="00811640">
        <w:t>the following principles and legal considerations, which should be taken into account in furtherance of any future action: cost-efficiency, proportionality, unanimity, data protection legislation, compliance with the subsidiarity principle and full respect for the respectiv</w:t>
      </w:r>
      <w:r>
        <w:t>e competences of the Union and t</w:t>
      </w:r>
      <w:r w:rsidRPr="00811640">
        <w:t>he Member States</w:t>
      </w:r>
      <w:r w:rsidRPr="006F6996">
        <w:t>;</w:t>
      </w:r>
    </w:p>
    <w:p w:rsidR="00C01E8F" w:rsidRPr="006F6996" w:rsidP="00C01E8F">
      <w:pPr>
        <w:pStyle w:val="Dash"/>
        <w:numPr>
          <w:ilvl w:val="0"/>
          <w:numId w:val="0"/>
        </w:numPr>
        <w:tabs>
          <w:tab w:val="left" w:pos="567"/>
        </w:tabs>
        <w:ind w:left="567" w:hanging="567"/>
        <w:rPr>
          <w:noProof/>
        </w:rPr>
      </w:pPr>
      <w:r w:rsidRPr="006F6996">
        <w:rPr>
          <w:noProof/>
        </w:rPr>
        <w:t>–</w:t>
      </w:r>
      <w:r w:rsidRPr="006F6996">
        <w:rPr>
          <w:noProof/>
        </w:rPr>
        <w:tab/>
      </w:r>
      <w:r w:rsidRPr="006F6996">
        <w:t>AGREES</w:t>
      </w:r>
      <w:r w:rsidRPr="006F6996">
        <w:rPr>
          <w:noProof/>
        </w:rPr>
        <w:t xml:space="preserve"> th</w:t>
      </w:r>
      <w:r w:rsidRPr="006F6996">
        <w:t>a</w:t>
      </w:r>
      <w:r w:rsidRPr="006F6996">
        <w:rPr>
          <w:noProof/>
        </w:rPr>
        <w:t xml:space="preserve">t </w:t>
      </w:r>
      <w:r>
        <w:rPr>
          <w:noProof/>
        </w:rPr>
        <w:t xml:space="preserve">the </w:t>
      </w:r>
      <w:r w:rsidRPr="006F6996">
        <w:rPr>
          <w:noProof/>
        </w:rPr>
        <w:t xml:space="preserve">EU VAT system needs to be modernised and </w:t>
      </w:r>
      <w:r>
        <w:rPr>
          <w:noProof/>
        </w:rPr>
        <w:t>improved</w:t>
      </w:r>
      <w:r w:rsidRPr="006F6996">
        <w:rPr>
          <w:noProof/>
        </w:rPr>
        <w:t xml:space="preserve"> with these general objectives in mind</w:t>
      </w:r>
      <w:r w:rsidRPr="00257E8D">
        <w:t>, while stressing the importance of keeping the EU’s business environment competitive</w:t>
      </w:r>
      <w:r w:rsidRPr="00257E8D">
        <w:rPr>
          <w:noProof/>
        </w:rPr>
        <w:t>;</w:t>
      </w:r>
    </w:p>
    <w:p w:rsidR="00C01E8F" w:rsidRPr="006F6996" w:rsidP="00C01E8F">
      <w:pPr>
        <w:pStyle w:val="Dash"/>
        <w:numPr>
          <w:ilvl w:val="0"/>
          <w:numId w:val="0"/>
        </w:numPr>
        <w:tabs>
          <w:tab w:val="left" w:pos="567"/>
        </w:tabs>
        <w:ind w:left="567" w:hanging="567"/>
      </w:pPr>
      <w:r w:rsidRPr="006F6996">
        <w:t>–</w:t>
      </w:r>
      <w:r w:rsidRPr="006F6996">
        <w:tab/>
      </w:r>
      <w:r>
        <w:t>ACKNOWLEDGES</w:t>
      </w:r>
      <w:r>
        <w:rPr>
          <w:noProof/>
        </w:rPr>
        <w:t xml:space="preserve"> </w:t>
      </w:r>
      <w:r w:rsidRPr="00823C76">
        <w:rPr>
          <w:noProof/>
        </w:rPr>
        <w:t>the objectives outlined in the VAT Action Plan, which provide</w:t>
      </w:r>
      <w:r w:rsidRPr="00823C76">
        <w:t xml:space="preserve"> a framework to achieve a Single EU VAT area</w:t>
      </w:r>
      <w:r w:rsidRPr="006F6996">
        <w:t>, and</w:t>
      </w:r>
    </w:p>
    <w:p w:rsidR="00C01E8F" w:rsidRPr="006F6996" w:rsidP="00C01E8F">
      <w:pPr>
        <w:pStyle w:val="Dash"/>
        <w:numPr>
          <w:ilvl w:val="0"/>
          <w:numId w:val="0"/>
        </w:numPr>
        <w:tabs>
          <w:tab w:val="left" w:pos="567"/>
        </w:tabs>
        <w:ind w:left="567" w:hanging="567"/>
      </w:pPr>
      <w:r w:rsidRPr="006F6996">
        <w:t>–</w:t>
      </w:r>
      <w:r w:rsidRPr="006F6996">
        <w:tab/>
        <w:t>ADOPTS the following conclusions:</w:t>
      </w:r>
    </w:p>
    <w:p w:rsidR="00C01E8F" w:rsidRPr="00D7154D" w:rsidP="00C01E8F">
      <w:pPr>
        <w:pStyle w:val="HeadingIVX"/>
        <w:numPr>
          <w:ilvl w:val="0"/>
          <w:numId w:val="0"/>
        </w:numPr>
        <w:tabs>
          <w:tab w:val="left" w:pos="567"/>
        </w:tabs>
        <w:ind w:left="567" w:hanging="567"/>
        <w:rPr>
          <w:u w:val="none"/>
        </w:rPr>
      </w:pPr>
      <w:r>
        <w:rPr>
          <w:u w:val="none"/>
        </w:rPr>
        <w:br w:type="page"/>
      </w:r>
      <w:r w:rsidRPr="00D7154D">
        <w:rPr>
          <w:u w:val="none"/>
        </w:rPr>
        <w:t>I.</w:t>
      </w:r>
      <w:r w:rsidRPr="00D7154D">
        <w:rPr>
          <w:u w:val="none"/>
        </w:rPr>
        <w:tab/>
        <w:t xml:space="preserve">ON </w:t>
      </w:r>
      <w:r w:rsidRPr="00D7154D">
        <w:rPr>
          <w:u w:val="none"/>
          <w:lang w:eastAsia="fr-FR"/>
        </w:rPr>
        <w:t>URGENT MEASURES TO FIGHT VAT FRAUD AND TACKLE THE VAT GAP</w:t>
      </w:r>
    </w:p>
    <w:p w:rsidR="00C01E8F" w:rsidRPr="006F6996" w:rsidP="00C01E8F">
      <w:pPr>
        <w:spacing w:after="200"/>
        <w:ind w:left="709" w:hanging="709"/>
      </w:pPr>
      <w:r w:rsidRPr="006F6996">
        <w:t>The Council of the European Union:</w:t>
      </w:r>
    </w:p>
    <w:p w:rsidR="00C01E8F" w:rsidRPr="00DC2536" w:rsidP="00C01E8F">
      <w:pPr>
        <w:pStyle w:val="Point123"/>
        <w:numPr>
          <w:ilvl w:val="0"/>
          <w:numId w:val="0"/>
        </w:numPr>
        <w:tabs>
          <w:tab w:val="left" w:pos="567"/>
        </w:tabs>
        <w:ind w:left="567" w:hanging="567"/>
      </w:pPr>
      <w:r w:rsidRPr="00DC2536">
        <w:rPr>
          <w:iCs/>
        </w:rPr>
        <w:t>1.</w:t>
      </w:r>
      <w:r w:rsidRPr="00DC2536">
        <w:rPr>
          <w:iCs/>
        </w:rPr>
        <w:tab/>
      </w:r>
      <w:r>
        <w:t xml:space="preserve">RECALLS the utmost importance of robust legal rules which hamper VAT fraud and </w:t>
      </w:r>
      <w:r w:rsidRPr="006F6996">
        <w:t xml:space="preserve">AGREES with the Commission and the Court of Auditors </w:t>
      </w:r>
      <w:r w:rsidRPr="00AC539A">
        <w:t>th</w:t>
      </w:r>
      <w:r w:rsidRPr="00DC2536">
        <w:t xml:space="preserve">at improving administrative cooperation between tax authorities is of </w:t>
      </w:r>
      <w:r>
        <w:t xml:space="preserve">significant </w:t>
      </w:r>
      <w:r w:rsidRPr="00DC2536">
        <w:t>importance in the fight against VAT fraud, and hence UNDERTAKES to pursue discussion on means of enhancing the scope of administrative cooperation and step</w:t>
      </w:r>
      <w:r>
        <w:t>ping</w:t>
      </w:r>
      <w:r w:rsidRPr="00DC2536">
        <w:t xml:space="preserve"> up efforts to exchange information between tax administrations</w:t>
      </w:r>
      <w:r>
        <w:t>;</w:t>
      </w:r>
    </w:p>
    <w:p w:rsidR="00C01E8F" w:rsidRPr="006A496D" w:rsidP="00C01E8F">
      <w:pPr>
        <w:pStyle w:val="Point123"/>
        <w:numPr>
          <w:ilvl w:val="0"/>
          <w:numId w:val="0"/>
        </w:numPr>
        <w:tabs>
          <w:tab w:val="left" w:pos="567"/>
        </w:tabs>
        <w:ind w:left="567" w:hanging="567"/>
        <w:rPr>
          <w:noProof/>
        </w:rPr>
      </w:pPr>
      <w:r w:rsidRPr="006A496D">
        <w:rPr>
          <w:iCs/>
          <w:noProof/>
        </w:rPr>
        <w:t>2.</w:t>
      </w:r>
      <w:r w:rsidRPr="006A496D">
        <w:rPr>
          <w:iCs/>
          <w:noProof/>
        </w:rPr>
        <w:tab/>
      </w:r>
      <w:r w:rsidRPr="006A496D">
        <w:t xml:space="preserve">CONFIRMS that there is a need for </w:t>
      </w:r>
      <w:r>
        <w:t xml:space="preserve">further </w:t>
      </w:r>
      <w:r w:rsidRPr="006A496D">
        <w:t xml:space="preserve">co-operation in a spirit of </w:t>
      </w:r>
      <w:r>
        <w:t>good understanding among</w:t>
      </w:r>
      <w:r w:rsidRPr="006A496D">
        <w:t xml:space="preserve"> </w:t>
      </w:r>
      <w:r w:rsidRPr="006A496D">
        <w:rPr>
          <w:noProof/>
        </w:rPr>
        <w:t>business and tax administrations, as well as between tax administrations of EU Member States;</w:t>
      </w:r>
    </w:p>
    <w:p w:rsidR="00C01E8F" w:rsidP="00C01E8F">
      <w:pPr>
        <w:pStyle w:val="Point123"/>
        <w:numPr>
          <w:ilvl w:val="0"/>
          <w:numId w:val="0"/>
        </w:numPr>
        <w:tabs>
          <w:tab w:val="left" w:pos="567"/>
        </w:tabs>
        <w:ind w:left="567" w:hanging="567"/>
      </w:pPr>
      <w:r>
        <w:rPr>
          <w:iCs/>
        </w:rPr>
        <w:t>3.</w:t>
      </w:r>
      <w:r>
        <w:rPr>
          <w:iCs/>
        </w:rPr>
        <w:tab/>
      </w:r>
      <w:r>
        <w:t>UNDERLINES</w:t>
      </w:r>
      <w:r w:rsidRPr="006A496D">
        <w:t xml:space="preserve"> that further initiatives in this area should form an efficient addition to </w:t>
      </w:r>
      <w:r w:rsidRPr="00DC2536">
        <w:t xml:space="preserve">existing </w:t>
      </w:r>
      <w:r>
        <w:t xml:space="preserve">rules and </w:t>
      </w:r>
      <w:r w:rsidRPr="00DC2536">
        <w:t xml:space="preserve">instruments and </w:t>
      </w:r>
      <w:r w:rsidRPr="006A496D">
        <w:t>also seek to guarantee high standards of data protection, and fully take into account the principles of sovereignty, subsidiarity and proportionality;</w:t>
      </w:r>
    </w:p>
    <w:p w:rsidR="00C01E8F" w:rsidRPr="006A496D" w:rsidP="00C01E8F">
      <w:pPr>
        <w:pStyle w:val="Point123"/>
        <w:numPr>
          <w:ilvl w:val="0"/>
          <w:numId w:val="0"/>
        </w:numPr>
        <w:tabs>
          <w:tab w:val="left" w:pos="567"/>
        </w:tabs>
        <w:ind w:left="567" w:hanging="567"/>
      </w:pPr>
      <w:r w:rsidRPr="006A496D">
        <w:rPr>
          <w:iCs/>
        </w:rPr>
        <w:t>4.</w:t>
      </w:r>
      <w:r w:rsidRPr="006A496D">
        <w:rPr>
          <w:iCs/>
        </w:rPr>
        <w:tab/>
      </w:r>
      <w:r>
        <w:t xml:space="preserve">TAKES NOTE of </w:t>
      </w:r>
      <w:r w:rsidRPr="00D11329">
        <w:t xml:space="preserve">the Commission’s intention to table in 2017 a legislative proposal that will aim at </w:t>
      </w:r>
      <w:r>
        <w:rPr>
          <w:noProof/>
        </w:rPr>
        <w:t>improving the exchange, sharing and analysis of key information and foresee conducting of joint audits</w:t>
      </w:r>
      <w:r w:rsidRPr="00D11329">
        <w:t>;</w:t>
      </w:r>
    </w:p>
    <w:p w:rsidR="00C01E8F" w:rsidP="00C01E8F">
      <w:pPr>
        <w:pStyle w:val="Point123"/>
        <w:numPr>
          <w:ilvl w:val="0"/>
          <w:numId w:val="0"/>
        </w:numPr>
        <w:tabs>
          <w:tab w:val="left" w:pos="567"/>
        </w:tabs>
        <w:ind w:left="567" w:hanging="567"/>
      </w:pPr>
      <w:r>
        <w:rPr>
          <w:iCs/>
        </w:rPr>
        <w:t>5.</w:t>
      </w:r>
      <w:r>
        <w:rPr>
          <w:iCs/>
        </w:rPr>
        <w:tab/>
      </w:r>
      <w:r>
        <w:t>ACKNOWLEDGES</w:t>
      </w:r>
      <w:r w:rsidRPr="006A496D">
        <w:t xml:space="preserve"> that improvement of information exchange </w:t>
      </w:r>
      <w:r>
        <w:t>could</w:t>
      </w:r>
      <w:r w:rsidRPr="006A496D">
        <w:t xml:space="preserve"> result </w:t>
      </w:r>
      <w:r>
        <w:t xml:space="preserve">in </w:t>
      </w:r>
      <w:r w:rsidRPr="006A496D">
        <w:t xml:space="preserve">a clear improvement of efficiency in the fight against VAT fraud, and CALLS upon the Commission to </w:t>
      </w:r>
      <w:r w:rsidRPr="00823C76">
        <w:t xml:space="preserve">propose ways of addressing  </w:t>
      </w:r>
      <w:r w:rsidRPr="006A496D">
        <w:t xml:space="preserve">legal obstacles and practical limitations </w:t>
      </w:r>
      <w:r>
        <w:t xml:space="preserve">that might </w:t>
      </w:r>
      <w:r w:rsidRPr="006A496D">
        <w:t xml:space="preserve">exist in the EU and in the Member States that </w:t>
      </w:r>
      <w:r>
        <w:t>prevent</w:t>
      </w:r>
      <w:r w:rsidRPr="006A496D">
        <w:t xml:space="preserve"> from making a qualitative leap in this area in the EU;</w:t>
      </w:r>
    </w:p>
    <w:p w:rsidR="00C01E8F" w:rsidP="00C01E8F">
      <w:pPr>
        <w:pStyle w:val="Point123"/>
        <w:numPr>
          <w:ilvl w:val="0"/>
          <w:numId w:val="0"/>
        </w:numPr>
        <w:tabs>
          <w:tab w:val="left" w:pos="567"/>
        </w:tabs>
        <w:ind w:left="567" w:hanging="567"/>
        <w:rPr>
          <w:noProof/>
        </w:rPr>
      </w:pPr>
      <w:r>
        <w:rPr>
          <w:iCs/>
          <w:noProof/>
        </w:rPr>
        <w:t>6.</w:t>
      </w:r>
      <w:r>
        <w:rPr>
          <w:iCs/>
          <w:noProof/>
        </w:rPr>
        <w:tab/>
      </w:r>
      <w:r w:rsidRPr="006A496D">
        <w:t xml:space="preserve">HIGHLIGHTS that this work should </w:t>
      </w:r>
      <w:r>
        <w:t xml:space="preserve">promote co-operation and </w:t>
      </w:r>
      <w:r w:rsidRPr="006A496D">
        <w:t xml:space="preserve">cover the full range of available means and methods and alignment of procedures, including, </w:t>
      </w:r>
      <w:r w:rsidRPr="006A496D">
        <w:rPr>
          <w:i/>
        </w:rPr>
        <w:t>inter alia</w:t>
      </w:r>
      <w:r w:rsidRPr="006A496D">
        <w:t xml:space="preserve">, VIES, </w:t>
      </w:r>
      <w:r w:rsidRPr="006A496D">
        <w:t>Eurofisc</w:t>
      </w:r>
      <w:r w:rsidRPr="006A496D">
        <w:t>, feedback procedures</w:t>
      </w:r>
      <w:r>
        <w:t xml:space="preserve"> and customs procedure </w:t>
      </w:r>
      <w:r w:rsidRPr="00533A08">
        <w:t>42, where the challenges both to customs and tax authorities must also be addressed;</w:t>
      </w:r>
    </w:p>
    <w:p w:rsidR="00C01E8F" w:rsidRPr="006A496D" w:rsidP="00C01E8F">
      <w:pPr>
        <w:pStyle w:val="Point123"/>
        <w:numPr>
          <w:ilvl w:val="0"/>
          <w:numId w:val="0"/>
        </w:numPr>
        <w:tabs>
          <w:tab w:val="left" w:pos="567"/>
        </w:tabs>
        <w:ind w:left="567" w:hanging="567"/>
      </w:pPr>
      <w:r>
        <w:rPr>
          <w:iCs/>
        </w:rPr>
        <w:br w:type="page"/>
      </w:r>
      <w:r w:rsidRPr="006A496D">
        <w:rPr>
          <w:iCs/>
        </w:rPr>
        <w:t>7.</w:t>
      </w:r>
      <w:r w:rsidRPr="006A496D">
        <w:rPr>
          <w:iCs/>
        </w:rPr>
        <w:tab/>
      </w:r>
      <w:r w:rsidRPr="006F6996">
        <w:rPr>
          <w:noProof/>
        </w:rPr>
        <w:t xml:space="preserve">LOOKS FORWARD to the other measures </w:t>
      </w:r>
      <w:r>
        <w:rPr>
          <w:noProof/>
        </w:rPr>
        <w:t xml:space="preserve">referred to in the VAT Action Plan </w:t>
      </w:r>
      <w:r w:rsidRPr="006F6996">
        <w:rPr>
          <w:noProof/>
        </w:rPr>
        <w:t xml:space="preserve">that the </w:t>
      </w:r>
      <w:r w:rsidRPr="006F6996">
        <w:t>Commission</w:t>
      </w:r>
      <w:r w:rsidRPr="006F6996">
        <w:rPr>
          <w:noProof/>
        </w:rPr>
        <w:t xml:space="preserve"> will propose </w:t>
      </w:r>
      <w:r w:rsidRPr="00AC539A">
        <w:rPr>
          <w:noProof/>
        </w:rPr>
        <w:t xml:space="preserve">to the Council with the objective of improving cooperation between tax administration and customs </w:t>
      </w:r>
      <w:r>
        <w:rPr>
          <w:noProof/>
        </w:rPr>
        <w:t>authorities</w:t>
      </w:r>
      <w:r w:rsidRPr="00DC2536">
        <w:rPr>
          <w:noProof/>
        </w:rPr>
        <w:t>;</w:t>
      </w:r>
    </w:p>
    <w:p w:rsidR="00C01E8F" w:rsidRPr="009D599F" w:rsidP="00C01E8F">
      <w:pPr>
        <w:pStyle w:val="Point123"/>
        <w:numPr>
          <w:ilvl w:val="0"/>
          <w:numId w:val="0"/>
        </w:numPr>
        <w:tabs>
          <w:tab w:val="left" w:pos="567"/>
        </w:tabs>
        <w:ind w:left="567" w:hanging="567"/>
        <w:rPr>
          <w:color w:val="1F497D"/>
        </w:rPr>
      </w:pPr>
      <w:r w:rsidRPr="009D599F">
        <w:rPr>
          <w:iCs/>
          <w:color w:val="1F497D"/>
        </w:rPr>
        <w:t>8.</w:t>
      </w:r>
      <w:r w:rsidRPr="009D599F">
        <w:rPr>
          <w:iCs/>
          <w:color w:val="1F497D"/>
        </w:rPr>
        <w:tab/>
      </w:r>
      <w:r w:rsidRPr="009D599F">
        <w:t>UNDERLINES that as discussed during an informal meeting of ECOFIN ministers in Amsterdam, automatic exchange of information is one of the ways forward in the fight against fraud;</w:t>
      </w:r>
    </w:p>
    <w:p w:rsidR="00C01E8F" w:rsidRPr="00D8177C" w:rsidP="00C01E8F">
      <w:pPr>
        <w:pStyle w:val="Point123"/>
        <w:numPr>
          <w:ilvl w:val="0"/>
          <w:numId w:val="0"/>
        </w:numPr>
        <w:tabs>
          <w:tab w:val="left" w:pos="567"/>
        </w:tabs>
        <w:ind w:left="567" w:hanging="567"/>
        <w:rPr>
          <w:bCs/>
        </w:rPr>
      </w:pPr>
      <w:r w:rsidRPr="00D8177C">
        <w:rPr>
          <w:bCs/>
          <w:iCs/>
        </w:rPr>
        <w:t>9.</w:t>
      </w:r>
      <w:r w:rsidRPr="00D8177C">
        <w:rPr>
          <w:bCs/>
          <w:iCs/>
        </w:rPr>
        <w:tab/>
      </w:r>
      <w:r w:rsidRPr="006A496D">
        <w:rPr>
          <w:bCs/>
        </w:rPr>
        <w:t xml:space="preserve">CONFIRMS that risk assessment and analysis remains a major area for further </w:t>
      </w:r>
      <w:r w:rsidRPr="00D7154D">
        <w:t>improvement</w:t>
      </w:r>
      <w:r w:rsidRPr="006A496D">
        <w:rPr>
          <w:bCs/>
        </w:rPr>
        <w:t xml:space="preserve"> in the EU, and</w:t>
      </w:r>
      <w:r>
        <w:rPr>
          <w:bCs/>
        </w:rPr>
        <w:t xml:space="preserve"> INVITES </w:t>
      </w:r>
      <w:r w:rsidRPr="006A496D">
        <w:t>the Commission</w:t>
      </w:r>
      <w:r>
        <w:t xml:space="preserve">, after the results of the </w:t>
      </w:r>
      <w:r w:rsidRPr="006A496D">
        <w:t>feasibility study on T</w:t>
      </w:r>
      <w:r>
        <w:t xml:space="preserve">ransaction </w:t>
      </w:r>
      <w:r w:rsidRPr="006A496D">
        <w:t>N</w:t>
      </w:r>
      <w:r>
        <w:t xml:space="preserve">etwork </w:t>
      </w:r>
      <w:r w:rsidRPr="006A496D">
        <w:t>A</w:t>
      </w:r>
      <w:r>
        <w:t xml:space="preserve">nalysis have been evaluated by Member States, </w:t>
      </w:r>
      <w:r w:rsidRPr="006A496D">
        <w:t xml:space="preserve">to present </w:t>
      </w:r>
      <w:r w:rsidRPr="00FE52B9">
        <w:t>relevant initiatives</w:t>
      </w:r>
      <w:r w:rsidRPr="006A496D">
        <w:t xml:space="preserve"> </w:t>
      </w:r>
      <w:r>
        <w:t>enabling the Member States, wishing to start this tool on a voluntary basis, to exercise such an option,</w:t>
      </w:r>
      <w:r w:rsidRPr="00F10254">
        <w:t xml:space="preserve"> </w:t>
      </w:r>
      <w:r>
        <w:t xml:space="preserve">and at the same time </w:t>
      </w:r>
      <w:r w:rsidRPr="00372C49">
        <w:t>ASKS the Commission to consider the possibilities of a</w:t>
      </w:r>
      <w:r>
        <w:t>n</w:t>
      </w:r>
      <w:r w:rsidRPr="00372C49">
        <w:t xml:space="preserve"> </w:t>
      </w:r>
      <w:r>
        <w:t xml:space="preserve">explicit </w:t>
      </w:r>
      <w:r w:rsidRPr="00372C49">
        <w:t>legal basis</w:t>
      </w:r>
      <w:r>
        <w:rPr>
          <w:bCs/>
        </w:rPr>
        <w:t>;</w:t>
      </w:r>
    </w:p>
    <w:p w:rsidR="00C01E8F" w:rsidP="00C01E8F">
      <w:pPr>
        <w:pStyle w:val="Point123"/>
        <w:numPr>
          <w:ilvl w:val="0"/>
          <w:numId w:val="0"/>
        </w:numPr>
        <w:tabs>
          <w:tab w:val="left" w:pos="567"/>
        </w:tabs>
        <w:ind w:left="567" w:hanging="567"/>
      </w:pPr>
      <w:r>
        <w:rPr>
          <w:iCs/>
        </w:rPr>
        <w:t>10.</w:t>
      </w:r>
      <w:r>
        <w:rPr>
          <w:iCs/>
        </w:rPr>
        <w:tab/>
      </w:r>
      <w:r>
        <w:rPr>
          <w:noProof/>
        </w:rPr>
        <w:t xml:space="preserve">RECOGNISES that some Member States are more heavily affected by VAT fraud than others </w:t>
      </w:r>
      <w:r w:rsidRPr="00430AA1">
        <w:t>and</w:t>
      </w:r>
      <w:r w:rsidRPr="00430AA1">
        <w:rPr>
          <w:noProof/>
        </w:rPr>
        <w:t xml:space="preserve"> the need to find practical</w:t>
      </w:r>
      <w:r w:rsidRPr="00EC7292">
        <w:t xml:space="preserve"> and short-term</w:t>
      </w:r>
      <w:r w:rsidRPr="00430AA1">
        <w:rPr>
          <w:noProof/>
        </w:rPr>
        <w:t xml:space="preserve"> solution</w:t>
      </w:r>
      <w:r>
        <w:rPr>
          <w:noProof/>
        </w:rPr>
        <w:t xml:space="preserve">s rapidly, and </w:t>
      </w:r>
      <w:r w:rsidRPr="00E5458A">
        <w:t>TAKES NOTE of the position of the Commission</w:t>
      </w:r>
      <w:r>
        <w:t xml:space="preserve"> regarding a possible temporary derogation for certain </w:t>
      </w:r>
      <w:r w:rsidRPr="00E5458A">
        <w:t>Member States to apply the reverse charge mechanism in a wider scope</w:t>
      </w:r>
      <w:r>
        <w:t xml:space="preserve"> and that the implementation of such derogation would require legislative </w:t>
      </w:r>
      <w:r w:rsidRPr="00D11329">
        <w:t>measures</w:t>
      </w:r>
      <w:r>
        <w:t>;</w:t>
      </w:r>
    </w:p>
    <w:p w:rsidR="00C01E8F" w:rsidP="00F5236A">
      <w:pPr>
        <w:pStyle w:val="Point123"/>
        <w:numPr>
          <w:ilvl w:val="0"/>
          <w:numId w:val="0"/>
        </w:numPr>
        <w:tabs>
          <w:tab w:val="left" w:pos="567"/>
        </w:tabs>
        <w:ind w:left="567" w:hanging="567"/>
      </w:pPr>
      <w:r>
        <w:rPr>
          <w:iCs/>
        </w:rPr>
        <w:t>11.</w:t>
      </w:r>
      <w:r>
        <w:rPr>
          <w:iCs/>
        </w:rPr>
        <w:tab/>
      </w:r>
      <w:r>
        <w:t xml:space="preserve">CONFIRMS that such derogations </w:t>
      </w:r>
      <w:r w:rsidRPr="001F4F75">
        <w:t>should not</w:t>
      </w:r>
      <w:r w:rsidRPr="006A496D">
        <w:t xml:space="preserve"> disproportionally hamper the proper functioning of the internal market;</w:t>
      </w:r>
    </w:p>
    <w:p w:rsidR="00C01E8F" w:rsidRPr="00E5458A" w:rsidP="00C01E8F">
      <w:pPr>
        <w:pStyle w:val="Point123"/>
        <w:numPr>
          <w:ilvl w:val="0"/>
          <w:numId w:val="0"/>
        </w:numPr>
        <w:tabs>
          <w:tab w:val="left" w:pos="567"/>
        </w:tabs>
        <w:ind w:left="567" w:hanging="567"/>
      </w:pPr>
      <w:r w:rsidRPr="00E5458A">
        <w:rPr>
          <w:iCs/>
        </w:rPr>
        <w:t>12.</w:t>
      </w:r>
      <w:r w:rsidRPr="00E5458A">
        <w:rPr>
          <w:iCs/>
        </w:rPr>
        <w:tab/>
      </w:r>
      <w:r w:rsidRPr="00E5458A">
        <w:t>UNDERLINES</w:t>
      </w:r>
      <w:r>
        <w:t>, without prejudice to a definitive VAT system,</w:t>
      </w:r>
      <w:r w:rsidRPr="00E5458A">
        <w:t xml:space="preserve"> that the information obtained from </w:t>
      </w:r>
      <w:r>
        <w:t>a</w:t>
      </w:r>
      <w:r w:rsidRPr="00E5458A">
        <w:t xml:space="preserve"> temporary derogation </w:t>
      </w:r>
      <w:r>
        <w:t>could</w:t>
      </w:r>
      <w:r w:rsidRPr="00E5458A">
        <w:t xml:space="preserve"> be useful to decide on the most efficient way of fighting VAT fraud, and </w:t>
      </w:r>
      <w:r>
        <w:t>LOOKS FORWARD</w:t>
      </w:r>
      <w:r w:rsidRPr="00E5458A">
        <w:t xml:space="preserve"> </w:t>
      </w:r>
      <w:r>
        <w:t xml:space="preserve">to </w:t>
      </w:r>
      <w:r w:rsidRPr="00E5458A">
        <w:t xml:space="preserve">an in-depth analysis </w:t>
      </w:r>
      <w:r>
        <w:t xml:space="preserve">by the Commission </w:t>
      </w:r>
      <w:r w:rsidRPr="00E5458A">
        <w:t xml:space="preserve">on </w:t>
      </w:r>
      <w:r>
        <w:t xml:space="preserve">possibilities for a </w:t>
      </w:r>
      <w:r w:rsidRPr="00E5458A">
        <w:t>temporary derogation</w:t>
      </w:r>
      <w:r>
        <w:t>,</w:t>
      </w:r>
      <w:r w:rsidRPr="00E5458A">
        <w:t xml:space="preserve"> to be presented at the upcoming June </w:t>
      </w:r>
      <w:r>
        <w:t>ECOFIN</w:t>
      </w:r>
      <w:r w:rsidRPr="00E5458A">
        <w:t>;</w:t>
      </w:r>
    </w:p>
    <w:p w:rsidR="00C01E8F" w:rsidP="00C01E8F">
      <w:pPr>
        <w:pStyle w:val="Point123"/>
        <w:numPr>
          <w:ilvl w:val="0"/>
          <w:numId w:val="0"/>
        </w:numPr>
        <w:tabs>
          <w:tab w:val="left" w:pos="567"/>
        </w:tabs>
        <w:ind w:left="567" w:hanging="567"/>
      </w:pPr>
      <w:r>
        <w:rPr>
          <w:iCs/>
        </w:rPr>
        <w:t>13.</w:t>
      </w:r>
      <w:r>
        <w:rPr>
          <w:iCs/>
        </w:rPr>
        <w:tab/>
      </w:r>
      <w:r>
        <w:t>TAKES NOTE of the non-legislative measures whereby the Commission intends to tackle the VAT gap and STRESSES that the Council will examine these non-legislative measures on the basis of the principles of sovereignty, subsidiarity, and proportionality.</w:t>
      </w:r>
    </w:p>
    <w:p w:rsidR="00C01E8F" w:rsidRPr="00D7154D" w:rsidP="00C01E8F">
      <w:pPr>
        <w:pStyle w:val="HeadingIVX"/>
        <w:numPr>
          <w:ilvl w:val="0"/>
          <w:numId w:val="0"/>
        </w:numPr>
        <w:tabs>
          <w:tab w:val="left" w:pos="567"/>
        </w:tabs>
        <w:ind w:left="567" w:hanging="567"/>
        <w:rPr>
          <w:u w:val="none"/>
        </w:rPr>
      </w:pPr>
      <w:r>
        <w:rPr>
          <w:u w:val="none"/>
        </w:rPr>
        <w:br w:type="page"/>
      </w:r>
      <w:r w:rsidRPr="00D7154D">
        <w:rPr>
          <w:u w:val="none"/>
        </w:rPr>
        <w:t>II.</w:t>
      </w:r>
      <w:r w:rsidRPr="00D7154D">
        <w:rPr>
          <w:u w:val="none"/>
        </w:rPr>
        <w:tab/>
        <w:t xml:space="preserve">ON </w:t>
      </w:r>
      <w:r w:rsidRPr="00D7154D">
        <w:rPr>
          <w:u w:val="none"/>
          <w:lang w:eastAsia="fr-FR"/>
        </w:rPr>
        <w:t>SHORT AND MEDIUM-T</w:t>
      </w:r>
      <w:r>
        <w:rPr>
          <w:u w:val="none"/>
          <w:lang w:eastAsia="fr-FR"/>
        </w:rPr>
        <w:t>ERM ACTIONS IN VAT AREA AND SME</w:t>
      </w:r>
      <w:r>
        <w:rPr>
          <w:caps w:val="0"/>
          <w:u w:val="none"/>
          <w:lang w:eastAsia="fr-FR"/>
        </w:rPr>
        <w:t>s</w:t>
      </w:r>
    </w:p>
    <w:p w:rsidR="00C01E8F" w:rsidRPr="006A496D" w:rsidP="00C01E8F">
      <w:pPr>
        <w:spacing w:after="240"/>
        <w:ind w:left="709" w:hanging="709"/>
      </w:pPr>
      <w:r w:rsidRPr="006A496D">
        <w:t>The Council of the European Union:</w:t>
      </w:r>
    </w:p>
    <w:p w:rsidR="00C01E8F" w:rsidRPr="00DC2536" w:rsidP="00C01E8F">
      <w:pPr>
        <w:pStyle w:val="Point123"/>
        <w:numPr>
          <w:ilvl w:val="0"/>
          <w:numId w:val="0"/>
        </w:numPr>
        <w:tabs>
          <w:tab w:val="left" w:pos="567"/>
        </w:tabs>
        <w:ind w:left="567" w:hanging="567"/>
      </w:pPr>
      <w:r w:rsidRPr="00DC2536">
        <w:rPr>
          <w:iCs/>
        </w:rPr>
        <w:t>14.</w:t>
      </w:r>
      <w:r w:rsidRPr="00DC2536">
        <w:rPr>
          <w:iCs/>
        </w:rPr>
        <w:tab/>
      </w:r>
      <w:r w:rsidRPr="006A496D">
        <w:t xml:space="preserve">WELCOMES the call by the Commission to reduce VAT compliance burdens for business, particularly for SMEs, </w:t>
      </w:r>
      <w:r w:rsidRPr="006A496D">
        <w:rPr>
          <w:noProof/>
        </w:rPr>
        <w:t>both within Member States and across borders,</w:t>
      </w:r>
      <w:r w:rsidRPr="006A496D">
        <w:t xml:space="preserve"> and </w:t>
      </w:r>
      <w:r>
        <w:t>TAKES NOTE</w:t>
      </w:r>
      <w:r w:rsidRPr="006A496D">
        <w:t xml:space="preserve"> </w:t>
      </w:r>
      <w:r>
        <w:t>of</w:t>
      </w:r>
      <w:r w:rsidRPr="006A496D">
        <w:t xml:space="preserve"> the Commission</w:t>
      </w:r>
      <w:r>
        <w:t>’s intention</w:t>
      </w:r>
      <w:r w:rsidRPr="006A496D">
        <w:t xml:space="preserve"> to make legislative proposals</w:t>
      </w:r>
      <w:r>
        <w:t xml:space="preserve"> in </w:t>
      </w:r>
      <w:r w:rsidRPr="006A496D">
        <w:t xml:space="preserve"> 2016 and 2017</w:t>
      </w:r>
      <w:r>
        <w:t>;</w:t>
      </w:r>
    </w:p>
    <w:p w:rsidR="00C01E8F" w:rsidRPr="00DC2536" w:rsidP="00C01E8F">
      <w:pPr>
        <w:pStyle w:val="Point123"/>
        <w:numPr>
          <w:ilvl w:val="0"/>
          <w:numId w:val="0"/>
        </w:numPr>
        <w:tabs>
          <w:tab w:val="left" w:pos="567"/>
        </w:tabs>
        <w:ind w:left="567" w:hanging="567"/>
      </w:pPr>
      <w:r w:rsidRPr="00DC2536">
        <w:rPr>
          <w:iCs/>
        </w:rPr>
        <w:t>15.</w:t>
      </w:r>
      <w:r w:rsidRPr="00DC2536">
        <w:rPr>
          <w:iCs/>
        </w:rPr>
        <w:tab/>
      </w:r>
      <w:r w:rsidRPr="006A496D">
        <w:t>EMPHASISES that the ultimate objective remains that VAT c</w:t>
      </w:r>
      <w:r w:rsidRPr="006A496D">
        <w:rPr>
          <w:noProof/>
        </w:rPr>
        <w:t xml:space="preserve">ompliance costs in the single market are brought </w:t>
      </w:r>
      <w:r>
        <w:rPr>
          <w:noProof/>
        </w:rPr>
        <w:t>closer</w:t>
      </w:r>
      <w:r w:rsidRPr="006A496D">
        <w:rPr>
          <w:noProof/>
        </w:rPr>
        <w:t xml:space="preserve"> to the levels of those in domestic trade, however, further </w:t>
      </w:r>
      <w:r w:rsidRPr="006A496D">
        <w:t xml:space="preserve">simplification should not result in </w:t>
      </w:r>
      <w:r>
        <w:t xml:space="preserve">an </w:t>
      </w:r>
      <w:r w:rsidRPr="006A496D">
        <w:t>increase of VAT fraud risks or disproportionate rise of the costs of tax administration</w:t>
      </w:r>
      <w:r>
        <w:t>;</w:t>
      </w:r>
    </w:p>
    <w:p w:rsidR="00C01E8F" w:rsidRPr="00DC2536" w:rsidP="00C01E8F">
      <w:pPr>
        <w:pStyle w:val="Point123"/>
        <w:numPr>
          <w:ilvl w:val="0"/>
          <w:numId w:val="0"/>
        </w:numPr>
        <w:tabs>
          <w:tab w:val="left" w:pos="567"/>
        </w:tabs>
        <w:ind w:left="567" w:hanging="567"/>
      </w:pPr>
      <w:r w:rsidRPr="00DC2536">
        <w:rPr>
          <w:iCs/>
        </w:rPr>
        <w:t>16.</w:t>
      </w:r>
      <w:r w:rsidRPr="00DC2536">
        <w:rPr>
          <w:iCs/>
        </w:rPr>
        <w:tab/>
      </w:r>
      <w:r w:rsidRPr="006A496D">
        <w:t>HIGHLIGHTS</w:t>
      </w:r>
      <w:r>
        <w:t xml:space="preserve"> </w:t>
      </w:r>
      <w:r w:rsidRPr="006A496D">
        <w:t>the importance of reflecting upon the position of micro-SMEs in the VAT system, in order to promote growth, jobs and real economy in the EU</w:t>
      </w:r>
      <w:r>
        <w:t>, without causing distortions of competition;</w:t>
      </w:r>
    </w:p>
    <w:p w:rsidR="00C01E8F" w:rsidRPr="006F6996" w:rsidP="00C01E8F">
      <w:pPr>
        <w:pStyle w:val="Point123"/>
        <w:numPr>
          <w:ilvl w:val="0"/>
          <w:numId w:val="0"/>
        </w:numPr>
        <w:tabs>
          <w:tab w:val="left" w:pos="567"/>
        </w:tabs>
        <w:ind w:left="567" w:hanging="567"/>
      </w:pPr>
      <w:r w:rsidRPr="006F6996">
        <w:rPr>
          <w:iCs/>
        </w:rPr>
        <w:t>17.</w:t>
      </w:r>
      <w:r w:rsidRPr="006F6996">
        <w:rPr>
          <w:iCs/>
        </w:rPr>
        <w:tab/>
      </w:r>
      <w:r w:rsidRPr="006A496D">
        <w:t xml:space="preserve">In the context of the Digital Single Market Strategy, STRESSES the importance of finding an EU-level solution </w:t>
      </w:r>
      <w:r>
        <w:t xml:space="preserve">rapidly </w:t>
      </w:r>
      <w:r w:rsidRPr="006A496D">
        <w:t xml:space="preserve">to eliminate the competitive disadvantage for EU suppliers and UNDERTAKES to review the scope and discuss the possibility of repealing the VAT exemption for final importation </w:t>
      </w:r>
      <w:r w:rsidRPr="006F6996">
        <w:t>of small consignments of goods into the EU by non-EU suppliers</w:t>
      </w:r>
      <w:r>
        <w:t xml:space="preserve">, </w:t>
      </w:r>
      <w:r w:rsidRPr="00E34663">
        <w:t>considering also the impact of possible changes on the customs administration</w:t>
      </w:r>
      <w:r>
        <w:t>;</w:t>
      </w:r>
    </w:p>
    <w:p w:rsidR="00C01E8F" w:rsidRPr="00DC2536" w:rsidP="00C01E8F">
      <w:pPr>
        <w:pStyle w:val="Point123"/>
        <w:numPr>
          <w:ilvl w:val="0"/>
          <w:numId w:val="0"/>
        </w:numPr>
        <w:tabs>
          <w:tab w:val="left" w:pos="567"/>
        </w:tabs>
        <w:ind w:left="567" w:hanging="567"/>
      </w:pPr>
      <w:r w:rsidRPr="00DC2536">
        <w:rPr>
          <w:iCs/>
        </w:rPr>
        <w:t>18.</w:t>
      </w:r>
      <w:r w:rsidRPr="00DC2536">
        <w:rPr>
          <w:iCs/>
        </w:rPr>
        <w:tab/>
      </w:r>
      <w:r>
        <w:t>RECOGNISES</w:t>
      </w:r>
      <w:r w:rsidRPr="006F6996">
        <w:t xml:space="preserve"> </w:t>
      </w:r>
      <w:r>
        <w:t xml:space="preserve">the need </w:t>
      </w:r>
      <w:r w:rsidRPr="006F6996">
        <w:t xml:space="preserve">to simplify cross-border e-commerce, </w:t>
      </w:r>
      <w:r>
        <w:t xml:space="preserve">and the </w:t>
      </w:r>
      <w:r w:rsidRPr="00AB3941">
        <w:t>opportunity to extend</w:t>
      </w:r>
      <w:r>
        <w:t xml:space="preserve"> the "One Stop Shop" for </w:t>
      </w:r>
      <w:r>
        <w:rPr>
          <w:noProof/>
        </w:rPr>
        <w:t>online sales of tangible goods to final consumers</w:t>
      </w:r>
      <w:r>
        <w:t xml:space="preserve"> and CALLS FOR further analysis and technical work to be undertaken on a common EU-wide simplification measure, including a threshold</w:t>
      </w:r>
      <w:r w:rsidRPr="00AB3941">
        <w:rPr>
          <w:rFonts w:eastAsia="Arial Unicode MS"/>
        </w:rPr>
        <w:t>;</w:t>
      </w:r>
    </w:p>
    <w:p w:rsidR="00C01E8F" w:rsidRPr="00DC2536" w:rsidP="00C01E8F">
      <w:pPr>
        <w:pStyle w:val="Point123"/>
        <w:numPr>
          <w:ilvl w:val="0"/>
          <w:numId w:val="0"/>
        </w:numPr>
        <w:tabs>
          <w:tab w:val="left" w:pos="567"/>
        </w:tabs>
        <w:ind w:left="567" w:hanging="567"/>
      </w:pPr>
      <w:r w:rsidRPr="00DC2536">
        <w:rPr>
          <w:iCs/>
        </w:rPr>
        <w:t>19.</w:t>
      </w:r>
      <w:r w:rsidRPr="00DC2536">
        <w:rPr>
          <w:iCs/>
        </w:rPr>
        <w:tab/>
      </w:r>
      <w:r w:rsidRPr="006A496D">
        <w:t xml:space="preserve">NOTES that </w:t>
      </w:r>
      <w:r>
        <w:t xml:space="preserve">the debate will continue concerning a possible </w:t>
      </w:r>
      <w:r w:rsidRPr="006A496D">
        <w:t xml:space="preserve"> introduction of legal means </w:t>
      </w:r>
      <w:r w:rsidRPr="006A496D">
        <w:rPr>
          <w:noProof/>
        </w:rPr>
        <w:t>allowing for home country checks, including a single audit of cross-border businesses</w:t>
      </w:r>
      <w:r>
        <w:rPr>
          <w:noProof/>
        </w:rPr>
        <w:t>;</w:t>
      </w:r>
    </w:p>
    <w:p w:rsidR="00C01E8F" w:rsidP="00C01E8F">
      <w:pPr>
        <w:pStyle w:val="Point123"/>
        <w:numPr>
          <w:ilvl w:val="0"/>
          <w:numId w:val="0"/>
        </w:numPr>
        <w:tabs>
          <w:tab w:val="left" w:pos="567"/>
        </w:tabs>
        <w:ind w:left="567" w:hanging="567"/>
      </w:pPr>
      <w:r>
        <w:rPr>
          <w:iCs/>
        </w:rPr>
        <w:br w:type="page"/>
      </w:r>
      <w:r>
        <w:rPr>
          <w:iCs/>
        </w:rPr>
        <w:t>20.</w:t>
      </w:r>
      <w:r>
        <w:rPr>
          <w:iCs/>
        </w:rPr>
        <w:tab/>
      </w:r>
      <w:r w:rsidRPr="006A496D">
        <w:t>In this context, LOOKS FORWARD to receiving the results of the ongoing Commission' study on VAT obstacles to cross-border e-commerce and the legislat</w:t>
      </w:r>
      <w:r>
        <w:t>ive proposals by the Commission;</w:t>
      </w:r>
    </w:p>
    <w:p w:rsidR="00C01E8F" w:rsidRPr="006A496D" w:rsidP="00C01E8F">
      <w:pPr>
        <w:pStyle w:val="Point123"/>
        <w:numPr>
          <w:ilvl w:val="0"/>
          <w:numId w:val="0"/>
        </w:numPr>
        <w:tabs>
          <w:tab w:val="left" w:pos="567"/>
        </w:tabs>
        <w:ind w:left="567" w:hanging="567"/>
        <w:rPr>
          <w:i/>
        </w:rPr>
      </w:pPr>
      <w:r w:rsidRPr="006A496D">
        <w:rPr>
          <w:iCs/>
        </w:rPr>
        <w:t>21.</w:t>
      </w:r>
      <w:r w:rsidRPr="006A496D">
        <w:rPr>
          <w:iCs/>
        </w:rPr>
        <w:tab/>
      </w:r>
      <w:r>
        <w:t>STRESSES that improvements on the current system could be possible and necessary in the short term.</w:t>
      </w:r>
    </w:p>
    <w:p w:rsidR="00C01E8F" w:rsidRPr="00D5445F" w:rsidP="00C01E8F">
      <w:pPr>
        <w:pStyle w:val="HeadingIVX"/>
        <w:numPr>
          <w:ilvl w:val="0"/>
          <w:numId w:val="0"/>
        </w:numPr>
        <w:tabs>
          <w:tab w:val="left" w:pos="567"/>
        </w:tabs>
        <w:ind w:left="567" w:hanging="567"/>
        <w:rPr>
          <w:u w:val="none"/>
        </w:rPr>
      </w:pPr>
      <w:r w:rsidRPr="00D5445F">
        <w:rPr>
          <w:u w:val="none"/>
        </w:rPr>
        <w:t>III.</w:t>
      </w:r>
      <w:r w:rsidRPr="00D5445F">
        <w:rPr>
          <w:u w:val="none"/>
        </w:rPr>
        <w:tab/>
        <w:t>ON THE DEFINITIVE VAT SYSTEM (SINGLE EU VAT AREA)</w:t>
      </w:r>
    </w:p>
    <w:p w:rsidR="00C01E8F" w:rsidRPr="006A496D" w:rsidP="00C01E8F">
      <w:pPr>
        <w:ind w:left="709" w:hanging="709"/>
      </w:pPr>
      <w:r w:rsidRPr="006A496D">
        <w:t>The Council of the European Union:</w:t>
      </w:r>
    </w:p>
    <w:p w:rsidR="00C01E8F" w:rsidRPr="006A496D" w:rsidP="00C01E8F">
      <w:pPr>
        <w:pStyle w:val="Point123"/>
        <w:numPr>
          <w:ilvl w:val="0"/>
          <w:numId w:val="0"/>
        </w:numPr>
        <w:tabs>
          <w:tab w:val="left" w:pos="567"/>
        </w:tabs>
        <w:ind w:left="567" w:hanging="567"/>
      </w:pPr>
      <w:r w:rsidRPr="006A496D">
        <w:rPr>
          <w:iCs/>
        </w:rPr>
        <w:t>22.</w:t>
      </w:r>
      <w:r w:rsidRPr="006A496D">
        <w:rPr>
          <w:iCs/>
        </w:rPr>
        <w:tab/>
      </w:r>
      <w:r w:rsidRPr="006A496D">
        <w:t xml:space="preserve">TAKES NOTE of the points made by the Commission in its VAT Action Plan as regards the way forward towards the definitive VAT system and of its intention to present a legislative proposal in 2017 </w:t>
      </w:r>
      <w:r w:rsidRPr="006A496D">
        <w:rPr>
          <w:noProof/>
        </w:rPr>
        <w:t>for the definitive VAT system for cross-border trade, as a first step;</w:t>
      </w:r>
    </w:p>
    <w:p w:rsidR="00C01E8F" w:rsidRPr="006A496D" w:rsidP="00C01E8F">
      <w:pPr>
        <w:pStyle w:val="Point123"/>
        <w:numPr>
          <w:ilvl w:val="0"/>
          <w:numId w:val="0"/>
        </w:numPr>
        <w:tabs>
          <w:tab w:val="left" w:pos="567"/>
        </w:tabs>
        <w:ind w:left="567" w:hanging="567"/>
      </w:pPr>
      <w:r w:rsidRPr="006A496D">
        <w:rPr>
          <w:iCs/>
        </w:rPr>
        <w:t>23.</w:t>
      </w:r>
      <w:r w:rsidRPr="006A496D">
        <w:rPr>
          <w:iCs/>
        </w:rPr>
        <w:tab/>
      </w:r>
      <w:r w:rsidRPr="006A496D">
        <w:t xml:space="preserve">NOTES, while working towards the definitive VAT system in the EU, the importance of fully respecting the principles of subsidiarity and proportionality and taking full account </w:t>
      </w:r>
      <w:r>
        <w:t>of</w:t>
      </w:r>
      <w:r w:rsidRPr="006A496D">
        <w:t xml:space="preserve"> how potential EU-level solutions would best fit with the aspects upon which Member States continue to exercise their competence;</w:t>
      </w:r>
    </w:p>
    <w:p w:rsidR="00C01E8F" w:rsidRPr="00E5458A" w:rsidP="00C01E8F">
      <w:pPr>
        <w:pStyle w:val="Point123"/>
        <w:numPr>
          <w:ilvl w:val="0"/>
          <w:numId w:val="0"/>
        </w:numPr>
        <w:tabs>
          <w:tab w:val="left" w:pos="567"/>
        </w:tabs>
        <w:ind w:left="567" w:hanging="567"/>
      </w:pPr>
      <w:r w:rsidRPr="00E5458A">
        <w:rPr>
          <w:iCs/>
        </w:rPr>
        <w:t>24.</w:t>
      </w:r>
      <w:r w:rsidRPr="00E5458A">
        <w:rPr>
          <w:iCs/>
        </w:rPr>
        <w:tab/>
      </w:r>
      <w:r w:rsidRPr="006A496D">
        <w:t xml:space="preserve">REITERATES that the principle of “taxation in the Member State of origin of the supply of goods or services”, as envisaged in article 402 of Directive 2006/112/EC on the common system of value added tax, </w:t>
      </w:r>
      <w:r>
        <w:t>should be</w:t>
      </w:r>
      <w:r w:rsidRPr="006A496D">
        <w:t xml:space="preserve"> replaced by the principle of “taxation in the Member State of destination” for the definitive VAT system for B2B transactions</w:t>
      </w:r>
      <w:r>
        <w:t>, as stated in</w:t>
      </w:r>
      <w:r w:rsidRPr="006A496D">
        <w:t xml:space="preserve"> the Council conclusion</w:t>
      </w:r>
      <w:r>
        <w:t>s</w:t>
      </w:r>
      <w:r w:rsidRPr="008130C5">
        <w:t xml:space="preserve"> </w:t>
      </w:r>
      <w:r w:rsidRPr="00B81645">
        <w:t>of 15 May 2012</w:t>
      </w:r>
      <w:r w:rsidRPr="00E5458A">
        <w:t>;</w:t>
      </w:r>
    </w:p>
    <w:p w:rsidR="00C01E8F" w:rsidRPr="006A496D" w:rsidP="00C01E8F">
      <w:pPr>
        <w:pStyle w:val="Point123"/>
        <w:numPr>
          <w:ilvl w:val="0"/>
          <w:numId w:val="0"/>
        </w:numPr>
        <w:tabs>
          <w:tab w:val="left" w:pos="567"/>
        </w:tabs>
        <w:ind w:left="567" w:hanging="567"/>
      </w:pPr>
      <w:r w:rsidRPr="006A496D">
        <w:rPr>
          <w:iCs/>
        </w:rPr>
        <w:t>25.</w:t>
      </w:r>
      <w:r w:rsidRPr="006A496D">
        <w:rPr>
          <w:iCs/>
        </w:rPr>
        <w:tab/>
      </w:r>
      <w:r w:rsidRPr="006A496D">
        <w:t xml:space="preserve">WELCOMES the in-depth technical work conducted by the Commission so far, as well as </w:t>
      </w:r>
      <w:r>
        <w:t>the</w:t>
      </w:r>
      <w:r w:rsidRPr="006A496D">
        <w:t xml:space="preserve"> broadly based dialogue it initiated with Member States to examine in detail the different possible ways how to best implement the destination principle;</w:t>
      </w:r>
    </w:p>
    <w:p w:rsidR="00C01E8F" w:rsidP="00C01E8F">
      <w:pPr>
        <w:pStyle w:val="Point123"/>
        <w:numPr>
          <w:ilvl w:val="0"/>
          <w:numId w:val="0"/>
        </w:numPr>
        <w:tabs>
          <w:tab w:val="left" w:pos="567"/>
        </w:tabs>
        <w:ind w:left="567" w:hanging="567"/>
      </w:pPr>
      <w:r>
        <w:rPr>
          <w:iCs/>
        </w:rPr>
        <w:t>26.</w:t>
      </w:r>
      <w:r>
        <w:rPr>
          <w:iCs/>
        </w:rPr>
        <w:tab/>
      </w:r>
      <w:r w:rsidRPr="006A496D">
        <w:t xml:space="preserve">STRESSES nevertheless that the work has to continue </w:t>
      </w:r>
      <w:r>
        <w:t>to set ground for</w:t>
      </w:r>
      <w:r w:rsidRPr="006A496D">
        <w:t xml:space="preserve"> the political choice to be made with regard to the definitive VAT system;</w:t>
      </w:r>
    </w:p>
    <w:p w:rsidR="00C01E8F" w:rsidRPr="006A496D" w:rsidP="00C01E8F">
      <w:pPr>
        <w:pStyle w:val="Point123"/>
        <w:numPr>
          <w:ilvl w:val="0"/>
          <w:numId w:val="0"/>
        </w:numPr>
        <w:tabs>
          <w:tab w:val="left" w:pos="567"/>
        </w:tabs>
        <w:ind w:left="567" w:hanging="567"/>
      </w:pPr>
      <w:r>
        <w:rPr>
          <w:iCs/>
        </w:rPr>
        <w:br w:type="page"/>
      </w:r>
      <w:r w:rsidRPr="006A496D">
        <w:rPr>
          <w:iCs/>
        </w:rPr>
        <w:t>27.</w:t>
      </w:r>
      <w:r w:rsidRPr="006A496D">
        <w:rPr>
          <w:iCs/>
        </w:rPr>
        <w:tab/>
      </w:r>
      <w:r w:rsidRPr="006A496D">
        <w:t>TAKES NOTE</w:t>
      </w:r>
      <w:r>
        <w:t xml:space="preserve"> </w:t>
      </w:r>
      <w:r w:rsidRPr="006A496D">
        <w:t xml:space="preserve">that </w:t>
      </w:r>
      <w:r>
        <w:t>taxation with cross-border</w:t>
      </w:r>
      <w:r w:rsidRPr="006A496D">
        <w:t xml:space="preserve"> reverse charge </w:t>
      </w:r>
      <w:r>
        <w:t>in the Member State of destination c</w:t>
      </w:r>
      <w:r w:rsidRPr="006A496D">
        <w:t xml:space="preserve">ould be </w:t>
      </w:r>
      <w:r>
        <w:t>analysed</w:t>
      </w:r>
      <w:r w:rsidRPr="006A496D">
        <w:t xml:space="preserve"> as </w:t>
      </w:r>
      <w:r>
        <w:t xml:space="preserve">an </w:t>
      </w:r>
      <w:r w:rsidRPr="006A496D">
        <w:t xml:space="preserve">option </w:t>
      </w:r>
      <w:r>
        <w:t xml:space="preserve">to the proposed </w:t>
      </w:r>
      <w:r w:rsidRPr="006A496D">
        <w:t>taxation of cross-border supplies for the definitive VAT system;</w:t>
      </w:r>
    </w:p>
    <w:p w:rsidR="00C01E8F" w:rsidP="00C01E8F">
      <w:pPr>
        <w:pStyle w:val="Point123"/>
        <w:numPr>
          <w:ilvl w:val="0"/>
          <w:numId w:val="0"/>
        </w:numPr>
        <w:tabs>
          <w:tab w:val="left" w:pos="567"/>
        </w:tabs>
        <w:ind w:left="567" w:hanging="567"/>
      </w:pPr>
      <w:r>
        <w:rPr>
          <w:iCs/>
        </w:rPr>
        <w:t>28.</w:t>
      </w:r>
      <w:r>
        <w:rPr>
          <w:iCs/>
        </w:rPr>
        <w:tab/>
      </w:r>
      <w:r w:rsidRPr="006A496D">
        <w:t xml:space="preserve">UNDERSCORES that the Council will continue to follow up the debate to reach an agreement on the political guidance to the Commission to conduct further analysis that </w:t>
      </w:r>
      <w:r>
        <w:t xml:space="preserve">would </w:t>
      </w:r>
      <w:r w:rsidRPr="006A496D">
        <w:t>enable</w:t>
      </w:r>
      <w:r>
        <w:t xml:space="preserve"> it</w:t>
      </w:r>
      <w:r w:rsidRPr="006A496D">
        <w:t xml:space="preserve"> to carry this work forward and enable the Council to properly evaluate the impact of possible technical solutions and </w:t>
      </w:r>
      <w:r>
        <w:t>adopt those that suit</w:t>
      </w:r>
      <w:r w:rsidRPr="006A496D">
        <w:t xml:space="preserve"> the common EU objectives best.</w:t>
      </w:r>
    </w:p>
    <w:p w:rsidR="00C01E8F" w:rsidRPr="00D5445F" w:rsidP="00C01E8F">
      <w:pPr>
        <w:pStyle w:val="HeadingIVX"/>
        <w:numPr>
          <w:ilvl w:val="0"/>
          <w:numId w:val="0"/>
        </w:numPr>
        <w:tabs>
          <w:tab w:val="left" w:pos="567"/>
        </w:tabs>
        <w:ind w:left="567" w:hanging="567"/>
        <w:rPr>
          <w:u w:val="none"/>
        </w:rPr>
      </w:pPr>
      <w:r w:rsidRPr="00D5445F">
        <w:rPr>
          <w:u w:val="none"/>
        </w:rPr>
        <w:t>IV.</w:t>
      </w:r>
      <w:r w:rsidRPr="00D5445F">
        <w:rPr>
          <w:u w:val="none"/>
        </w:rPr>
        <w:tab/>
        <w:t>ON VAT RATES</w:t>
      </w:r>
    </w:p>
    <w:p w:rsidR="00C01E8F" w:rsidRPr="006A496D" w:rsidP="00C01E8F">
      <w:pPr>
        <w:ind w:left="709" w:hanging="709"/>
      </w:pPr>
      <w:r w:rsidRPr="006A496D">
        <w:t>The Council of the European Union:</w:t>
      </w:r>
    </w:p>
    <w:p w:rsidR="00C01E8F" w:rsidRPr="006A496D" w:rsidP="00C01E8F">
      <w:pPr>
        <w:pStyle w:val="Point123"/>
        <w:numPr>
          <w:ilvl w:val="0"/>
          <w:numId w:val="0"/>
        </w:numPr>
        <w:tabs>
          <w:tab w:val="left" w:pos="567"/>
        </w:tabs>
        <w:ind w:left="567" w:hanging="567"/>
      </w:pPr>
      <w:r w:rsidRPr="006A496D">
        <w:rPr>
          <w:iCs/>
        </w:rPr>
        <w:t>29.</w:t>
      </w:r>
      <w:r w:rsidRPr="006A496D">
        <w:rPr>
          <w:iCs/>
        </w:rPr>
        <w:tab/>
      </w:r>
      <w:r w:rsidRPr="006A496D">
        <w:t>TAKES NOTE of the directions of action proposed in the Commission Action Plan on VAT with regard to the VAT rate system and its intention to make a legislative proposal in 2017, proposing a reform to give more freedom to Member States in setting up rates and proposing two options;</w:t>
      </w:r>
    </w:p>
    <w:p w:rsidR="00C01E8F" w:rsidRPr="006F6996" w:rsidP="00C01E8F">
      <w:pPr>
        <w:pStyle w:val="Point123"/>
        <w:numPr>
          <w:ilvl w:val="0"/>
          <w:numId w:val="0"/>
        </w:numPr>
        <w:tabs>
          <w:tab w:val="left" w:pos="567"/>
        </w:tabs>
        <w:ind w:left="567" w:hanging="567"/>
        <w:rPr>
          <w:i/>
          <w:iCs/>
          <w:shd w:val="clear" w:color="auto" w:fill="FFFFFF"/>
        </w:rPr>
      </w:pPr>
      <w:r w:rsidRPr="006F6996">
        <w:rPr>
          <w:iCs/>
        </w:rPr>
        <w:t>30.</w:t>
      </w:r>
      <w:r w:rsidRPr="006F6996">
        <w:rPr>
          <w:iCs/>
        </w:rPr>
        <w:tab/>
      </w:r>
      <w:r w:rsidRPr="006A496D">
        <w:t>RECALLS the conclusions of the European Council of 17-18 March 2016 which welcomed</w:t>
      </w:r>
      <w:r w:rsidRPr="006A496D">
        <w:rPr>
          <w:i/>
          <w:iCs/>
        </w:rPr>
        <w:t xml:space="preserve"> </w:t>
      </w:r>
      <w:r w:rsidRPr="006A496D">
        <w:t>"</w:t>
      </w:r>
      <w:r w:rsidRPr="006F6996">
        <w:rPr>
          <w:shd w:val="clear" w:color="auto" w:fill="FFFFFF"/>
        </w:rPr>
        <w:t>the intention of the Commission to include proposals for increased flexibility for Member States with respect to reduced rates of VAT, which would provide the option to Member States of VAT zero rating</w:t>
      </w:r>
      <w:r w:rsidRPr="006F6996">
        <w:rPr>
          <w:shd w:val="clear" w:color="auto" w:fill="FFFFFF"/>
          <w:cs/>
        </w:rPr>
        <w:t>‎</w:t>
      </w:r>
      <w:r w:rsidRPr="006F6996">
        <w:rPr>
          <w:shd w:val="clear" w:color="auto" w:fill="FFFFFF"/>
        </w:rPr>
        <w:t xml:space="preserve"> for sanitary products"</w:t>
      </w:r>
      <w:r>
        <w:rPr>
          <w:i/>
          <w:iCs/>
          <w:shd w:val="clear" w:color="auto" w:fill="FFFFFF"/>
        </w:rPr>
        <w:t>;</w:t>
      </w:r>
    </w:p>
    <w:p w:rsidR="00C01E8F" w:rsidRPr="00DC2536" w:rsidP="00C01E8F">
      <w:pPr>
        <w:pStyle w:val="Point123"/>
        <w:numPr>
          <w:ilvl w:val="0"/>
          <w:numId w:val="0"/>
        </w:numPr>
        <w:tabs>
          <w:tab w:val="left" w:pos="567"/>
        </w:tabs>
        <w:ind w:left="567" w:hanging="567"/>
      </w:pPr>
      <w:r w:rsidRPr="00DC2536">
        <w:rPr>
          <w:iCs/>
        </w:rPr>
        <w:t>31.</w:t>
      </w:r>
      <w:r w:rsidRPr="00DC2536">
        <w:rPr>
          <w:iCs/>
        </w:rPr>
        <w:tab/>
      </w:r>
      <w:r>
        <w:t xml:space="preserve">WELCOMES the intention of the Commission to present a proposal for </w:t>
      </w:r>
      <w:r w:rsidRPr="006F6996">
        <w:t xml:space="preserve">increased flexibility for Member States, </w:t>
      </w:r>
      <w:r>
        <w:t xml:space="preserve">so that they could benefit from the existing reduced and zero rates in other Member States, </w:t>
      </w:r>
      <w:r w:rsidRPr="00DA1267">
        <w:t xml:space="preserve">INVITES the Commission to </w:t>
      </w:r>
      <w:r>
        <w:t xml:space="preserve">include </w:t>
      </w:r>
      <w:r w:rsidRPr="00DA1267">
        <w:t xml:space="preserve">an impact </w:t>
      </w:r>
      <w:r>
        <w:t xml:space="preserve">assessment, and STRESSES that a </w:t>
      </w:r>
      <w:r w:rsidRPr="006A496D">
        <w:t xml:space="preserve">sufficient level of harmonisation </w:t>
      </w:r>
      <w:r>
        <w:t xml:space="preserve">in the EU remains required and the adopted solution has to </w:t>
      </w:r>
      <w:r w:rsidRPr="006A496D">
        <w:t xml:space="preserve">be carefully balanced to avoid distortion of competition, rise </w:t>
      </w:r>
      <w:r>
        <w:t xml:space="preserve">in </w:t>
      </w:r>
      <w:r w:rsidRPr="006A496D">
        <w:t>business costs and negative impact on the functioning of the single market</w:t>
      </w:r>
      <w:r w:rsidRPr="00DC2536">
        <w:t>;</w:t>
      </w:r>
    </w:p>
    <w:p w:rsidR="00C01E8F" w:rsidP="00F5236A">
      <w:pPr>
        <w:pStyle w:val="Point123"/>
        <w:numPr>
          <w:ilvl w:val="0"/>
          <w:numId w:val="0"/>
        </w:numPr>
        <w:tabs>
          <w:tab w:val="left" w:pos="567"/>
        </w:tabs>
        <w:ind w:left="567" w:hanging="567"/>
      </w:pPr>
      <w:r>
        <w:rPr>
          <w:iCs/>
        </w:rPr>
        <w:t>32.</w:t>
      </w:r>
      <w:r>
        <w:rPr>
          <w:iCs/>
        </w:rPr>
        <w:tab/>
      </w:r>
      <w:r w:rsidRPr="006A496D">
        <w:t xml:space="preserve">INVITES the Commission to </w:t>
      </w:r>
      <w:r>
        <w:t xml:space="preserve">present a legislative proposal which </w:t>
      </w:r>
      <w:r w:rsidRPr="006A496D">
        <w:t>integrate</w:t>
      </w:r>
      <w:r>
        <w:t>s</w:t>
      </w:r>
      <w:r w:rsidRPr="006A496D">
        <w:t xml:space="preserve"> provisions concerning VAT rates for e-publications in the </w:t>
      </w:r>
      <w:r>
        <w:t xml:space="preserve">context of </w:t>
      </w:r>
      <w:r w:rsidRPr="006A496D">
        <w:t xml:space="preserve">Digital Single Market </w:t>
      </w:r>
      <w:r>
        <w:t>initiatives</w:t>
      </w:r>
      <w:r w:rsidRPr="006A496D">
        <w:t xml:space="preserve"> by the end of 2016</w:t>
      </w:r>
      <w:r w:rsidRPr="00F5236A" w:rsidR="00F5236A">
        <w:t xml:space="preserve"> and include an impact assessment</w:t>
      </w:r>
      <w:r>
        <w:t>;</w:t>
      </w:r>
    </w:p>
    <w:p w:rsidR="00EE75A3" w:rsidP="00C01E8F">
      <w:pPr>
        <w:pStyle w:val="Point123"/>
        <w:numPr>
          <w:ilvl w:val="0"/>
          <w:numId w:val="0"/>
        </w:numPr>
        <w:tabs>
          <w:tab w:val="left" w:pos="567"/>
        </w:tabs>
        <w:ind w:left="567" w:hanging="567"/>
      </w:pPr>
      <w:bookmarkStart w:id="3" w:name="ControlPages"/>
      <w:bookmarkEnd w:id="3"/>
      <w:r w:rsidRPr="00E5458A">
        <w:rPr>
          <w:iCs/>
        </w:rPr>
        <w:t>33.</w:t>
      </w:r>
      <w:r w:rsidRPr="00E5458A">
        <w:rPr>
          <w:iCs/>
        </w:rPr>
        <w:tab/>
      </w:r>
      <w:r w:rsidRPr="00E5458A">
        <w:t>CALLS UPON the Commissio</w:t>
      </w:r>
      <w:r w:rsidRPr="00B81645">
        <w:t xml:space="preserve">n, in line with the March 2016 European Council conclusions, to present to the Council a legislative proposal foreseeing an </w:t>
      </w:r>
      <w:r w:rsidRPr="00E5458A">
        <w:t xml:space="preserve">option to Member States of VAT </w:t>
      </w:r>
      <w:r>
        <w:t xml:space="preserve">reduced or </w:t>
      </w:r>
      <w:r w:rsidRPr="00E5458A">
        <w:t xml:space="preserve">zero rating for </w:t>
      </w:r>
      <w:r>
        <w:t xml:space="preserve">women’s </w:t>
      </w:r>
      <w:r w:rsidRPr="00E5458A">
        <w:t>sanitary products</w:t>
      </w:r>
      <w:r>
        <w:t xml:space="preserve"> at the earliest opportunity</w:t>
      </w:r>
      <w:r w:rsidRPr="00E5458A">
        <w:t>.</w:t>
      </w:r>
    </w:p>
    <w:p w:rsidR="00FC4670" w:rsidRPr="00EE75A3" w:rsidP="00EE75A3">
      <w:pPr>
        <w:pStyle w:val="FinalLine"/>
      </w:pPr>
    </w:p>
    <w:sectPr w:rsidSect="00FE23AB">
      <w:headerReference w:type="default" r:id="rId7"/>
      <w:footerReference w:type="default" r:id="rId8"/>
      <w:pgSz w:w="11907" w:h="16840" w:code="9"/>
      <w:pgMar w:top="1134" w:right="1134" w:bottom="1134" w:left="1134"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5F"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jc w:val="center"/>
      <w:tblLayout w:type="fixed"/>
      <w:tblCellMar>
        <w:left w:w="0" w:type="dxa"/>
        <w:right w:w="0" w:type="dxa"/>
      </w:tblCellMar>
      <w:tblLook w:val="01E0"/>
    </w:tblPr>
    <w:tblGrid>
      <w:gridCol w:w="3420"/>
      <w:gridCol w:w="1400"/>
      <w:gridCol w:w="1205"/>
      <w:gridCol w:w="200"/>
      <w:gridCol w:w="2211"/>
      <w:gridCol w:w="69"/>
      <w:gridCol w:w="1134"/>
    </w:tblGrid>
    <w:tr w:rsidTr="00FE23AB">
      <w:tblPrEx>
        <w:tblW w:w="5000" w:type="pct"/>
        <w:jc w:val="center"/>
        <w:tblLayout w:type="fixed"/>
        <w:tblCellMar>
          <w:left w:w="0" w:type="dxa"/>
          <w:right w:w="0" w:type="dxa"/>
        </w:tblCellMar>
        <w:tblLook w:val="01E0"/>
      </w:tblPrEx>
      <w:trPr>
        <w:jc w:val="center"/>
      </w:trPr>
      <w:tc>
        <w:tcPr>
          <w:tcW w:w="5000" w:type="pct"/>
          <w:gridSpan w:val="7"/>
          <w:shd w:val="clear" w:color="auto" w:fill="auto"/>
          <w:tcMar>
            <w:top w:w="57" w:type="dxa"/>
          </w:tcMar>
        </w:tcPr>
        <w:p w:rsidR="00FE23AB" w:rsidRPr="00D94637" w:rsidP="00D94637">
          <w:pPr>
            <w:pStyle w:val="FooterText"/>
            <w:pBdr>
              <w:top w:val="single" w:sz="4" w:space="1" w:color="auto"/>
            </w:pBdr>
            <w:spacing w:before="200"/>
            <w:rPr>
              <w:sz w:val="2"/>
              <w:szCs w:val="2"/>
            </w:rPr>
          </w:pPr>
          <w:bookmarkStart w:id="2" w:name="FOOTER_STANDARD"/>
        </w:p>
      </w:tc>
    </w:tr>
    <w:tr w:rsidTr="00FE23AB">
      <w:tblPrEx>
        <w:tblW w:w="5000" w:type="pct"/>
        <w:jc w:val="center"/>
        <w:tblLayout w:type="fixed"/>
        <w:tblCellMar>
          <w:left w:w="0" w:type="dxa"/>
          <w:right w:w="0" w:type="dxa"/>
        </w:tblCellMar>
        <w:tblLook w:val="01E0"/>
      </w:tblPrEx>
      <w:trPr>
        <w:jc w:val="center"/>
      </w:trPr>
      <w:tc>
        <w:tcPr>
          <w:tcW w:w="2500" w:type="pct"/>
          <w:gridSpan w:val="2"/>
          <w:shd w:val="clear" w:color="auto" w:fill="auto"/>
          <w:tcMar>
            <w:top w:w="0" w:type="dxa"/>
          </w:tcMar>
        </w:tcPr>
        <w:p w:rsidR="00FE23AB" w:rsidRPr="00AD7BF2" w:rsidP="004F54B2">
          <w:pPr>
            <w:pStyle w:val="FooterText"/>
          </w:pPr>
          <w:r>
            <w:t>9494/16</w:t>
          </w:r>
          <w:r w:rsidRPr="002511D8">
            <w:t xml:space="preserve"> </w:t>
          </w:r>
        </w:p>
      </w:tc>
      <w:tc>
        <w:tcPr>
          <w:tcW w:w="625" w:type="pct"/>
          <w:shd w:val="clear" w:color="auto" w:fill="auto"/>
          <w:tcMar>
            <w:top w:w="0" w:type="dxa"/>
          </w:tcMar>
        </w:tcPr>
        <w:p w:rsidR="00FE23AB" w:rsidRPr="00AD7BF2" w:rsidP="00D94637">
          <w:pPr>
            <w:pStyle w:val="FooterText"/>
            <w:jc w:val="center"/>
          </w:pPr>
        </w:p>
      </w:tc>
      <w:tc>
        <w:tcPr>
          <w:tcW w:w="1287" w:type="pct"/>
          <w:gridSpan w:val="3"/>
          <w:shd w:val="clear" w:color="auto" w:fill="auto"/>
          <w:tcMar>
            <w:top w:w="0" w:type="dxa"/>
          </w:tcMar>
        </w:tcPr>
        <w:p w:rsidR="00FE23AB" w:rsidRPr="002511D8" w:rsidP="00D94637">
          <w:pPr>
            <w:pStyle w:val="FooterText"/>
            <w:jc w:val="center"/>
          </w:pPr>
          <w:r>
            <w:t>AS/JB/</w:t>
          </w:r>
          <w:r>
            <w:t>fm</w:t>
          </w:r>
        </w:p>
      </w:tc>
      <w:tc>
        <w:tcPr>
          <w:tcW w:w="588" w:type="pct"/>
          <w:shd w:val="clear" w:color="auto" w:fill="auto"/>
          <w:tcMar>
            <w:top w:w="0" w:type="dxa"/>
          </w:tcMar>
        </w:tcPr>
        <w:p w:rsidR="00FE23AB" w:rsidRPr="00B310DC" w:rsidP="00D94637">
          <w:pPr>
            <w:pStyle w:val="FooterText"/>
            <w:jc w:val="right"/>
          </w:pPr>
          <w:r>
            <w:fldChar w:fldCharType="begin"/>
          </w:r>
          <w:r>
            <w:instrText xml:space="preserve"> PAGE  \* MERGEFORMAT </w:instrText>
          </w:r>
          <w:r>
            <w:fldChar w:fldCharType="separate"/>
          </w:r>
          <w:r>
            <w:rPr>
              <w:noProof/>
            </w:rPr>
            <w:t>1</w:t>
          </w:r>
          <w:r>
            <w:fldChar w:fldCharType="end"/>
          </w:r>
        </w:p>
      </w:tc>
    </w:tr>
    <w:tr w:rsidTr="00FE23AB">
      <w:tblPrEx>
        <w:tblW w:w="5000" w:type="pct"/>
        <w:jc w:val="center"/>
        <w:tblLayout w:type="fixed"/>
        <w:tblCellMar>
          <w:left w:w="0" w:type="dxa"/>
          <w:right w:w="0" w:type="dxa"/>
        </w:tblCellMar>
        <w:tblLook w:val="01E0"/>
      </w:tblPrEx>
      <w:trPr>
        <w:jc w:val="center"/>
      </w:trPr>
      <w:tc>
        <w:tcPr>
          <w:tcW w:w="1774" w:type="pct"/>
          <w:shd w:val="clear" w:color="auto" w:fill="auto"/>
        </w:tcPr>
        <w:p w:rsidR="00FE23AB" w:rsidRPr="00AD7BF2" w:rsidP="00D94637">
          <w:pPr>
            <w:pStyle w:val="FooterText"/>
            <w:spacing w:before="40"/>
          </w:pPr>
        </w:p>
      </w:tc>
      <w:tc>
        <w:tcPr>
          <w:tcW w:w="1455" w:type="pct"/>
          <w:gridSpan w:val="3"/>
          <w:shd w:val="clear" w:color="auto" w:fill="auto"/>
        </w:tcPr>
        <w:p w:rsidR="00FE23AB" w:rsidRPr="00AD7BF2" w:rsidP="00D204D6">
          <w:pPr>
            <w:pStyle w:val="FooterText"/>
            <w:spacing w:before="40"/>
            <w:jc w:val="center"/>
          </w:pPr>
          <w:r>
            <w:t>DG G 2B</w:t>
          </w:r>
        </w:p>
      </w:tc>
      <w:tc>
        <w:tcPr>
          <w:tcW w:w="1147" w:type="pct"/>
          <w:shd w:val="clear" w:color="auto" w:fill="auto"/>
        </w:tcPr>
        <w:p w:rsidR="00FE23AB" w:rsidRPr="00D94637" w:rsidP="00D94637">
          <w:pPr>
            <w:pStyle w:val="FooterText"/>
            <w:jc w:val="right"/>
            <w:rPr>
              <w:b/>
              <w:position w:val="-4"/>
              <w:sz w:val="36"/>
            </w:rPr>
          </w:pPr>
        </w:p>
      </w:tc>
      <w:tc>
        <w:tcPr>
          <w:tcW w:w="625" w:type="pct"/>
          <w:gridSpan w:val="2"/>
          <w:shd w:val="clear" w:color="auto" w:fill="auto"/>
        </w:tcPr>
        <w:p w:rsidR="00FE23AB" w:rsidRPr="00D94637" w:rsidP="00D94637">
          <w:pPr>
            <w:pStyle w:val="FooterText"/>
            <w:jc w:val="right"/>
            <w:rPr>
              <w:sz w:val="16"/>
            </w:rPr>
          </w:pPr>
          <w:r>
            <w:rPr>
              <w:b/>
              <w:position w:val="-4"/>
              <w:sz w:val="36"/>
            </w:rPr>
            <w:t>EN</w:t>
          </w:r>
        </w:p>
      </w:tc>
    </w:tr>
  </w:tbl>
  <w:p w:rsidR="003E1524" w:rsidRPr="00FE23AB" w:rsidP="00FE23AB">
    <w:pPr>
      <w:pStyle w:val="FooterCouncil"/>
    </w:pPr>
    <w:bookmarkEnd w:id="2"/>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jc w:val="center"/>
      <w:tblLayout w:type="fixed"/>
      <w:tblCellMar>
        <w:left w:w="0" w:type="dxa"/>
        <w:right w:w="0" w:type="dxa"/>
      </w:tblCellMar>
      <w:tblLook w:val="01E0"/>
    </w:tblPr>
    <w:tblGrid>
      <w:gridCol w:w="3420"/>
      <w:gridCol w:w="1400"/>
      <w:gridCol w:w="1205"/>
      <w:gridCol w:w="200"/>
      <w:gridCol w:w="2211"/>
      <w:gridCol w:w="69"/>
      <w:gridCol w:w="1134"/>
    </w:tblGrid>
    <w:tr w:rsidTr="00FE23AB">
      <w:tblPrEx>
        <w:tblW w:w="5000" w:type="pct"/>
        <w:jc w:val="center"/>
        <w:tblLayout w:type="fixed"/>
        <w:tblCellMar>
          <w:left w:w="0" w:type="dxa"/>
          <w:right w:w="0" w:type="dxa"/>
        </w:tblCellMar>
        <w:tblLook w:val="01E0"/>
      </w:tblPrEx>
      <w:trPr>
        <w:jc w:val="center"/>
      </w:trPr>
      <w:tc>
        <w:tcPr>
          <w:tcW w:w="5000" w:type="pct"/>
          <w:gridSpan w:val="7"/>
          <w:shd w:val="clear" w:color="auto" w:fill="auto"/>
          <w:tcMar>
            <w:top w:w="57" w:type="dxa"/>
          </w:tcMar>
        </w:tcPr>
        <w:p w:rsidR="00FE23AB" w:rsidRPr="00D94637" w:rsidP="00D94637">
          <w:pPr>
            <w:pStyle w:val="FooterText"/>
            <w:pBdr>
              <w:top w:val="single" w:sz="4" w:space="1" w:color="auto"/>
            </w:pBdr>
            <w:spacing w:before="200"/>
            <w:rPr>
              <w:sz w:val="2"/>
              <w:szCs w:val="2"/>
            </w:rPr>
          </w:pPr>
        </w:p>
      </w:tc>
    </w:tr>
    <w:tr w:rsidTr="00FE23AB">
      <w:tblPrEx>
        <w:tblW w:w="5000" w:type="pct"/>
        <w:jc w:val="center"/>
        <w:tblLayout w:type="fixed"/>
        <w:tblCellMar>
          <w:left w:w="0" w:type="dxa"/>
          <w:right w:w="0" w:type="dxa"/>
        </w:tblCellMar>
        <w:tblLook w:val="01E0"/>
      </w:tblPrEx>
      <w:trPr>
        <w:jc w:val="center"/>
      </w:trPr>
      <w:tc>
        <w:tcPr>
          <w:tcW w:w="2500" w:type="pct"/>
          <w:gridSpan w:val="2"/>
          <w:shd w:val="clear" w:color="auto" w:fill="auto"/>
          <w:tcMar>
            <w:top w:w="0" w:type="dxa"/>
          </w:tcMar>
        </w:tcPr>
        <w:p w:rsidR="00FE23AB" w:rsidRPr="00AD7BF2" w:rsidP="004F54B2">
          <w:pPr>
            <w:pStyle w:val="FooterText"/>
          </w:pPr>
          <w:r>
            <w:t>9494/16</w:t>
          </w:r>
          <w:r w:rsidRPr="002511D8">
            <w:t xml:space="preserve"> </w:t>
          </w:r>
        </w:p>
      </w:tc>
      <w:tc>
        <w:tcPr>
          <w:tcW w:w="625" w:type="pct"/>
          <w:shd w:val="clear" w:color="auto" w:fill="auto"/>
          <w:tcMar>
            <w:top w:w="0" w:type="dxa"/>
          </w:tcMar>
        </w:tcPr>
        <w:p w:rsidR="00FE23AB" w:rsidRPr="00AD7BF2" w:rsidP="00D94637">
          <w:pPr>
            <w:pStyle w:val="FooterText"/>
            <w:jc w:val="center"/>
          </w:pPr>
        </w:p>
      </w:tc>
      <w:tc>
        <w:tcPr>
          <w:tcW w:w="1287" w:type="pct"/>
          <w:gridSpan w:val="3"/>
          <w:shd w:val="clear" w:color="auto" w:fill="auto"/>
          <w:tcMar>
            <w:top w:w="0" w:type="dxa"/>
          </w:tcMar>
        </w:tcPr>
        <w:p w:rsidR="00FE23AB" w:rsidRPr="002511D8" w:rsidP="00D94637">
          <w:pPr>
            <w:pStyle w:val="FooterText"/>
            <w:jc w:val="center"/>
          </w:pPr>
          <w:r>
            <w:t>AS/JB/</w:t>
          </w:r>
          <w:r>
            <w:t>fm</w:t>
          </w:r>
        </w:p>
      </w:tc>
      <w:tc>
        <w:tcPr>
          <w:tcW w:w="588" w:type="pct"/>
          <w:shd w:val="clear" w:color="auto" w:fill="auto"/>
          <w:tcMar>
            <w:top w:w="0" w:type="dxa"/>
          </w:tcMar>
        </w:tcPr>
        <w:p w:rsidR="00FE23AB" w:rsidRPr="00B310DC" w:rsidP="00D94637">
          <w:pPr>
            <w:pStyle w:val="FooterText"/>
            <w:jc w:val="right"/>
          </w:pPr>
          <w:r>
            <w:fldChar w:fldCharType="begin"/>
          </w:r>
          <w:r>
            <w:instrText xml:space="preserve"> PAGE  \* MERGEFORMAT </w:instrText>
          </w:r>
          <w:r>
            <w:fldChar w:fldCharType="separate"/>
          </w:r>
          <w:r w:rsidR="00C549D1">
            <w:rPr>
              <w:noProof/>
            </w:rPr>
            <w:t>1</w:t>
          </w:r>
          <w:r>
            <w:fldChar w:fldCharType="end"/>
          </w:r>
        </w:p>
      </w:tc>
    </w:tr>
    <w:tr w:rsidTr="00FE23AB">
      <w:tblPrEx>
        <w:tblW w:w="5000" w:type="pct"/>
        <w:jc w:val="center"/>
        <w:tblLayout w:type="fixed"/>
        <w:tblCellMar>
          <w:left w:w="0" w:type="dxa"/>
          <w:right w:w="0" w:type="dxa"/>
        </w:tblCellMar>
        <w:tblLook w:val="01E0"/>
      </w:tblPrEx>
      <w:trPr>
        <w:jc w:val="center"/>
      </w:trPr>
      <w:tc>
        <w:tcPr>
          <w:tcW w:w="1774" w:type="pct"/>
          <w:shd w:val="clear" w:color="auto" w:fill="auto"/>
        </w:tcPr>
        <w:p w:rsidR="00FE23AB" w:rsidRPr="00AD7BF2" w:rsidP="00D94637">
          <w:pPr>
            <w:pStyle w:val="FooterText"/>
            <w:spacing w:before="40"/>
          </w:pPr>
        </w:p>
      </w:tc>
      <w:tc>
        <w:tcPr>
          <w:tcW w:w="1455" w:type="pct"/>
          <w:gridSpan w:val="3"/>
          <w:shd w:val="clear" w:color="auto" w:fill="auto"/>
        </w:tcPr>
        <w:p w:rsidR="00FE23AB" w:rsidRPr="00AD7BF2" w:rsidP="00D204D6">
          <w:pPr>
            <w:pStyle w:val="FooterText"/>
            <w:spacing w:before="40"/>
            <w:jc w:val="center"/>
          </w:pPr>
          <w:r>
            <w:t>DG G 2B</w:t>
          </w:r>
        </w:p>
      </w:tc>
      <w:tc>
        <w:tcPr>
          <w:tcW w:w="1147" w:type="pct"/>
          <w:shd w:val="clear" w:color="auto" w:fill="auto"/>
        </w:tcPr>
        <w:p w:rsidR="00FE23AB" w:rsidRPr="00D94637" w:rsidP="00D94637">
          <w:pPr>
            <w:pStyle w:val="FooterText"/>
            <w:jc w:val="right"/>
            <w:rPr>
              <w:b/>
              <w:position w:val="-4"/>
              <w:sz w:val="36"/>
            </w:rPr>
          </w:pPr>
        </w:p>
      </w:tc>
      <w:tc>
        <w:tcPr>
          <w:tcW w:w="625" w:type="pct"/>
          <w:gridSpan w:val="2"/>
          <w:shd w:val="clear" w:color="auto" w:fill="auto"/>
        </w:tcPr>
        <w:p w:rsidR="00FE23AB" w:rsidRPr="00D94637" w:rsidP="00D94637">
          <w:pPr>
            <w:pStyle w:val="FooterText"/>
            <w:jc w:val="right"/>
            <w:rPr>
              <w:sz w:val="16"/>
            </w:rPr>
          </w:pPr>
          <w:r>
            <w:rPr>
              <w:b/>
              <w:position w:val="-4"/>
              <w:sz w:val="36"/>
            </w:rPr>
            <w:t>EN</w:t>
          </w:r>
        </w:p>
      </w:tc>
    </w:tr>
  </w:tbl>
  <w:p w:rsidR="003E1524" w:rsidRPr="00FE23AB" w:rsidP="00FE23AB">
    <w:pPr>
      <w:pStyle w:val="FooterCounci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jc w:val="center"/>
      <w:tblLayout w:type="fixed"/>
      <w:tblCellMar>
        <w:left w:w="0" w:type="dxa"/>
        <w:right w:w="0" w:type="dxa"/>
      </w:tblCellMar>
      <w:tblLook w:val="01E0"/>
    </w:tblPr>
    <w:tblGrid>
      <w:gridCol w:w="3420"/>
      <w:gridCol w:w="1400"/>
      <w:gridCol w:w="1205"/>
      <w:gridCol w:w="200"/>
      <w:gridCol w:w="2211"/>
      <w:gridCol w:w="69"/>
      <w:gridCol w:w="1134"/>
    </w:tblGrid>
    <w:tr w:rsidTr="00FE23AB">
      <w:tblPrEx>
        <w:tblW w:w="5000" w:type="pct"/>
        <w:jc w:val="center"/>
        <w:tblLayout w:type="fixed"/>
        <w:tblCellMar>
          <w:left w:w="0" w:type="dxa"/>
          <w:right w:w="0" w:type="dxa"/>
        </w:tblCellMar>
        <w:tblLook w:val="01E0"/>
      </w:tblPrEx>
      <w:trPr>
        <w:jc w:val="center"/>
      </w:trPr>
      <w:tc>
        <w:tcPr>
          <w:tcW w:w="5000" w:type="pct"/>
          <w:gridSpan w:val="7"/>
          <w:shd w:val="clear" w:color="auto" w:fill="auto"/>
          <w:tcMar>
            <w:top w:w="57" w:type="dxa"/>
          </w:tcMar>
        </w:tcPr>
        <w:p w:rsidR="00FE23AB" w:rsidRPr="00D94637" w:rsidP="00D94637">
          <w:pPr>
            <w:pStyle w:val="FooterText"/>
            <w:pBdr>
              <w:top w:val="single" w:sz="4" w:space="1" w:color="auto"/>
            </w:pBdr>
            <w:spacing w:before="200"/>
            <w:rPr>
              <w:sz w:val="2"/>
              <w:szCs w:val="2"/>
            </w:rPr>
          </w:pPr>
        </w:p>
      </w:tc>
    </w:tr>
    <w:tr w:rsidTr="00FE23AB">
      <w:tblPrEx>
        <w:tblW w:w="5000" w:type="pct"/>
        <w:jc w:val="center"/>
        <w:tblLayout w:type="fixed"/>
        <w:tblCellMar>
          <w:left w:w="0" w:type="dxa"/>
          <w:right w:w="0" w:type="dxa"/>
        </w:tblCellMar>
        <w:tblLook w:val="01E0"/>
      </w:tblPrEx>
      <w:trPr>
        <w:jc w:val="center"/>
      </w:trPr>
      <w:tc>
        <w:tcPr>
          <w:tcW w:w="2500" w:type="pct"/>
          <w:gridSpan w:val="2"/>
          <w:shd w:val="clear" w:color="auto" w:fill="auto"/>
          <w:tcMar>
            <w:top w:w="0" w:type="dxa"/>
          </w:tcMar>
        </w:tcPr>
        <w:p w:rsidR="00FE23AB" w:rsidRPr="00AD7BF2" w:rsidP="004F54B2">
          <w:pPr>
            <w:pStyle w:val="FooterText"/>
          </w:pPr>
          <w:r>
            <w:t>9494/16</w:t>
          </w:r>
          <w:r w:rsidRPr="002511D8">
            <w:t xml:space="preserve"> </w:t>
          </w:r>
        </w:p>
      </w:tc>
      <w:tc>
        <w:tcPr>
          <w:tcW w:w="625" w:type="pct"/>
          <w:shd w:val="clear" w:color="auto" w:fill="auto"/>
          <w:tcMar>
            <w:top w:w="0" w:type="dxa"/>
          </w:tcMar>
        </w:tcPr>
        <w:p w:rsidR="00FE23AB" w:rsidRPr="00AD7BF2" w:rsidP="00D94637">
          <w:pPr>
            <w:pStyle w:val="FooterText"/>
            <w:jc w:val="center"/>
          </w:pPr>
        </w:p>
      </w:tc>
      <w:tc>
        <w:tcPr>
          <w:tcW w:w="1287" w:type="pct"/>
          <w:gridSpan w:val="3"/>
          <w:shd w:val="clear" w:color="auto" w:fill="auto"/>
          <w:tcMar>
            <w:top w:w="0" w:type="dxa"/>
          </w:tcMar>
        </w:tcPr>
        <w:p w:rsidR="00FE23AB" w:rsidRPr="002511D8" w:rsidP="00D94637">
          <w:pPr>
            <w:pStyle w:val="FooterText"/>
            <w:jc w:val="center"/>
          </w:pPr>
          <w:r>
            <w:t>AS/JB/</w:t>
          </w:r>
          <w:r>
            <w:t>fm</w:t>
          </w:r>
        </w:p>
      </w:tc>
      <w:tc>
        <w:tcPr>
          <w:tcW w:w="588" w:type="pct"/>
          <w:shd w:val="clear" w:color="auto" w:fill="auto"/>
          <w:tcMar>
            <w:top w:w="0" w:type="dxa"/>
          </w:tcMar>
        </w:tcPr>
        <w:p w:rsidR="00FE23AB" w:rsidRPr="00B310DC" w:rsidP="00D94637">
          <w:pPr>
            <w:pStyle w:val="FooterText"/>
            <w:jc w:val="right"/>
          </w:pPr>
          <w:r>
            <w:fldChar w:fldCharType="begin"/>
          </w:r>
          <w:r>
            <w:instrText xml:space="preserve"> PAGE  \* MERGEFORMAT </w:instrText>
          </w:r>
          <w:r>
            <w:fldChar w:fldCharType="separate"/>
          </w:r>
          <w:r w:rsidR="00C549D1">
            <w:rPr>
              <w:noProof/>
            </w:rPr>
            <w:t>4</w:t>
          </w:r>
          <w:r>
            <w:fldChar w:fldCharType="end"/>
          </w:r>
        </w:p>
      </w:tc>
    </w:tr>
    <w:tr w:rsidTr="00FE23AB">
      <w:tblPrEx>
        <w:tblW w:w="5000" w:type="pct"/>
        <w:jc w:val="center"/>
        <w:tblLayout w:type="fixed"/>
        <w:tblCellMar>
          <w:left w:w="0" w:type="dxa"/>
          <w:right w:w="0" w:type="dxa"/>
        </w:tblCellMar>
        <w:tblLook w:val="01E0"/>
      </w:tblPrEx>
      <w:trPr>
        <w:jc w:val="center"/>
      </w:trPr>
      <w:tc>
        <w:tcPr>
          <w:tcW w:w="1774" w:type="pct"/>
          <w:shd w:val="clear" w:color="auto" w:fill="auto"/>
        </w:tcPr>
        <w:p w:rsidR="00FE23AB" w:rsidRPr="00AD7BF2" w:rsidP="00D94637">
          <w:pPr>
            <w:pStyle w:val="FooterText"/>
            <w:spacing w:before="40"/>
          </w:pPr>
          <w:r>
            <w:t>ANNEX</w:t>
          </w:r>
        </w:p>
      </w:tc>
      <w:tc>
        <w:tcPr>
          <w:tcW w:w="1455" w:type="pct"/>
          <w:gridSpan w:val="3"/>
          <w:shd w:val="clear" w:color="auto" w:fill="auto"/>
        </w:tcPr>
        <w:p w:rsidR="00FE23AB" w:rsidRPr="00AD7BF2" w:rsidP="00D204D6">
          <w:pPr>
            <w:pStyle w:val="FooterText"/>
            <w:spacing w:before="40"/>
            <w:jc w:val="center"/>
          </w:pPr>
          <w:r>
            <w:t>DG G 2B</w:t>
          </w:r>
        </w:p>
      </w:tc>
      <w:tc>
        <w:tcPr>
          <w:tcW w:w="1147" w:type="pct"/>
          <w:shd w:val="clear" w:color="auto" w:fill="auto"/>
        </w:tcPr>
        <w:p w:rsidR="00FE23AB" w:rsidRPr="00D94637" w:rsidP="00D94637">
          <w:pPr>
            <w:pStyle w:val="FooterText"/>
            <w:jc w:val="right"/>
            <w:rPr>
              <w:b/>
              <w:position w:val="-4"/>
              <w:sz w:val="36"/>
            </w:rPr>
          </w:pPr>
        </w:p>
      </w:tc>
      <w:tc>
        <w:tcPr>
          <w:tcW w:w="625" w:type="pct"/>
          <w:gridSpan w:val="2"/>
          <w:shd w:val="clear" w:color="auto" w:fill="auto"/>
        </w:tcPr>
        <w:p w:rsidR="00FE23AB" w:rsidRPr="00D94637" w:rsidP="00D94637">
          <w:pPr>
            <w:pStyle w:val="FooterText"/>
            <w:jc w:val="right"/>
            <w:rPr>
              <w:sz w:val="16"/>
            </w:rPr>
          </w:pPr>
          <w:r>
            <w:rPr>
              <w:b/>
              <w:position w:val="-4"/>
              <w:sz w:val="36"/>
            </w:rPr>
            <w:t>EN</w:t>
          </w:r>
        </w:p>
      </w:tc>
    </w:tr>
  </w:tbl>
  <w:p w:rsidR="00EE75A3" w:rsidRPr="00FE23AB" w:rsidP="00FE23AB">
    <w:pPr>
      <w:pStyle w:val="FooterCouncil"/>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75A3" w:rsidRPr="00FE23AB" w:rsidP="00FE23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A20542"/>
    <w:multiLevelType w:val="multilevel"/>
    <w:tmpl w:val="7D48D568"/>
    <w:name w:val="Default"/>
    <w:lvl w:ilvl="0">
      <w:start w:val="1"/>
      <w:numFmt w:val="decimal"/>
      <w:lvlText w:val="%1."/>
      <w:lvlJc w:val="left"/>
      <w:pPr>
        <w:tabs>
          <w:tab w:val="num" w:pos="720"/>
        </w:tabs>
        <w:ind w:left="72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7D350F1"/>
    <w:multiLevelType w:val="singleLevel"/>
    <w:tmpl w:val="8A36B78C"/>
    <w:name w:val="Bullet (1)"/>
    <w:lvl w:ilvl="0">
      <w:start w:val="1"/>
      <w:numFmt w:val="bullet"/>
      <w:pStyle w:val="Bullet1"/>
      <w:lvlText w:val=""/>
      <w:lvlJc w:val="left"/>
      <w:pPr>
        <w:tabs>
          <w:tab w:val="num" w:pos="1134"/>
        </w:tabs>
        <w:ind w:left="1134" w:hanging="567"/>
      </w:pPr>
      <w:rPr>
        <w:rFonts w:ascii="Symbol" w:hAnsi="Symbol" w:hint="default"/>
      </w:rPr>
    </w:lvl>
  </w:abstractNum>
  <w:abstractNum w:abstractNumId="2">
    <w:nsid w:val="0E020591"/>
    <w:multiLevelType w:val="singleLevel"/>
    <w:tmpl w:val="65A27EB6"/>
    <w:name w:val="Dash Equal 0"/>
    <w:lvl w:ilvl="0">
      <w:start w:val="1"/>
      <w:numFmt w:val="bullet"/>
      <w:pStyle w:val="DashEqual"/>
      <w:lvlText w:val="="/>
      <w:lvlJc w:val="left"/>
      <w:pPr>
        <w:tabs>
          <w:tab w:val="num" w:pos="567"/>
        </w:tabs>
        <w:ind w:left="567" w:hanging="567"/>
      </w:pPr>
    </w:lvl>
  </w:abstractNum>
  <w:abstractNum w:abstractNumId="3">
    <w:nsid w:val="0E200A09"/>
    <w:multiLevelType w:val="multilevel"/>
    <w:tmpl w:val="C8DEA596"/>
    <w:name w:val="Heading ABC"/>
    <w:lvl w:ilvl="0">
      <w:start w:val="1"/>
      <w:numFmt w:val="upperLetter"/>
      <w:pStyle w:val="HeadingABC"/>
      <w:lvlText w:val="%1."/>
      <w:lvlJc w:val="left"/>
      <w:pPr>
        <w:tabs>
          <w:tab w:val="num" w:pos="567"/>
        </w:tabs>
        <w:ind w:left="567" w:hanging="56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25085576"/>
    <w:multiLevelType w:val="singleLevel"/>
    <w:tmpl w:val="FFD2A502"/>
    <w:name w:val="Dash Equal 3"/>
    <w:lvl w:ilvl="0">
      <w:start w:val="1"/>
      <w:numFmt w:val="bullet"/>
      <w:pStyle w:val="DashEqual3"/>
      <w:lvlText w:val="="/>
      <w:lvlJc w:val="left"/>
      <w:pPr>
        <w:tabs>
          <w:tab w:val="num" w:pos="2268"/>
        </w:tabs>
        <w:ind w:left="2268" w:hanging="567"/>
      </w:pPr>
    </w:lvl>
  </w:abstractNum>
  <w:abstractNum w:abstractNumId="5">
    <w:nsid w:val="253C316A"/>
    <w:multiLevelType w:val="multilevel"/>
    <w:tmpl w:val="A26EDDF0"/>
    <w:name w:val="Heading IVX"/>
    <w:lvl w:ilvl="0">
      <w:start w:val="1"/>
      <w:numFmt w:val="upperRoman"/>
      <w:pStyle w:val="HeadingIVX"/>
      <w:lvlText w:val="%1."/>
      <w:lvlJc w:val="left"/>
      <w:pPr>
        <w:tabs>
          <w:tab w:val="num" w:pos="567"/>
        </w:tabs>
        <w:ind w:left="567" w:hanging="56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2BD82C0C"/>
    <w:multiLevelType w:val="singleLevel"/>
    <w:tmpl w:val="7C183DDA"/>
    <w:name w:val="Dash Equal 2"/>
    <w:lvl w:ilvl="0">
      <w:start w:val="1"/>
      <w:numFmt w:val="bullet"/>
      <w:pStyle w:val="DashEqual2"/>
      <w:lvlText w:val="="/>
      <w:lvlJc w:val="left"/>
      <w:pPr>
        <w:tabs>
          <w:tab w:val="num" w:pos="1701"/>
        </w:tabs>
        <w:ind w:left="1701" w:hanging="567"/>
      </w:pPr>
    </w:lvl>
  </w:abstractNum>
  <w:abstractNum w:abstractNumId="7">
    <w:nsid w:val="3845653E"/>
    <w:multiLevelType w:val="singleLevel"/>
    <w:tmpl w:val="234EAC60"/>
    <w:name w:val="Dash Equal 1"/>
    <w:lvl w:ilvl="0">
      <w:start w:val="1"/>
      <w:numFmt w:val="bullet"/>
      <w:pStyle w:val="DashEqual1"/>
      <w:lvlText w:val="="/>
      <w:lvlJc w:val="left"/>
      <w:pPr>
        <w:tabs>
          <w:tab w:val="num" w:pos="1134"/>
        </w:tabs>
        <w:ind w:left="1134" w:hanging="567"/>
      </w:pPr>
    </w:lvl>
  </w:abstractNum>
  <w:abstractNum w:abstractNumId="8">
    <w:nsid w:val="385710C1"/>
    <w:multiLevelType w:val="singleLevel"/>
    <w:tmpl w:val="FF3EB506"/>
    <w:name w:val="Dash 4"/>
    <w:lvl w:ilvl="0">
      <w:start w:val="1"/>
      <w:numFmt w:val="bullet"/>
      <w:pStyle w:val="Dash4"/>
      <w:lvlText w:val="–"/>
      <w:lvlJc w:val="left"/>
      <w:pPr>
        <w:tabs>
          <w:tab w:val="num" w:pos="2835"/>
        </w:tabs>
        <w:ind w:left="2835" w:hanging="567"/>
      </w:pPr>
    </w:lvl>
  </w:abstractNum>
  <w:abstractNum w:abstractNumId="9">
    <w:nsid w:val="38F424D0"/>
    <w:multiLevelType w:val="multilevel"/>
    <w:tmpl w:val="48741C5E"/>
    <w:name w:val="Points"/>
    <w:lvl w:ilvl="0">
      <w:start w:val="1"/>
      <w:numFmt w:val="decimal"/>
      <w:pStyle w:val="Point123"/>
      <w:lvlText w:val="%1."/>
      <w:lvlJc w:val="left"/>
      <w:pPr>
        <w:tabs>
          <w:tab w:val="num" w:pos="567"/>
        </w:tabs>
        <w:ind w:left="567"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10">
    <w:nsid w:val="43F67AF0"/>
    <w:multiLevelType w:val="singleLevel"/>
    <w:tmpl w:val="7DB04F0A"/>
    <w:name w:val="Dash 2"/>
    <w:lvl w:ilvl="0">
      <w:start w:val="1"/>
      <w:numFmt w:val="bullet"/>
      <w:pStyle w:val="Dash2"/>
      <w:lvlText w:val="–"/>
      <w:lvlJc w:val="left"/>
      <w:pPr>
        <w:tabs>
          <w:tab w:val="num" w:pos="1701"/>
        </w:tabs>
        <w:ind w:left="1701" w:hanging="567"/>
      </w:pPr>
    </w:lvl>
  </w:abstractNum>
  <w:abstractNum w:abstractNumId="11">
    <w:nsid w:val="47AB25E5"/>
    <w:multiLevelType w:val="singleLevel"/>
    <w:tmpl w:val="75164398"/>
    <w:name w:val="Dash 1"/>
    <w:lvl w:ilvl="0">
      <w:start w:val="1"/>
      <w:numFmt w:val="bullet"/>
      <w:pStyle w:val="Dash1"/>
      <w:lvlText w:val="–"/>
      <w:lvlJc w:val="left"/>
      <w:pPr>
        <w:tabs>
          <w:tab w:val="num" w:pos="1134"/>
        </w:tabs>
        <w:ind w:left="1134" w:hanging="567"/>
      </w:pPr>
    </w:lvl>
  </w:abstractNum>
  <w:abstractNum w:abstractNumId="12">
    <w:nsid w:val="47C10D90"/>
    <w:multiLevelType w:val="singleLevel"/>
    <w:tmpl w:val="07C45670"/>
    <w:name w:val="Dash 3"/>
    <w:lvl w:ilvl="0">
      <w:start w:val="1"/>
      <w:numFmt w:val="bullet"/>
      <w:pStyle w:val="Dash3"/>
      <w:lvlText w:val="–"/>
      <w:lvlJc w:val="left"/>
      <w:pPr>
        <w:tabs>
          <w:tab w:val="num" w:pos="2268"/>
        </w:tabs>
        <w:ind w:left="2268" w:hanging="567"/>
      </w:pPr>
    </w:lvl>
  </w:abstractNum>
  <w:abstractNum w:abstractNumId="13">
    <w:nsid w:val="4B8C0F3A"/>
    <w:multiLevelType w:val="multilevel"/>
    <w:tmpl w:val="E42C00D8"/>
    <w:name w:val="LegalNumbering"/>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4D6B557C"/>
    <w:multiLevelType w:val="singleLevel"/>
    <w:tmpl w:val="D7C06852"/>
    <w:name w:val="Bullet (4)"/>
    <w:lvl w:ilvl="0">
      <w:start w:val="1"/>
      <w:numFmt w:val="bullet"/>
      <w:pStyle w:val="Bullet4"/>
      <w:lvlText w:val=""/>
      <w:lvlJc w:val="left"/>
      <w:pPr>
        <w:tabs>
          <w:tab w:val="num" w:pos="2835"/>
        </w:tabs>
        <w:ind w:left="2835" w:hanging="567"/>
      </w:pPr>
      <w:rPr>
        <w:rFonts w:ascii="Symbol" w:hAnsi="Symbol" w:hint="default"/>
      </w:rPr>
    </w:lvl>
  </w:abstractNum>
  <w:abstractNum w:abstractNumId="15">
    <w:nsid w:val="6278684C"/>
    <w:multiLevelType w:val="multilevel"/>
    <w:tmpl w:val="33AE034E"/>
    <w:name w:val="Points roman"/>
    <w:lvl w:ilvl="0">
      <w:start w:val="1"/>
      <w:numFmt w:val="lowerRoman"/>
      <w:pStyle w:val="Pointivx"/>
      <w:lvlText w:val="%1)"/>
      <w:lvlJc w:val="left"/>
      <w:pPr>
        <w:tabs>
          <w:tab w:val="num" w:pos="567"/>
        </w:tabs>
        <w:ind w:left="567" w:hanging="567"/>
      </w:pPr>
    </w:lvl>
    <w:lvl w:ilvl="1">
      <w:start w:val="1"/>
      <w:numFmt w:val="lowerRoman"/>
      <w:pStyle w:val="Pointivx1"/>
      <w:lvlText w:val="%2)"/>
      <w:lvlJc w:val="left"/>
      <w:pPr>
        <w:tabs>
          <w:tab w:val="num" w:pos="1134"/>
        </w:tabs>
        <w:ind w:left="1134" w:hanging="567"/>
      </w:pPr>
    </w:lvl>
    <w:lvl w:ilvl="2">
      <w:start w:val="1"/>
      <w:numFmt w:val="lowerRoman"/>
      <w:pStyle w:val="Pointivx2"/>
      <w:lvlText w:val="%3)"/>
      <w:lvlJc w:val="left"/>
      <w:pPr>
        <w:tabs>
          <w:tab w:val="num" w:pos="1701"/>
        </w:tabs>
        <w:ind w:left="1701" w:hanging="567"/>
      </w:pPr>
    </w:lvl>
    <w:lvl w:ilvl="3">
      <w:start w:val="1"/>
      <w:numFmt w:val="lowerRoman"/>
      <w:pStyle w:val="Pointivx3"/>
      <w:lvlText w:val="%4)"/>
      <w:lvlJc w:val="left"/>
      <w:pPr>
        <w:tabs>
          <w:tab w:val="num" w:pos="2268"/>
        </w:tabs>
        <w:ind w:left="2268" w:hanging="567"/>
      </w:pPr>
    </w:lvl>
    <w:lvl w:ilvl="4">
      <w:start w:val="1"/>
      <w:numFmt w:val="lowerRoman"/>
      <w:pStyle w:val="Pointivx4"/>
      <w:lvlText w:val="%5)"/>
      <w:lvlJc w:val="left"/>
      <w:pPr>
        <w:tabs>
          <w:tab w:val="num" w:pos="2835"/>
        </w:tabs>
        <w:ind w:left="2835"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68AA1742"/>
    <w:multiLevelType w:val="singleLevel"/>
    <w:tmpl w:val="4F329520"/>
    <w:name w:val="Dash 0"/>
    <w:lvl w:ilvl="0">
      <w:start w:val="1"/>
      <w:numFmt w:val="bullet"/>
      <w:pStyle w:val="Dash"/>
      <w:lvlText w:val="–"/>
      <w:lvlJc w:val="left"/>
      <w:pPr>
        <w:tabs>
          <w:tab w:val="num" w:pos="567"/>
        </w:tabs>
        <w:ind w:left="567" w:hanging="567"/>
      </w:pPr>
    </w:lvl>
  </w:abstractNum>
  <w:abstractNum w:abstractNumId="17">
    <w:nsid w:val="6A807310"/>
    <w:multiLevelType w:val="singleLevel"/>
    <w:tmpl w:val="62B42714"/>
    <w:name w:val="Bullet (3)"/>
    <w:lvl w:ilvl="0">
      <w:start w:val="1"/>
      <w:numFmt w:val="bullet"/>
      <w:pStyle w:val="Bullet3"/>
      <w:lvlText w:val=""/>
      <w:lvlJc w:val="left"/>
      <w:pPr>
        <w:tabs>
          <w:tab w:val="num" w:pos="2268"/>
        </w:tabs>
        <w:ind w:left="2268" w:hanging="567"/>
      </w:pPr>
      <w:rPr>
        <w:rFonts w:ascii="Symbol" w:hAnsi="Symbol" w:hint="default"/>
      </w:rPr>
    </w:lvl>
  </w:abstractNum>
  <w:abstractNum w:abstractNumId="18">
    <w:nsid w:val="7380518A"/>
    <w:multiLevelType w:val="singleLevel"/>
    <w:tmpl w:val="43DEF6E2"/>
    <w:name w:val="Dash Equal 4"/>
    <w:lvl w:ilvl="0">
      <w:start w:val="1"/>
      <w:numFmt w:val="bullet"/>
      <w:pStyle w:val="DashEqual4"/>
      <w:lvlText w:val="="/>
      <w:lvlJc w:val="left"/>
      <w:pPr>
        <w:tabs>
          <w:tab w:val="num" w:pos="2835"/>
        </w:tabs>
        <w:ind w:left="2835" w:hanging="567"/>
      </w:pPr>
    </w:lvl>
  </w:abstractNum>
  <w:abstractNum w:abstractNumId="19">
    <w:nsid w:val="73EA208D"/>
    <w:multiLevelType w:val="singleLevel"/>
    <w:tmpl w:val="0A7218F6"/>
    <w:name w:val="Bullet (0)"/>
    <w:lvl w:ilvl="0">
      <w:start w:val="1"/>
      <w:numFmt w:val="bullet"/>
      <w:pStyle w:val="Bullet"/>
      <w:lvlText w:val=""/>
      <w:lvlJc w:val="left"/>
      <w:pPr>
        <w:tabs>
          <w:tab w:val="num" w:pos="567"/>
        </w:tabs>
        <w:ind w:left="567" w:hanging="567"/>
      </w:pPr>
      <w:rPr>
        <w:rFonts w:ascii="Symbol" w:hAnsi="Symbol" w:hint="default"/>
      </w:rPr>
    </w:lvl>
  </w:abstractNum>
  <w:abstractNum w:abstractNumId="20">
    <w:nsid w:val="77280071"/>
    <w:multiLevelType w:val="multilevel"/>
    <w:tmpl w:val="39C25228"/>
    <w:name w:val="Heading 123"/>
    <w:lvl w:ilvl="0">
      <w:start w:val="1"/>
      <w:numFmt w:val="decimal"/>
      <w:pStyle w:val="Heading123"/>
      <w:lvlText w:val="%1."/>
      <w:lvlJc w:val="left"/>
      <w:pPr>
        <w:tabs>
          <w:tab w:val="num" w:pos="567"/>
        </w:tabs>
        <w:ind w:left="567" w:hanging="56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7CAE7682"/>
    <w:multiLevelType w:val="singleLevel"/>
    <w:tmpl w:val="D7C4174A"/>
    <w:name w:val="Bullet (2)"/>
    <w:lvl w:ilvl="0">
      <w:start w:val="1"/>
      <w:numFmt w:val="bullet"/>
      <w:pStyle w:val="Bullet2"/>
      <w:lvlText w:val=""/>
      <w:lvlJc w:val="left"/>
      <w:pPr>
        <w:tabs>
          <w:tab w:val="num" w:pos="1701"/>
        </w:tabs>
        <w:ind w:left="1701" w:hanging="567"/>
      </w:pPr>
      <w:rPr>
        <w:rFonts w:ascii="Symbol" w:hAnsi="Symbol" w:hint="default"/>
      </w:rPr>
    </w:lvl>
  </w:abstractNum>
  <w:num w:numId="1">
    <w:abstractNumId w:val="16"/>
  </w:num>
  <w:num w:numId="2">
    <w:abstractNumId w:val="11"/>
  </w:num>
  <w:num w:numId="3">
    <w:abstractNumId w:val="10"/>
  </w:num>
  <w:num w:numId="4">
    <w:abstractNumId w:val="12"/>
  </w:num>
  <w:num w:numId="5">
    <w:abstractNumId w:val="8"/>
  </w:num>
  <w:num w:numId="6">
    <w:abstractNumId w:val="2"/>
  </w:num>
  <w:num w:numId="7">
    <w:abstractNumId w:val="7"/>
  </w:num>
  <w:num w:numId="8">
    <w:abstractNumId w:val="6"/>
  </w:num>
  <w:num w:numId="9">
    <w:abstractNumId w:val="4"/>
  </w:num>
  <w:num w:numId="10">
    <w:abstractNumId w:val="18"/>
  </w:num>
  <w:num w:numId="11">
    <w:abstractNumId w:val="19"/>
  </w:num>
  <w:num w:numId="12">
    <w:abstractNumId w:val="1"/>
  </w:num>
  <w:num w:numId="13">
    <w:abstractNumId w:val="21"/>
  </w:num>
  <w:num w:numId="14">
    <w:abstractNumId w:val="17"/>
  </w:num>
  <w:num w:numId="15">
    <w:abstractNumId w:val="14"/>
  </w:num>
  <w:num w:numId="16">
    <w:abstractNumId w:val="9"/>
  </w:num>
  <w:num w:numId="17">
    <w:abstractNumId w:val="15"/>
  </w:num>
  <w:num w:numId="18">
    <w:abstractNumId w:val="3"/>
  </w:num>
  <w:num w:numId="19">
    <w:abstractNumId w:val="20"/>
  </w:num>
  <w:num w:numId="20">
    <w:abstractNumId w:val="5"/>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567"/>
  <w:drawingGridHorizontalSpacing w:val="120"/>
  <w:displayHorizontalDrawingGridEvery w:val="2"/>
  <w:noPunctuationKerning/>
  <w:characterSpacingControl w:val="doNotCompress"/>
  <w:compat>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pylist_Path" w:val="\\at100\user\WK\SEILEG\DocuWrite\Copylist"/>
    <w:docVar w:name="Council" w:val="true"/>
    <w:docVar w:name="DocuWriteMetaData" w:val="&lt;metadataset docuwriteversion=&quot;3.7.7&quot; technicalblockguid=&quot;daa0d064-e089-4af8-ada0-a461ac8a357d&quot;&gt;&#13;_x000a_  &lt;metadata key=&quot;md_DocumentLanguages&quot;&gt;&#13;_x000a_    &lt;basicdatatypelist&gt;&#13;_x000a_      &lt;language key=&quot;EN&quot; text=&quot;EN&quot; /&gt;&#13;_x000a_    &lt;/basicdatatypelist&gt;&#13;_x000a_  &lt;/metadata&gt;&#13;_x000a_  &lt;metadata key=&quot;md_OriginalLanguages&quot;&gt;&#13;_x000a_    &lt;basicdatatypelist&gt;&#13;_x000a_      &lt;language key=&quot;EN&quot; text=&quot;EN&quot; /&gt;&#13;_x000a_    &lt;/basicdatatypelist&gt;&#13;_x000a_  &lt;/metadata&gt;&#13;_x000a_  &lt;metadata key=&quot;md_UniqueHeading&quot;&gt;&#13;_x000a_    &lt;basicdatatype&gt;&#13;_x000a_      &lt;heading key=&quot;uh_56&quot; text=&quot;OUTCOME OF PROCEEDINGS&quot; /&gt;&#13;_x000a_    &lt;/basicdatatype&gt;&#13;_x000a_  &lt;/metadata&gt;&#13;_x000a_  &lt;metadata key=&quot;md_HeadingText&quot;&gt;&#13;_x000a_    &lt;headingtext text=&quot;OUTCOME OF PROCEEDINGS&quot;&gt;&#13;_x000a_      &lt;formattedtext&gt;&#13;_x000a_        &lt;xaml text=&quot;OUTCOME OF PROCEEDINGS&quot;&gt;&amp;lt;FlowDocument xmlns=&quot;http://schemas.microsoft.com/winfx/2006/xaml/presentation&quot;&amp;gt;&amp;lt;Paragraph&amp;gt;OUTCOME OF PROCEEDINGS&amp;lt;/Paragraph&amp;gt;&amp;lt;/FlowDocument&amp;gt;&lt;/xaml&gt;&#13;_x000a_      &lt;/formattedtext&gt;&#13;_x000a_    &lt;/headingtext&gt;&#13;_x000a_  &lt;/metadata&gt;&#13;_x000a_  &lt;metadata key=&quot;md_DocumentGroup&quot;&gt;&#13;_x000a_    &lt;basicdatatype&gt;&#13;_x000a_      &lt;document_group key=&quot;dg_09&quot; text=&quot;Reporting&quot; /&gt;&#13;_x000a_    &lt;/basicdatatype&gt;&#13;_x000a_  &lt;/metadata&gt;&#13;_x000a_  &lt;metadata key=&quot;md_DocumentType&quot;&gt;&#13;_x000a_    &lt;basicdatatype&gt;&#13;_x000a_      &lt;doc_type key=&quot;dt_ST&quot; text=&quot;ST&quot; /&gt;&#13;_x000a_    &lt;/basicdatatype&gt;&#13;_x000a_  &lt;/metadata&gt;&#13;_x000a_  &lt;metadata key=&quot;md_InstitutionalFramework&quot;&gt;&#13;_x000a_    &lt;basicdatatype&gt;&#13;_x000a_      &lt;framework key=&quot;if_01&quot; text=&quot;Council of the European Union&quot; institution=&quot;instfr_institution&quot; acronym=&quot;instfr_acronym&quot; /&gt;&#13;_x000a_    &lt;/basicdatatype&gt;&#13;_x000a_  &lt;/metadata&gt;&#13;_x000a_  &lt;metadata key=&quot;md_DraftNote&quot; /&gt;&#13;_x000a_  &lt;metadata key=&quot;md_DocumentLocation&quot;&gt;&#13;_x000a_    &lt;basicdatatype&gt;&#13;_x000a_      &lt;location key=&quot;loc_01&quot; text=&quot;Brussels&quot; /&gt;&#13;_x000a_    &lt;/basicdatatype&gt;&#13;_x000a_  &lt;/metadata&gt;&#13;_x000a_  &lt;metadata key=&quot;md_DocumentDate&quot;&gt;&#13;_x000a_    &lt;text&gt;2016-05-25&lt;/text&gt;&#13;_x000a_  &lt;/metadata&gt;&#13;_x000a_  &lt;metadata key=&quot;md_Prefix&quot;&gt;&#13;_x000a_    &lt;text&gt;&lt;/text&gt;&#13;_x000a_  &lt;/metadata&gt;&#13;_x000a_  &lt;metadata key=&quot;md_DocumentNumber&quot;&gt;&#13;_x000a_    &lt;text&gt;9494&lt;/text&gt;&#13;_x000a_  &lt;/metadata&gt;&#13;_x000a_  &lt;metadata key=&quot;md_YearDocumentNumber&quot;&gt;&#13;_x000a_    &lt;text&gt;2016&lt;/text&gt;&#13;_x000a_  &lt;/metadata&gt;&#13;_x000a_  &lt;metadata key=&quot;md_Suffixes&quot;&gt;&#13;_x000a_    &lt;text&gt;&lt;/text&gt;&#13;_x000a_  &lt;/metadata&gt;&#13;_x000a_  &lt;metadata key=&quot;md_SuffixLanguagesInvolved&quot;&gt;&#13;_x000a_    &lt;text&gt;&lt;/text&gt;&#13;_x000a_  &lt;/metadata&gt;&#13;_x000a_  &lt;metadata key=&quot;md_FirstRevNumber&quot;&gt;&#13;_x000a_    &lt;text&gt;&lt;/text&gt;&#13;_x000a_  &lt;/metadata&gt;&#13;_x000a_  &lt;metadata key=&quot;md_Distribution&quot;&gt;&#13;_x000a_    &lt;basicdatatype&gt;&#13;_x000a_      &lt;distribution key=&quot;dis_01&quot; text=&quot;PUBLIC&quot; /&gt;&#13;_x000a_    &lt;/basicdatatype&gt;&#13;_x000a_  &lt;/metadata&gt;&#13;_x000a_  &lt;metadata key=&quot;md_SubjectCodes&quot;&gt;&#13;_x000a_    &lt;textlist&gt;&#13;_x000a_      &lt;text&gt;FISC 86&lt;/text&gt;&#13;_x000a_      &lt;text&gt;ECOFIN 509&lt;/text&gt;&#13;_x000a_    &lt;/textlist&gt;&#13;_x000a_  &lt;/metadata&gt;&#13;_x000a_  &lt;metadata key=&quot;md_Contact&quot; /&gt;&#13;_x000a_  &lt;metadata key=&quot;md_ContactPhoneFax&quot; /&gt;&#13;_x000a_  &lt;metadata key=&quot;md_MeetingVenue&quot; /&gt;&#13;_x000a_  &lt;metadata key=&quot;md_ProvisionalVersion&quot;&gt;&#13;_x000a_    &lt;text&gt;&lt;/text&gt;&#13;_x000a_  &lt;/metadata&gt;&#13;_x000a_  &lt;metadata key=&quot;md_PresidentInformation&quot; /&gt;&#13;_x000a_  &lt;metadata key=&quot;md_MeetingNumber&quot; /&gt;&#13;_x000a_  &lt;metadata key=&quot;md_CouncilConfiguration&quot; /&gt;&#13;_x000a_  &lt;metadata key=&quot;md_CouncilIssue&quot; /&gt;&#13;_x000a_  &lt;metadata key=&quot;md_PhoneNumber&quot; /&gt;&#13;_x000a_  &lt;metadata key=&quot;md_TypeOfHeading&quot;&gt;&#13;_x000a_    &lt;basicdatatype&gt;&#13;_x000a_      &lt;typeofheading key=&quot;&quot; /&gt;&#13;_x000a_    &lt;/basicdatatype&gt;&#13;_x000a_  &lt;/metadata&gt;&#13;_x000a_  &lt;metadata key=&quot;md_ReplyName&quot; /&gt;&#13;_x000a_  &lt;metadata key=&quot;md_EPQuestionsData&quot; /&gt;&#13;_x000a_  &lt;metadata key=&quot;md_Deadline&quot; /&gt;&#13;_x000a_  &lt;metadata key=&quot;md_InterinstitutionalFiles&quot;&gt;&#13;_x000a_    &lt;textlist /&gt;&#13;_x000a_  &lt;/metadata&gt;&#13;_x000a_  &lt;metadata key=&quot;md_AdditionalReferences&quot;&gt;&#13;_x000a_    &lt;textlist /&gt;&#13;_x000a_  &lt;/metadata&gt;&#13;_x000a_  &lt;metadata key=&quot;md_LEXNumber&quot;&gt;&#13;_x000a_    &lt;text&gt;&lt;/text&gt;&#13;_x000a_  &lt;/metadata&gt;&#13;_x000a_  &lt;metadata key=&quot;md_SousEmbargo&quot;&gt;&#13;_x000a_    &lt;text&gt;&lt;/text&gt;&#13;_x000a_  &lt;/metadata&gt;&#13;_x000a_  &lt;metadata key=&quot;md_Originator&quot;&gt;&#13;_x000a_    &lt;basicdatatype&gt;&#13;_x000a_      &lt;originator key=&quot;or_09&quot; text=&quot;General Secretariat of the Council&quot; /&gt;&#13;_x000a_    &lt;/basicdatatype&gt;&#13;_x000a_  &lt;/metadata&gt;&#13;_x000a_  &lt;metadata key=&quot;md_Recipient&quot;&gt;&#13;_x000a_    &lt;basicdatatype&gt;&#13;_x000a_      &lt;recipient key=&quot;re_07&quot; text=&quot;Delegations&quot; /&gt;&#13;_x000a_    &lt;/basicdatatype&gt;&#13;_x000a_  &lt;/metadata&gt;&#13;_x000a_  &lt;metadata key=&quot;md_DateOfReceipt&quot;&gt;&#13;_x000a_    &lt;text&gt;&lt;/text&gt;&#13;_x000a_  &lt;/metadata&gt;&#13;_x000a_  &lt;metadata key=&quot;md_FreeDate&quot;&gt;&#13;_x000a_    &lt;textlist&gt;&#13;_x000a_      &lt;text&gt;2016-05-25&lt;/text&gt;&#13;_x000a_    &lt;/textlist&gt;&#13;_x000a_  &lt;/metadata&gt;&#13;_x000a_  &lt;metadata key=&quot;md_PrecedingDocuments&quot;&gt;&#13;_x000a_    &lt;textlist&gt;&#13;_x000a_      &lt;text&gt;9046/16 FISC 77 ECOFIN 404&lt;/text&gt;&#13;_x000a_    &lt;/textlist&gt;&#13;_x000a_  &lt;/metadata&gt;&#13;_x000a_  &lt;metadata key=&quot;md_CommissionDocuments&quot;&gt;&#13;_x000a_    &lt;textlist /&gt;&#13;_x000a_  &lt;/metadata&gt;&#13;_x000a_  &lt;metadata key=&quot;md_DocForDWNDCL&quot; /&gt;&#13;_x000a_  &lt;metadata key=&quot;md_Distribution_NewClassification&quot; /&gt;&#13;_x000a_  &lt;metadata key=&quot;md_DWNDCLAuthorization&quot; /&gt;&#13;_x000a_  &lt;metadata key=&quot;md_DateOfAuthorization&quot; /&gt;&#13;_x000a_  &lt;metadata key=&quot;md_MeetingLocation&quot; /&gt;&#13;_x000a_  &lt;metadata key=&quot;md_MeetingDate&quot; /&gt;&#13;_x000a_  &lt;metadata key=&quot;md_MeetingInformation&quot; /&gt;&#13;_x000a_  &lt;metadata key=&quot;md_Item&quot; /&gt;&#13;_x000a_  &lt;metadata key=&quot;md_Subject&quot;&gt;&#13;_x000a_    &lt;xaml text=&quot;VAT Action Plan &amp;quot;Towards a single EU VAT area&amp;quot; VAT Action Plan &amp;quot;Towards a single EU VAT area - Time to decide&amp;quot; Special Report no 24/2015 by the European Court of Auditors &amp;quot;Tackling intra-community VAT fraud: more action needed&amp;quot; Council conclusions&quot;&gt;&amp;lt;FlowDocument FontFamily=&quot;Arial Unicode MS&quot; FontSize=&quot;12&quot; PageWidth=&quot;Auto&quot; PagePadding=&quot;5,0,5,0&quot; AllowDrop=&quot;False&quot; xmlns=&quot;http://schemas.microsoft.com/winfx/2006/xaml/presentation&quot;&amp;gt;&amp;lt;Paragraph FontFamily=&quot;Georgia&quot; FontSize=&quot;16&quot;&amp;gt;&amp;lt;Run FontFamily=&quot;Arial Unicode MS&quot;&amp;gt;VAT Action Plan &quot;Towards a single EU VAT area&quot;&amp;lt;/Run&amp;gt;&amp;lt;/Paragraph&amp;gt;&amp;lt;List MarkerStyle=&quot;Box&quot; Padding=&quot;16,Auto,Auto,Auto&quot; FontFamily=&quot;Georgia&quot; FontSize=&quot;16&quot;&amp;gt;&amp;lt;ListItem&amp;gt;&amp;lt;Paragraph&amp;gt;&amp;lt;Run FontFamily=&quot;Arial Unicode MS&quot;&amp;gt;VAT Action Plan &quot;Towards a single EU VAT area - Time to decide&quot;&amp;lt;/Run&amp;gt;&amp;lt;/Paragraph&amp;gt;&amp;lt;/ListItem&amp;gt;&amp;lt;/List&amp;gt;&amp;lt;List MarkerStyle=&quot;Box&quot; Padding=&quot;16,Auto,Auto,Auto&quot; FontFamily=&quot;Georgia&quot; FontSize=&quot;16&quot;&amp;gt;&amp;lt;ListItem&amp;gt;&amp;lt;Paragraph&amp;gt;&amp;lt;Run FontFamily=&quot;Arial Unicode MS&quot;&amp;gt;Special Report no 24/2015 by the European Court of Auditors &quot;Tackling intra-community VAT fraud: more action needed&quot;&amp;lt;/Run&amp;gt;&amp;lt;/Paragraph&amp;gt;&amp;lt;/ListItem&amp;gt;&amp;lt;/List&amp;gt;&amp;lt;List MarkerStyle=&quot;Square&quot; Padding=&quot;22,Auto,Auto,Auto&quot; FontFamily=&quot;Georgia&quot; FontSize=&quot;16&quot;&amp;gt;&amp;lt;ListItem&amp;gt;&amp;lt;Paragraph&amp;gt;&amp;lt;Run FontFamily=&quot;Arial Unicode MS&quot;&amp;gt;Council conclusions&amp;lt;/Run&amp;gt;&amp;lt;/Paragraph&amp;gt;&amp;lt;/ListItem&amp;gt;&amp;lt;/List&amp;gt;&amp;lt;/FlowDocument&amp;gt;&lt;/xaml&gt;&#13;_x000a_  &lt;/metadata&gt;&#13;_x000a_  &lt;metadata key=&quot;md_SubjectFootnote&quot; /&gt;&#13;_x000a_  &lt;metadata key=&quot;md_DG&quot;&gt;&#13;_x000a_    &lt;text&gt;DG G 2B&lt;/text&gt;&#13;_x000a_  &lt;/metadata&gt;&#13;_x000a_  &lt;metadata key=&quot;md_Initials&quot;&gt;&#13;_x000a_    &lt;text&gt;AS/JB/fm&lt;/text&gt;&#13;_x000a_  &lt;/metadata&gt;&#13;_x000a_  &lt;metadata key=&quot;md_RectifProcedureType&quot;&gt;&#13;_x000a_    &lt;basicdatatype&gt;&#13;_x000a_      &lt;rectifprocedure key=&quot;&quot; /&gt;&#13;_x000a_    &lt;/basicdatatype&gt;&#13;_x000a_  &lt;/metadata&gt;&#13;_x000a_  &lt;metadata key=&quot;md_RectifLanguagesBase&quot; /&gt;&#13;_x000a_  &lt;metadata key=&quot;md_RectifLanguagesConcerned&quot; /&gt;&#13;_x000a_  &lt;metadata key=&quot;md_RectifIsLangSpec&quot; /&gt;&#13;_x000a_  &lt;metadata key=&quot;md_RectifLangSpecValue&quot; /&gt;&#13;_x000a_  &lt;metadata key=&quot;md_RectifNumberOfMistakes&quot; /&gt;&#13;_x000a_  &lt;metadata key=&quot;md_RectifHasRemarks&quot; /&gt;&#13;_x000a_  &lt;metadata key=&quot;md_RectifUseDocRef&quot; /&gt;&#13;_x000a_  &lt;metadata key=&quot;md_RectifDocRefNumber&quot; /&gt;&#13;_x000a_  &lt;metadata key=&quot;md_RectifDocRefDate&quot; /&gt;&#13;_x000a_  &lt;metadata key=&quot;md_RectifUseOJRef&quot; /&gt;&#13;_x000a_  &lt;metadata key=&quot;md_RectifOJRefType&quot; /&gt;&#13;_x000a_  &lt;metadata key=&quot;md_RectifOJLRefNumber&quot; /&gt;&#13;_x000a_  &lt;metadata key=&quot;md_RectifOJCRefNumber&quot; /&gt;&#13;_x000a_  &lt;metadata key=&quot;md_RectifOJLRefDate&quot; /&gt;&#13;_x000a_  &lt;metadata key=&quot;md_RectifOJCRefDate&quot; /&gt;&#13;_x000a_  &lt;metadata key=&quot;md_RectifOJLRefPage&quot; /&gt;&#13;_x000a_  &lt;metadata key=&quot;md_RectifOJCRefPage&quot; /&gt;&#13;_x000a_  &lt;metadata key=&quot;md_RectifUseOJCorRef&quot; /&gt;&#13;_x000a_  &lt;metadata key=&quot;md_RectifOJCorRefNumber&quot; /&gt;&#13;_x000a_  &lt;metadata key=&quot;md_RectifOJCorRefDate&quot; /&gt;&#13;_x000a_  &lt;metadata key=&quot;md_RectifOJCorRefPage&quot; /&gt;&#13;_x000a_  &lt;metadata key=&quot;md_RectifTimeLimit&quot; /&gt;&#13;_x000a_  &lt;metadata key=&quot;md_RectifCodecision&quot; /&gt;&#13;_x000a_  &lt;metadata key=&quot;md_RectifCorrectionNewLang&quot; /&gt;&#13;_x000a_  &lt;metadata key=&quot;md_RectifAgreement&quot; /&gt;&#13;_x000a_  &lt;metadata key=&quot;md_RectifSignature&quot; /&gt;&#13;_x000a_  &lt;metadata key=&quot;md_RectifLastMergeDate&quot; /&gt;&#13;_x000a_  &lt;metadata key=&quot;md_Rectif_Source1_UniqueHeading&quot;&gt;&#13;_x000a_    &lt;basicdatatype&gt;&#13;_x000a_      &lt;text&gt;&lt;/text&gt;&#13;_x000a_    &lt;/basicdatatype&gt;&#13;_x000a_  &lt;/metadata&gt;&#13;_x000a_  &lt;metadata key=&quot;md_Rectif_Source1_DocumentType&quot;&gt;&#13;_x000a_    &lt;basicdatatype&gt;&#13;_x000a_      &lt;doc_type key=&quot;&quot; /&gt;&#13;_x000a_    &lt;/basicdatatype&gt;&#13;_x000a_  &lt;/metadata&gt;&#13;_x000a_  &lt;metadata key=&quot;md_Rectif_Source1_DocumentNumber&quot;&gt;&#13;_x000a_    &lt;text&gt;&lt;/text&gt;&#13;_x000a_  &lt;/metadata&gt;&#13;_x000a_  &lt;metadata key=&quot;md_Rectif_Source1_YearDocumentNumber&quot;&gt;&#13;_x000a_    &lt;text&gt;2016&lt;/text&gt;&#13;_x000a_  &lt;/metadata&gt;&#13;_x000a_  &lt;metadata key=&quot;md_Rectif_Source1_Suffixes&quot;&gt;&#13;_x000a_    &lt;text&gt;&lt;/text&gt;&#13;_x000a_  &lt;/metadata&gt;&#13;_x000a_  &lt;metadata key=&quot;md_Rectif_Source2_UniqueHeading&quot;&gt;&#13;_x000a_    &lt;basicdatatype&gt;&#13;_x000a_      &lt;text&gt;&lt;/text&gt;&#13;_x000a_    &lt;/basicdatatype&gt;&#13;_x000a_  &lt;/metadata&gt;&#13;_x000a_  &lt;metadata key=&quot;md_Rectif_Source2_DocumentType&quot;&gt;&#13;_x000a_    &lt;basicdatatype&gt;&#13;_x000a_      &lt;doc_type key=&quot;&quot; /&gt;&#13;_x000a_    &lt;/basicdatatype&gt;&#13;_x000a_  &lt;/metadata&gt;&#13;_x000a_  &lt;metadata key=&quot;md_Rectif_Source2_DocumentNumber&quot;&gt;&#13;_x000a_    &lt;text&gt;&lt;/text&gt;&#13;_x000a_  &lt;/metadata&gt;&#13;_x000a_  &lt;metadata key=&quot;md_Rectif_Source2_YearDocumentNumber&quot;&gt;&#13;_x000a_    &lt;text&gt;&lt;/text&gt;&#13;_x000a_  &lt;/metadata&gt;&#13;_x000a_  &lt;metadata key=&quot;md_Rectif_Source2_Suffixes&quot;&gt;&#13;_x000a_    &lt;text&gt;&lt;/text&gt;&#13;_x000a_  &lt;/metadata&gt;&#13;_x000a_  &lt;metadata key=&quot;md_CoverPageDocWithCouncilFooter&quot;&gt;&#13;_x000a_    &lt;text&gt;false&lt;/text&gt;&#13;_x000a_  &lt;/metadata&gt;&#13;_x000a_  &lt;metadata key=&quot;md_SourceDocLanguage&quot;&gt;&#13;_x000a_    &lt;text&gt;&lt;/text&gt;&#13;_x000a_  &lt;/metadata&gt;&#13;_x000a_  &lt;metadata key=&quot;md_SourceDocType&quot;&gt;&#13;_x000a_    &lt;text&gt;&lt;/text&gt;&#13;_x000a_  &lt;/metadata&gt;&#13;_x000a_  &lt;metadata key=&quot;md_SourceDocTitle&quot;&gt;&#13;_x000a_    &lt;text&gt;&lt;/text&gt;&#13;_x000a_  &lt;/metadata&gt;&#13;_x000a_  &lt;metadata key=&quot;md_SourceDocIsCECDoc&quot;&gt;&#13;_x000a_    &lt;text&gt;false&lt;/text&gt;&#13;_x000a_  &lt;/metadata&gt;&#13;_x000a_  &lt;metadata key=&quot;md_NB1&quot; /&gt;&#13;_x000a_  &lt;metadata key=&quot;md_NB2&quot; /&gt;&#13;_x000a_  &lt;metadata key=&quot;md_NB3&quot; /&gt;&#13;_x000a_  &lt;metadata key=&quot;md_Meetings&quot; /&gt;&#13;_x000a_  &lt;metadata key=&quot;md_VisualRepresentation&quot;&gt;&#13;_x000a_    &lt;basicdatatype&gt;&#13;_x000a_      &lt;visualrepresentation key=&quot;visrep_02&quot; text=&quot;New visual identity&quot; /&gt;&#13;_x000a_    &lt;/basicdatatype&gt;&#13;_x000a_  &lt;/metadata&gt;&#13;_x000a_  &lt;metadata key=&quot;md_LetterData&quot; /&gt;&#13;_x000a_&lt;/metadataset&gt;"/>
    <w:docVar w:name="DW_DocType" w:val="DW_COUNCIL"/>
    <w:docVar w:name="VSSDB_IniPath" w:val="\\at100\user\wovo\SEILEG\vss\srcsafe.ini"/>
    <w:docVar w:name="VSSDB_ProjectPath" w:val="$/DocuWrite/DOT/DW_COUNCIL"/>
  </w:docVars>
  <m:mathPr>
    <m:mathFont m:val="Cambria Math"/>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360" w:lineRule="auto"/>
    </w:pPr>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86DEA"/>
    <w:pPr>
      <w:tabs>
        <w:tab w:val="right" w:pos="9638"/>
      </w:tabs>
    </w:pPr>
  </w:style>
  <w:style w:type="paragraph" w:styleId="Footer">
    <w:name w:val="footer"/>
    <w:basedOn w:val="Normal"/>
    <w:rsid w:val="00F86DEA"/>
    <w:pPr>
      <w:tabs>
        <w:tab w:val="center" w:pos="4819"/>
        <w:tab w:val="center" w:pos="7370"/>
        <w:tab w:val="right" w:pos="9638"/>
      </w:tabs>
      <w:spacing w:before="0" w:after="0" w:line="240" w:lineRule="auto"/>
    </w:pPr>
  </w:style>
  <w:style w:type="paragraph" w:styleId="FootnoteText">
    <w:name w:val="footnote text"/>
    <w:basedOn w:val="Normal"/>
    <w:rsid w:val="00F86DEA"/>
    <w:pPr>
      <w:spacing w:before="0" w:after="0" w:line="240" w:lineRule="auto"/>
      <w:ind w:left="720" w:hanging="720"/>
    </w:pPr>
    <w:rPr>
      <w:szCs w:val="20"/>
    </w:rPr>
  </w:style>
  <w:style w:type="paragraph" w:customStyle="1" w:styleId="NormalCentered">
    <w:name w:val="Normal Centered"/>
    <w:basedOn w:val="Normal"/>
    <w:rsid w:val="00F86DEA"/>
    <w:pPr>
      <w:spacing w:before="200"/>
      <w:jc w:val="center"/>
    </w:pPr>
  </w:style>
  <w:style w:type="paragraph" w:customStyle="1" w:styleId="NormalRight">
    <w:name w:val="Normal Right"/>
    <w:basedOn w:val="Normal"/>
    <w:rsid w:val="00F86DEA"/>
    <w:pPr>
      <w:spacing w:before="200"/>
      <w:jc w:val="right"/>
    </w:pPr>
  </w:style>
  <w:style w:type="paragraph" w:customStyle="1" w:styleId="NormalJustified">
    <w:name w:val="Normal Justified"/>
    <w:basedOn w:val="Normal"/>
    <w:rsid w:val="00F86DEA"/>
    <w:pPr>
      <w:spacing w:before="200"/>
      <w:jc w:val="both"/>
    </w:pPr>
  </w:style>
  <w:style w:type="paragraph" w:customStyle="1" w:styleId="HeaderLandscape">
    <w:name w:val="HeaderLandscape"/>
    <w:basedOn w:val="Normal"/>
    <w:rsid w:val="00F86DEA"/>
    <w:pPr>
      <w:tabs>
        <w:tab w:val="right" w:pos="14570"/>
      </w:tabs>
    </w:pPr>
  </w:style>
  <w:style w:type="paragraph" w:customStyle="1" w:styleId="FooterLandscape">
    <w:name w:val="FooterLandscape"/>
    <w:basedOn w:val="Normal"/>
    <w:rsid w:val="00F86DEA"/>
    <w:pPr>
      <w:tabs>
        <w:tab w:val="center" w:pos="7285"/>
        <w:tab w:val="center" w:pos="10930"/>
        <w:tab w:val="right" w:pos="14570"/>
      </w:tabs>
      <w:spacing w:before="0" w:after="0" w:line="240" w:lineRule="auto"/>
    </w:pPr>
  </w:style>
  <w:style w:type="character" w:styleId="FootnoteReference">
    <w:name w:val="footnote reference"/>
    <w:rsid w:val="00F86DEA"/>
    <w:rPr>
      <w:b/>
      <w:shd w:val="clear" w:color="auto" w:fill="auto"/>
      <w:vertAlign w:val="superscript"/>
    </w:rPr>
  </w:style>
  <w:style w:type="paragraph" w:customStyle="1" w:styleId="HeaderCouncil">
    <w:name w:val="Header Council"/>
    <w:basedOn w:val="Normal"/>
    <w:rsid w:val="00F86DEA"/>
    <w:pPr>
      <w:spacing w:before="0" w:after="0" w:line="240" w:lineRule="auto"/>
    </w:pPr>
    <w:rPr>
      <w:sz w:val="2"/>
    </w:rPr>
  </w:style>
  <w:style w:type="paragraph" w:customStyle="1" w:styleId="FooterCouncil">
    <w:name w:val="Footer Council"/>
    <w:basedOn w:val="Normal"/>
    <w:rsid w:val="00F86DEA"/>
    <w:pPr>
      <w:spacing w:before="0" w:after="0" w:line="240" w:lineRule="auto"/>
    </w:pPr>
    <w:rPr>
      <w:sz w:val="2"/>
    </w:rPr>
  </w:style>
  <w:style w:type="paragraph" w:customStyle="1" w:styleId="TechnicalBlock">
    <w:name w:val="Technical Block"/>
    <w:basedOn w:val="Normal"/>
    <w:next w:val="Normal"/>
    <w:link w:val="TechnicalBlockChar"/>
    <w:rsid w:val="00A3498A"/>
    <w:pPr>
      <w:spacing w:before="0" w:after="240" w:line="240" w:lineRule="auto"/>
      <w:jc w:val="center"/>
    </w:pPr>
  </w:style>
  <w:style w:type="paragraph" w:customStyle="1" w:styleId="FinalLine">
    <w:name w:val="Final Line"/>
    <w:basedOn w:val="Normal"/>
    <w:next w:val="Normal"/>
    <w:rsid w:val="00F86DEA"/>
    <w:pPr>
      <w:pBdr>
        <w:bottom w:val="single" w:sz="4" w:space="0" w:color="000000"/>
      </w:pBdr>
      <w:spacing w:before="360"/>
      <w:ind w:left="3400" w:right="3400"/>
      <w:jc w:val="center"/>
    </w:pPr>
    <w:rPr>
      <w:b/>
    </w:rPr>
  </w:style>
  <w:style w:type="paragraph" w:customStyle="1" w:styleId="FinalLineLandscape">
    <w:name w:val="Final Line (Landscape)"/>
    <w:basedOn w:val="Normal"/>
    <w:next w:val="Normal"/>
    <w:rsid w:val="00F86DEA"/>
    <w:pPr>
      <w:pBdr>
        <w:bottom w:val="single" w:sz="4" w:space="0" w:color="000000"/>
      </w:pBdr>
      <w:spacing w:before="360"/>
      <w:ind w:left="5868" w:right="5868"/>
      <w:jc w:val="center"/>
    </w:pPr>
    <w:rPr>
      <w:b/>
    </w:rPr>
  </w:style>
  <w:style w:type="paragraph" w:customStyle="1" w:styleId="Text1">
    <w:name w:val="Text 1"/>
    <w:basedOn w:val="Normal"/>
    <w:rsid w:val="00F86DEA"/>
    <w:pPr>
      <w:ind w:left="567"/>
      <w:outlineLvl w:val="0"/>
    </w:pPr>
  </w:style>
  <w:style w:type="paragraph" w:customStyle="1" w:styleId="Text2">
    <w:name w:val="Text 2"/>
    <w:basedOn w:val="Normal"/>
    <w:rsid w:val="00F86DEA"/>
    <w:pPr>
      <w:ind w:left="1134"/>
      <w:outlineLvl w:val="1"/>
    </w:pPr>
  </w:style>
  <w:style w:type="paragraph" w:customStyle="1" w:styleId="Text3">
    <w:name w:val="Text 3"/>
    <w:basedOn w:val="Normal"/>
    <w:rsid w:val="00F86DEA"/>
    <w:pPr>
      <w:ind w:left="1701"/>
      <w:outlineLvl w:val="2"/>
    </w:pPr>
  </w:style>
  <w:style w:type="paragraph" w:customStyle="1" w:styleId="Text4">
    <w:name w:val="Text 4"/>
    <w:basedOn w:val="Normal"/>
    <w:rsid w:val="00F86DEA"/>
    <w:pPr>
      <w:ind w:left="2268"/>
      <w:outlineLvl w:val="3"/>
    </w:pPr>
  </w:style>
  <w:style w:type="paragraph" w:customStyle="1" w:styleId="Text5">
    <w:name w:val="Text 5"/>
    <w:basedOn w:val="Normal"/>
    <w:rsid w:val="00F86DEA"/>
    <w:pPr>
      <w:ind w:left="2835"/>
      <w:outlineLvl w:val="4"/>
    </w:pPr>
  </w:style>
  <w:style w:type="paragraph" w:customStyle="1" w:styleId="Text6">
    <w:name w:val="Text 6"/>
    <w:basedOn w:val="Normal"/>
    <w:rsid w:val="00F86DEA"/>
    <w:pPr>
      <w:ind w:left="3402"/>
      <w:outlineLvl w:val="5"/>
    </w:pPr>
  </w:style>
  <w:style w:type="paragraph" w:customStyle="1" w:styleId="PointManual">
    <w:name w:val="Point Manual"/>
    <w:basedOn w:val="Normal"/>
    <w:rsid w:val="00F86DEA"/>
    <w:pPr>
      <w:ind w:left="567" w:hanging="567"/>
    </w:pPr>
  </w:style>
  <w:style w:type="paragraph" w:customStyle="1" w:styleId="PointManual1">
    <w:name w:val="Point Manual (1)"/>
    <w:basedOn w:val="Normal"/>
    <w:rsid w:val="00F86DEA"/>
    <w:pPr>
      <w:ind w:left="1134" w:hanging="567"/>
      <w:outlineLvl w:val="0"/>
    </w:pPr>
  </w:style>
  <w:style w:type="paragraph" w:customStyle="1" w:styleId="PointManual2">
    <w:name w:val="Point Manual (2)"/>
    <w:basedOn w:val="Normal"/>
    <w:rsid w:val="00F86DEA"/>
    <w:pPr>
      <w:ind w:left="1701" w:hanging="567"/>
      <w:outlineLvl w:val="1"/>
    </w:pPr>
  </w:style>
  <w:style w:type="paragraph" w:customStyle="1" w:styleId="PointManual3">
    <w:name w:val="Point Manual (3)"/>
    <w:basedOn w:val="Normal"/>
    <w:rsid w:val="00F86DEA"/>
    <w:pPr>
      <w:ind w:left="2268" w:hanging="567"/>
      <w:outlineLvl w:val="2"/>
    </w:pPr>
  </w:style>
  <w:style w:type="paragraph" w:customStyle="1" w:styleId="PointManual4">
    <w:name w:val="Point Manual (4)"/>
    <w:basedOn w:val="Normal"/>
    <w:rsid w:val="00F86DEA"/>
    <w:pPr>
      <w:ind w:left="2835" w:hanging="567"/>
      <w:outlineLvl w:val="3"/>
    </w:pPr>
  </w:style>
  <w:style w:type="paragraph" w:customStyle="1" w:styleId="PointDoubleManual">
    <w:name w:val="Point Double Manual"/>
    <w:basedOn w:val="Normal"/>
    <w:rsid w:val="00F86DEA"/>
    <w:pPr>
      <w:tabs>
        <w:tab w:val="left" w:pos="567"/>
      </w:tabs>
      <w:ind w:left="1134" w:hanging="1134"/>
    </w:pPr>
  </w:style>
  <w:style w:type="paragraph" w:customStyle="1" w:styleId="PointDoubleManual1">
    <w:name w:val="Point Double Manual (1)"/>
    <w:basedOn w:val="Normal"/>
    <w:rsid w:val="00F86DEA"/>
    <w:pPr>
      <w:tabs>
        <w:tab w:val="left" w:pos="1134"/>
      </w:tabs>
      <w:ind w:left="1701" w:hanging="1134"/>
      <w:outlineLvl w:val="0"/>
    </w:pPr>
  </w:style>
  <w:style w:type="paragraph" w:customStyle="1" w:styleId="PointDoubleManual2">
    <w:name w:val="Point Double Manual (2)"/>
    <w:basedOn w:val="Normal"/>
    <w:rsid w:val="00F86DEA"/>
    <w:pPr>
      <w:tabs>
        <w:tab w:val="left" w:pos="1701"/>
      </w:tabs>
      <w:ind w:left="2268" w:hanging="1134"/>
      <w:outlineLvl w:val="1"/>
    </w:pPr>
  </w:style>
  <w:style w:type="paragraph" w:customStyle="1" w:styleId="PointDoubleManual3">
    <w:name w:val="Point Double Manual (3)"/>
    <w:basedOn w:val="Normal"/>
    <w:rsid w:val="00F86DEA"/>
    <w:pPr>
      <w:tabs>
        <w:tab w:val="left" w:pos="2268"/>
      </w:tabs>
      <w:ind w:left="2835" w:hanging="1134"/>
      <w:outlineLvl w:val="2"/>
    </w:pPr>
  </w:style>
  <w:style w:type="paragraph" w:customStyle="1" w:styleId="PointDoubleManual4">
    <w:name w:val="Point Double Manual (4)"/>
    <w:basedOn w:val="Normal"/>
    <w:rsid w:val="00F86DEA"/>
    <w:pPr>
      <w:tabs>
        <w:tab w:val="left" w:pos="2835"/>
      </w:tabs>
      <w:ind w:left="3402" w:hanging="1134"/>
      <w:outlineLvl w:val="3"/>
    </w:pPr>
  </w:style>
  <w:style w:type="paragraph" w:customStyle="1" w:styleId="Pointabc">
    <w:name w:val="Point abc"/>
    <w:basedOn w:val="Normal"/>
    <w:rsid w:val="00F86DEA"/>
    <w:pPr>
      <w:numPr>
        <w:ilvl w:val="1"/>
        <w:numId w:val="16"/>
      </w:numPr>
    </w:pPr>
  </w:style>
  <w:style w:type="paragraph" w:customStyle="1" w:styleId="Pointabc1">
    <w:name w:val="Point abc (1)"/>
    <w:basedOn w:val="Normal"/>
    <w:rsid w:val="00F86DEA"/>
    <w:pPr>
      <w:numPr>
        <w:ilvl w:val="3"/>
        <w:numId w:val="16"/>
      </w:numPr>
      <w:outlineLvl w:val="0"/>
    </w:pPr>
  </w:style>
  <w:style w:type="paragraph" w:customStyle="1" w:styleId="Pointabc2">
    <w:name w:val="Point abc (2)"/>
    <w:basedOn w:val="Normal"/>
    <w:rsid w:val="00F86DEA"/>
    <w:pPr>
      <w:numPr>
        <w:ilvl w:val="5"/>
        <w:numId w:val="16"/>
      </w:numPr>
      <w:outlineLvl w:val="1"/>
    </w:pPr>
  </w:style>
  <w:style w:type="paragraph" w:customStyle="1" w:styleId="Pointabc3">
    <w:name w:val="Point abc (3)"/>
    <w:basedOn w:val="Normal"/>
    <w:rsid w:val="00F86DEA"/>
    <w:pPr>
      <w:numPr>
        <w:ilvl w:val="7"/>
        <w:numId w:val="16"/>
      </w:numPr>
      <w:outlineLvl w:val="2"/>
    </w:pPr>
  </w:style>
  <w:style w:type="paragraph" w:customStyle="1" w:styleId="Pointabc4">
    <w:name w:val="Point abc (4)"/>
    <w:basedOn w:val="Normal"/>
    <w:rsid w:val="00F86DEA"/>
    <w:pPr>
      <w:numPr>
        <w:ilvl w:val="8"/>
        <w:numId w:val="16"/>
      </w:numPr>
      <w:outlineLvl w:val="3"/>
    </w:pPr>
  </w:style>
  <w:style w:type="paragraph" w:customStyle="1" w:styleId="Point123">
    <w:name w:val="Point 123"/>
    <w:basedOn w:val="Normal"/>
    <w:rsid w:val="00F86DEA"/>
    <w:pPr>
      <w:numPr>
        <w:numId w:val="16"/>
      </w:numPr>
    </w:pPr>
  </w:style>
  <w:style w:type="paragraph" w:customStyle="1" w:styleId="Point1231">
    <w:name w:val="Point 123 (1)"/>
    <w:basedOn w:val="Normal"/>
    <w:rsid w:val="00F86DEA"/>
    <w:pPr>
      <w:numPr>
        <w:ilvl w:val="2"/>
        <w:numId w:val="16"/>
      </w:numPr>
      <w:outlineLvl w:val="0"/>
    </w:pPr>
  </w:style>
  <w:style w:type="paragraph" w:customStyle="1" w:styleId="Point1232">
    <w:name w:val="Point 123 (2)"/>
    <w:basedOn w:val="Normal"/>
    <w:rsid w:val="00F86DEA"/>
    <w:pPr>
      <w:numPr>
        <w:ilvl w:val="4"/>
        <w:numId w:val="16"/>
      </w:numPr>
      <w:outlineLvl w:val="1"/>
    </w:pPr>
  </w:style>
  <w:style w:type="paragraph" w:customStyle="1" w:styleId="Point1233">
    <w:name w:val="Point 123 (3)"/>
    <w:basedOn w:val="Normal"/>
    <w:rsid w:val="00F86DEA"/>
    <w:pPr>
      <w:numPr>
        <w:ilvl w:val="6"/>
        <w:numId w:val="16"/>
      </w:numPr>
      <w:outlineLvl w:val="2"/>
    </w:pPr>
  </w:style>
  <w:style w:type="paragraph" w:customStyle="1" w:styleId="Pointivx">
    <w:name w:val="Point ivx"/>
    <w:basedOn w:val="Normal"/>
    <w:rsid w:val="00F86DEA"/>
    <w:pPr>
      <w:numPr>
        <w:numId w:val="17"/>
      </w:numPr>
    </w:pPr>
  </w:style>
  <w:style w:type="paragraph" w:customStyle="1" w:styleId="Pointivx1">
    <w:name w:val="Point ivx (1)"/>
    <w:basedOn w:val="Normal"/>
    <w:rsid w:val="00F86DEA"/>
    <w:pPr>
      <w:numPr>
        <w:ilvl w:val="1"/>
        <w:numId w:val="17"/>
      </w:numPr>
      <w:outlineLvl w:val="0"/>
    </w:pPr>
  </w:style>
  <w:style w:type="paragraph" w:customStyle="1" w:styleId="Pointivx2">
    <w:name w:val="Point ivx (2)"/>
    <w:basedOn w:val="Normal"/>
    <w:rsid w:val="00F86DEA"/>
    <w:pPr>
      <w:numPr>
        <w:ilvl w:val="2"/>
        <w:numId w:val="17"/>
      </w:numPr>
      <w:outlineLvl w:val="1"/>
    </w:pPr>
  </w:style>
  <w:style w:type="paragraph" w:customStyle="1" w:styleId="Pointivx3">
    <w:name w:val="Point ivx (3)"/>
    <w:basedOn w:val="Normal"/>
    <w:rsid w:val="00F86DEA"/>
    <w:pPr>
      <w:numPr>
        <w:ilvl w:val="3"/>
        <w:numId w:val="17"/>
      </w:numPr>
      <w:outlineLvl w:val="2"/>
    </w:pPr>
  </w:style>
  <w:style w:type="paragraph" w:customStyle="1" w:styleId="Pointivx4">
    <w:name w:val="Point ivx (4)"/>
    <w:basedOn w:val="Normal"/>
    <w:rsid w:val="00F86DEA"/>
    <w:pPr>
      <w:numPr>
        <w:ilvl w:val="4"/>
        <w:numId w:val="17"/>
      </w:numPr>
      <w:outlineLvl w:val="3"/>
    </w:pPr>
  </w:style>
  <w:style w:type="paragraph" w:customStyle="1" w:styleId="Bullet">
    <w:name w:val="Bullet"/>
    <w:basedOn w:val="Normal"/>
    <w:rsid w:val="00F86DEA"/>
    <w:pPr>
      <w:numPr>
        <w:numId w:val="11"/>
      </w:numPr>
    </w:pPr>
  </w:style>
  <w:style w:type="paragraph" w:customStyle="1" w:styleId="Bullet1">
    <w:name w:val="Bullet 1"/>
    <w:basedOn w:val="Normal"/>
    <w:rsid w:val="00F86DEA"/>
    <w:pPr>
      <w:numPr>
        <w:numId w:val="12"/>
      </w:numPr>
      <w:outlineLvl w:val="0"/>
    </w:pPr>
  </w:style>
  <w:style w:type="paragraph" w:customStyle="1" w:styleId="Bullet2">
    <w:name w:val="Bullet 2"/>
    <w:basedOn w:val="Normal"/>
    <w:rsid w:val="00F86DEA"/>
    <w:pPr>
      <w:numPr>
        <w:numId w:val="13"/>
      </w:numPr>
      <w:outlineLvl w:val="1"/>
    </w:pPr>
  </w:style>
  <w:style w:type="paragraph" w:customStyle="1" w:styleId="Bullet3">
    <w:name w:val="Bullet 3"/>
    <w:basedOn w:val="Normal"/>
    <w:rsid w:val="00F86DEA"/>
    <w:pPr>
      <w:numPr>
        <w:numId w:val="14"/>
      </w:numPr>
      <w:outlineLvl w:val="2"/>
    </w:pPr>
  </w:style>
  <w:style w:type="paragraph" w:customStyle="1" w:styleId="Bullet4">
    <w:name w:val="Bullet 4"/>
    <w:basedOn w:val="Normal"/>
    <w:rsid w:val="00F86DEA"/>
    <w:pPr>
      <w:numPr>
        <w:numId w:val="15"/>
      </w:numPr>
      <w:outlineLvl w:val="3"/>
    </w:pPr>
  </w:style>
  <w:style w:type="paragraph" w:customStyle="1" w:styleId="Dash">
    <w:name w:val="Dash"/>
    <w:basedOn w:val="Normal"/>
    <w:rsid w:val="00F86DEA"/>
    <w:pPr>
      <w:numPr>
        <w:numId w:val="1"/>
      </w:numPr>
    </w:pPr>
  </w:style>
  <w:style w:type="paragraph" w:customStyle="1" w:styleId="Dash1">
    <w:name w:val="Dash 1"/>
    <w:basedOn w:val="Normal"/>
    <w:rsid w:val="00F86DEA"/>
    <w:pPr>
      <w:numPr>
        <w:numId w:val="2"/>
      </w:numPr>
      <w:outlineLvl w:val="0"/>
    </w:pPr>
  </w:style>
  <w:style w:type="paragraph" w:customStyle="1" w:styleId="Dash2">
    <w:name w:val="Dash 2"/>
    <w:basedOn w:val="Normal"/>
    <w:rsid w:val="00F86DEA"/>
    <w:pPr>
      <w:numPr>
        <w:numId w:val="3"/>
      </w:numPr>
      <w:outlineLvl w:val="1"/>
    </w:pPr>
  </w:style>
  <w:style w:type="paragraph" w:customStyle="1" w:styleId="Dash3">
    <w:name w:val="Dash 3"/>
    <w:basedOn w:val="Normal"/>
    <w:rsid w:val="00F86DEA"/>
    <w:pPr>
      <w:numPr>
        <w:numId w:val="4"/>
      </w:numPr>
      <w:outlineLvl w:val="2"/>
    </w:pPr>
  </w:style>
  <w:style w:type="paragraph" w:customStyle="1" w:styleId="Dash4">
    <w:name w:val="Dash 4"/>
    <w:basedOn w:val="Normal"/>
    <w:rsid w:val="00F86DEA"/>
    <w:pPr>
      <w:numPr>
        <w:numId w:val="5"/>
      </w:numPr>
      <w:outlineLvl w:val="3"/>
    </w:pPr>
  </w:style>
  <w:style w:type="paragraph" w:customStyle="1" w:styleId="DashEqual">
    <w:name w:val="Dash Equal"/>
    <w:basedOn w:val="Dash"/>
    <w:rsid w:val="00F86DEA"/>
    <w:pPr>
      <w:numPr>
        <w:numId w:val="6"/>
      </w:numPr>
    </w:pPr>
  </w:style>
  <w:style w:type="paragraph" w:customStyle="1" w:styleId="DashEqual1">
    <w:name w:val="Dash Equal 1"/>
    <w:basedOn w:val="Dash1"/>
    <w:rsid w:val="00F86DEA"/>
    <w:pPr>
      <w:numPr>
        <w:numId w:val="7"/>
      </w:numPr>
    </w:pPr>
  </w:style>
  <w:style w:type="paragraph" w:customStyle="1" w:styleId="DashEqual2">
    <w:name w:val="Dash Equal 2"/>
    <w:basedOn w:val="Dash2"/>
    <w:rsid w:val="00F86DEA"/>
    <w:pPr>
      <w:numPr>
        <w:numId w:val="8"/>
      </w:numPr>
    </w:pPr>
  </w:style>
  <w:style w:type="paragraph" w:customStyle="1" w:styleId="DashEqual3">
    <w:name w:val="Dash Equal 3"/>
    <w:basedOn w:val="Dash3"/>
    <w:rsid w:val="00F86DEA"/>
    <w:pPr>
      <w:numPr>
        <w:numId w:val="9"/>
      </w:numPr>
    </w:pPr>
  </w:style>
  <w:style w:type="paragraph" w:customStyle="1" w:styleId="DashEqual4">
    <w:name w:val="Dash Equal 4"/>
    <w:basedOn w:val="Dash4"/>
    <w:rsid w:val="00F86DEA"/>
    <w:pPr>
      <w:numPr>
        <w:numId w:val="10"/>
      </w:numPr>
    </w:pPr>
  </w:style>
  <w:style w:type="character" w:customStyle="1" w:styleId="Marker">
    <w:name w:val="Marker"/>
    <w:rsid w:val="00F86DEA"/>
    <w:rPr>
      <w:color w:val="0000FF"/>
      <w:shd w:val="clear" w:color="auto" w:fill="auto"/>
    </w:rPr>
  </w:style>
  <w:style w:type="character" w:customStyle="1" w:styleId="Marker1">
    <w:name w:val="Marker1"/>
    <w:rsid w:val="00F86DEA"/>
    <w:rPr>
      <w:color w:val="008000"/>
      <w:shd w:val="clear" w:color="auto" w:fill="auto"/>
    </w:rPr>
  </w:style>
  <w:style w:type="paragraph" w:customStyle="1" w:styleId="HeadingLeft">
    <w:name w:val="Heading Left"/>
    <w:basedOn w:val="Normal"/>
    <w:next w:val="Normal"/>
    <w:rsid w:val="00F86DEA"/>
    <w:pPr>
      <w:spacing w:before="360"/>
      <w:outlineLvl w:val="0"/>
    </w:pPr>
    <w:rPr>
      <w:b/>
      <w:caps/>
      <w:u w:val="single"/>
    </w:rPr>
  </w:style>
  <w:style w:type="paragraph" w:customStyle="1" w:styleId="HeadingIVX">
    <w:name w:val="Heading IVX"/>
    <w:basedOn w:val="HeadingLeft"/>
    <w:next w:val="Normal"/>
    <w:rsid w:val="00F86DEA"/>
    <w:pPr>
      <w:numPr>
        <w:numId w:val="20"/>
      </w:numPr>
    </w:pPr>
  </w:style>
  <w:style w:type="paragraph" w:customStyle="1" w:styleId="Heading123">
    <w:name w:val="Heading 123"/>
    <w:basedOn w:val="HeadingLeft"/>
    <w:next w:val="Normal"/>
    <w:rsid w:val="00F86DEA"/>
    <w:pPr>
      <w:numPr>
        <w:numId w:val="19"/>
      </w:numPr>
    </w:pPr>
  </w:style>
  <w:style w:type="paragraph" w:customStyle="1" w:styleId="HeadingABC">
    <w:name w:val="Heading ABC"/>
    <w:basedOn w:val="HeadingLeft"/>
    <w:next w:val="Normal"/>
    <w:rsid w:val="00F86DEA"/>
    <w:pPr>
      <w:numPr>
        <w:numId w:val="18"/>
      </w:numPr>
    </w:pPr>
  </w:style>
  <w:style w:type="paragraph" w:customStyle="1" w:styleId="HeadingCentered">
    <w:name w:val="Heading Centered"/>
    <w:basedOn w:val="HeadingLeft"/>
    <w:next w:val="Normal"/>
    <w:rsid w:val="00F86DEA"/>
    <w:pPr>
      <w:jc w:val="center"/>
    </w:pPr>
  </w:style>
  <w:style w:type="paragraph" w:customStyle="1" w:styleId="Amendment">
    <w:name w:val="Amendment"/>
    <w:basedOn w:val="Normal"/>
    <w:next w:val="Normal"/>
    <w:rsid w:val="00F86DEA"/>
    <w:rPr>
      <w:i/>
      <w:u w:val="single"/>
    </w:rPr>
  </w:style>
  <w:style w:type="paragraph" w:customStyle="1" w:styleId="AmendmentList">
    <w:name w:val="Amendment List"/>
    <w:basedOn w:val="Normal"/>
    <w:rsid w:val="00F86DEA"/>
    <w:pPr>
      <w:ind w:left="2268" w:hanging="2268"/>
    </w:pPr>
  </w:style>
  <w:style w:type="paragraph" w:customStyle="1" w:styleId="ReplyRE">
    <w:name w:val="Reply RE"/>
    <w:basedOn w:val="Normal"/>
    <w:next w:val="Normal"/>
    <w:rsid w:val="00B54F86"/>
    <w:pPr>
      <w:spacing w:after="480" w:line="240" w:lineRule="auto"/>
      <w:contextualSpacing/>
    </w:pPr>
  </w:style>
  <w:style w:type="paragraph" w:customStyle="1" w:styleId="ReplyBold">
    <w:name w:val="Reply Bold"/>
    <w:basedOn w:val="ReplyRE"/>
    <w:next w:val="Normal"/>
    <w:rsid w:val="00B54F86"/>
    <w:rPr>
      <w:b/>
    </w:rPr>
  </w:style>
  <w:style w:type="paragraph" w:customStyle="1" w:styleId="Annex">
    <w:name w:val="Annex"/>
    <w:basedOn w:val="Normal"/>
    <w:next w:val="Normal"/>
    <w:rsid w:val="00F86DEA"/>
    <w:pPr>
      <w:jc w:val="right"/>
    </w:pPr>
    <w:rPr>
      <w:b/>
      <w:u w:val="single"/>
    </w:rPr>
  </w:style>
  <w:style w:type="paragraph" w:customStyle="1" w:styleId="Sign">
    <w:name w:val="Sign"/>
    <w:basedOn w:val="Normal"/>
    <w:rsid w:val="00F86DEA"/>
    <w:pPr>
      <w:tabs>
        <w:tab w:val="center" w:pos="7087"/>
      </w:tabs>
    </w:pPr>
  </w:style>
  <w:style w:type="paragraph" w:customStyle="1" w:styleId="NotDeclassified">
    <w:name w:val="Not Declassified"/>
    <w:basedOn w:val="Normal"/>
    <w:qFormat/>
    <w:rsid w:val="00625999"/>
    <w:rPr>
      <w:b/>
      <w:bCs/>
      <w:bdr w:val="single" w:sz="4" w:space="0" w:color="auto"/>
      <w:shd w:val="solid" w:color="CCCCCC" w:fill="CCCCCC"/>
      <w:lang w:val="de-LU"/>
    </w:rPr>
  </w:style>
  <w:style w:type="paragraph" w:customStyle="1" w:styleId="HeaderCouncilLarge">
    <w:name w:val="Header Council Large"/>
    <w:basedOn w:val="Normal"/>
    <w:link w:val="HeaderCouncilLargeChar"/>
    <w:rsid w:val="003E1524"/>
    <w:pPr>
      <w:spacing w:before="0" w:after="440"/>
      <w:ind w:left="-1134" w:right="-1134"/>
    </w:pPr>
    <w:rPr>
      <w:sz w:val="2"/>
    </w:rPr>
  </w:style>
  <w:style w:type="character" w:customStyle="1" w:styleId="TechnicalBlockChar">
    <w:name w:val="Technical Block Char"/>
    <w:basedOn w:val="DefaultParagraphFont"/>
    <w:link w:val="TechnicalBlock"/>
    <w:rsid w:val="003E1524"/>
    <w:rPr>
      <w:sz w:val="24"/>
      <w:szCs w:val="24"/>
      <w:lang w:val="en-GB" w:eastAsia="en-US"/>
    </w:rPr>
  </w:style>
  <w:style w:type="character" w:customStyle="1" w:styleId="HeaderCouncilLargeChar">
    <w:name w:val="Header Council Large Char"/>
    <w:basedOn w:val="TechnicalBlockChar"/>
    <w:link w:val="HeaderCouncilLarge"/>
    <w:rsid w:val="003E1524"/>
    <w:rPr>
      <w:sz w:val="2"/>
      <w:szCs w:val="24"/>
      <w:lang w:val="en-GB" w:eastAsia="en-US"/>
    </w:rPr>
  </w:style>
  <w:style w:type="paragraph" w:customStyle="1" w:styleId="FooterText">
    <w:name w:val="Footer Text"/>
    <w:basedOn w:val="Normal"/>
    <w:rsid w:val="003E1524"/>
    <w:pPr>
      <w:spacing w:before="0" w:after="0" w:line="240" w:lineRule="auto"/>
    </w:pPr>
  </w:style>
  <w:style w:type="paragraph" w:styleId="BalloonText">
    <w:name w:val="Balloon Text"/>
    <w:basedOn w:val="Normal"/>
    <w:link w:val="TextbublinyChar"/>
    <w:uiPriority w:val="99"/>
    <w:semiHidden/>
    <w:unhideWhenUsed/>
    <w:rsid w:val="00FE23AB"/>
    <w:pPr>
      <w:spacing w:before="0" w:after="0" w:line="240" w:lineRule="auto"/>
    </w:pPr>
    <w:rPr>
      <w:rFonts w:ascii="Tahoma" w:hAnsi="Tahoma" w:cs="Tahoma"/>
      <w:sz w:val="16"/>
      <w:szCs w:val="16"/>
    </w:rPr>
  </w:style>
  <w:style w:type="character" w:customStyle="1" w:styleId="TextbublinyChar">
    <w:name w:val="Text bubliny Char"/>
    <w:basedOn w:val="DefaultParagraphFont"/>
    <w:link w:val="BalloonText"/>
    <w:uiPriority w:val="99"/>
    <w:semiHidden/>
    <w:rsid w:val="00FE23AB"/>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emf"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eader" Target="header1.xml" /><Relationship Id="rId8" Type="http://schemas.openxmlformats.org/officeDocument/2006/relationships/footer" Target="footer3.xml" /><Relationship Id="rId9" Type="http://schemas.openxmlformats.org/officeDocument/2006/relationships/theme" Target="theme/theme1.xm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Public\Documents\Templates\DW_COUNCIL.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8</Pages>
  <Words>1686</Words>
  <Characters>9614</Characters>
  <Application>Microsoft Office Word</Application>
  <DocSecurity>0</DocSecurity>
  <Lines>80</Lines>
  <Paragraphs>22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2016-07-18T14:05:00Z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using">
    <vt:lpwstr>DocuWrite 3.7.7, Build 20151207</vt:lpwstr>
  </property>
  <property fmtid="{D5CDD505-2E9C-101B-9397-08002B2CF9AE}" pid="3" name="Last edited using">
    <vt:lpwstr>DocuWrite 3.7.7, Build 20151207</vt:lpwstr>
  </property>
  <property fmtid="{D5CDD505-2E9C-101B-9397-08002B2CF9AE}" pid="4" name="SkipControlLengthPage">
    <vt:lpwstr/>
  </property>
  <property fmtid="{D5CDD505-2E9C-101B-9397-08002B2CF9AE}" pid="5" name="Version">
    <vt:lpwstr>2.5.2.0</vt:lpwstr>
  </property>
</Properties>
</file>