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776638" w:rsidRPr="00776638" w:rsidP="009031E0">
      <w:pPr>
        <w:jc w:val="center"/>
        <w:rPr>
          <w:b/>
          <w:caps/>
          <w:sz w:val="32"/>
        </w:rPr>
      </w:pPr>
      <w:bookmarkStart w:id="0" w:name="_GoBack"/>
      <w:bookmarkEnd w:id="0"/>
      <w:r w:rsidRPr="00776638">
        <w:rPr>
          <w:b/>
          <w:caps/>
          <w:sz w:val="32"/>
        </w:rPr>
        <w:t>Metodika výpočtu dopadů zavedení kontrolního hlášení a elektronické evidence tržeb</w:t>
      </w:r>
    </w:p>
    <w:p w:rsidR="00776638" w:rsidP="00776638">
      <w:pPr>
        <w:jc w:val="center"/>
        <w:rPr>
          <w:b/>
          <w:sz w:val="28"/>
        </w:rPr>
      </w:pPr>
    </w:p>
    <w:p w:rsidR="00776638" w:rsidRPr="001A622D" w:rsidP="00776638">
      <w:pPr>
        <w:jc w:val="center"/>
        <w:rPr>
          <w:b/>
          <w:sz w:val="28"/>
        </w:rPr>
      </w:pPr>
      <w:r w:rsidRPr="001A622D">
        <w:rPr>
          <w:b/>
          <w:sz w:val="28"/>
        </w:rPr>
        <w:t xml:space="preserve">Metodika výpočtu dopadů zavedení </w:t>
      </w:r>
      <w:r>
        <w:rPr>
          <w:b/>
          <w:sz w:val="28"/>
        </w:rPr>
        <w:t>kontrolního hlášení</w:t>
      </w:r>
    </w:p>
    <w:p w:rsidR="005012C1" w:rsidRPr="00436E22" w:rsidP="007B0EDC">
      <w:pPr>
        <w:ind w:left="372" w:firstLine="708"/>
        <w:jc w:val="both"/>
      </w:pPr>
      <w:r>
        <w:t>Výpočet přínosu kontrolního hlášení v </w:t>
      </w:r>
      <w:r w:rsidRPr="007B0EDC">
        <w:t>Konvergenčním programu ČR 2017</w:t>
      </w:r>
      <w:r>
        <w:t xml:space="preserve"> vycházel především z aktuálního celoročního přínosu zavedeného opatření v roce 2016. </w:t>
      </w:r>
      <w:r w:rsidR="00AD021F">
        <w:t xml:space="preserve"> Níže rekapitulujeme výpočet hotovostního dopadu kontrolního hlášení, který Vám již byl dříve oficiální </w:t>
      </w:r>
      <w:r w:rsidRPr="00436E22" w:rsidR="00AD021F">
        <w:t>cestou zaslán.</w:t>
      </w:r>
    </w:p>
    <w:p w:rsidR="003D7DDD" w:rsidRPr="00436E22" w:rsidP="003929DD">
      <w:pPr>
        <w:ind w:left="372" w:firstLine="708"/>
        <w:jc w:val="both"/>
      </w:pPr>
      <w:r w:rsidRPr="00436E22">
        <w:t>Na růst inkasa DPH v roce 2016 měl pozitivní vliv jako každoročně růst spotřeby vlády a domácností. Při odhadu růstu spotřeby jsme vycházeli z makroekonomické predikce Ministerstva financí z listopadu 2016.</w:t>
      </w:r>
      <w:r w:rsidRPr="00436E22" w:rsidR="003929DD">
        <w:t xml:space="preserve"> </w:t>
      </w:r>
      <w:r w:rsidRPr="00436E22">
        <w:t xml:space="preserve">Tento růst činil v </w:t>
      </w:r>
      <w:r w:rsidRPr="00436E22" w:rsidR="003929DD">
        <w:t xml:space="preserve">absolutní částce 10,7 mld. Kč. </w:t>
      </w:r>
    </w:p>
    <w:p w:rsidR="003D7DDD" w:rsidRPr="00436E22" w:rsidP="003929DD">
      <w:pPr>
        <w:ind w:left="372" w:firstLine="708"/>
        <w:jc w:val="both"/>
      </w:pPr>
      <w:r w:rsidRPr="00436E22">
        <w:t>Dále byl zohledněn dodatečný negativní vliv zaved</w:t>
      </w:r>
      <w:r w:rsidRPr="00436E22" w:rsidR="00AD021F">
        <w:t>e</w:t>
      </w:r>
      <w:r w:rsidRPr="00436E22">
        <w:t xml:space="preserve">ní třetí sazby DPH, který se dodatečně projevil v inkasu daně </w:t>
      </w:r>
      <w:r w:rsidRPr="00436E22" w:rsidR="003929DD">
        <w:t>roku 2016 ve výši -0,6 mld. Kč.</w:t>
      </w:r>
    </w:p>
    <w:p w:rsidR="003D7DDD" w:rsidRPr="00436E22" w:rsidP="003D7DDD">
      <w:pPr>
        <w:ind w:left="372" w:firstLine="708"/>
        <w:jc w:val="both"/>
      </w:pPr>
      <w:r w:rsidRPr="00436E22">
        <w:t>Inkaso DPH je do značné míry ovlivněno také investicemi. Za období leden až listopad 2016, dle údajů o výdajích státního rozpočtu, meziročně poklesly kapitálové výdaje státu o 52 mld. Kč. Z konzervativních důvodů kalkulujeme, že 25 – 50 % těchto výdajů je efektivních z hlediska DPH. Toto rozmezí bylo použito pro výpočet. Odpovídající část výdajů podléhajících DPH byla následně násobena efektivní sazbou DPH ve výši 18,55 %, a tímto způsobem jsme se dopracovali k zápornému vlivu nižších výdajů státu na inkaso DPH ve výši -2,4 až -4,8 mld. Kč.</w:t>
      </w:r>
    </w:p>
    <w:p w:rsidR="003D7DDD" w:rsidRPr="00436E22" w:rsidP="00A71E50">
      <w:pPr>
        <w:ind w:left="372" w:firstLine="708"/>
        <w:jc w:val="both"/>
      </w:pPr>
      <w:r w:rsidRPr="00436E22">
        <w:t>Všechny popsané efekty byly porovnány s meziročním skutečným růstem inkasa DPH. Významný reziduální meziroční růst je pak přínosem kontrolního hlášení, který se na základě použité varianty pohybuje v rozmezí 10 - 12 mld. Kč.</w:t>
      </w:r>
    </w:p>
    <w:p w:rsidR="005012C1" w:rsidRPr="00436E22" w:rsidP="00A71E50">
      <w:pPr>
        <w:ind w:left="372" w:firstLine="708"/>
        <w:jc w:val="both"/>
      </w:pPr>
      <w:r w:rsidRPr="00436E22">
        <w:t>Jednotlivé dopady jsou znázorněny v těchto tabulkách:</w:t>
      </w:r>
    </w:p>
    <w:tbl>
      <w:tblPr>
        <w:tblStyle w:val="TableGrid"/>
        <w:tblW w:w="0" w:type="auto"/>
        <w:tblInd w:w="372" w:type="dxa"/>
        <w:tblLook w:val="04A0"/>
      </w:tblPr>
      <w:tblGrid>
        <w:gridCol w:w="4556"/>
        <w:gridCol w:w="1412"/>
      </w:tblGrid>
      <w:tr w:rsidTr="00C94D15">
        <w:tblPrEx>
          <w:tblW w:w="0" w:type="auto"/>
          <w:tblInd w:w="372" w:type="dxa"/>
          <w:tblLook w:val="04A0"/>
        </w:tblPrEx>
        <w:trPr>
          <w:trHeight w:val="279"/>
        </w:trPr>
        <w:tc>
          <w:tcPr>
            <w:tcW w:w="4556" w:type="dxa"/>
          </w:tcPr>
          <w:p w:rsidR="00C94D15" w:rsidRPr="00436E22" w:rsidP="00B02472">
            <w:r w:rsidRPr="00436E22">
              <w:t>V 1 -25 % výdajů DPH efektivní</w:t>
            </w:r>
          </w:p>
        </w:tc>
        <w:tc>
          <w:tcPr>
            <w:tcW w:w="1412" w:type="dxa"/>
          </w:tcPr>
          <w:p w:rsidR="00C94D15" w:rsidRPr="00436E22" w:rsidP="00B02472">
            <w:r w:rsidRPr="00436E22">
              <w:t>mld. Kč</w:t>
            </w:r>
          </w:p>
        </w:tc>
      </w:tr>
      <w:tr w:rsidTr="00C94D15">
        <w:tblPrEx>
          <w:tblW w:w="0" w:type="auto"/>
          <w:tblInd w:w="372" w:type="dxa"/>
          <w:tblLook w:val="04A0"/>
        </w:tblPrEx>
        <w:trPr>
          <w:trHeight w:val="264"/>
        </w:trPr>
        <w:tc>
          <w:tcPr>
            <w:tcW w:w="4556" w:type="dxa"/>
          </w:tcPr>
          <w:p w:rsidR="00C94D15" w:rsidRPr="00436E22" w:rsidP="00B02472">
            <w:r w:rsidRPr="00436E22">
              <w:t>Pokles výdajů státu</w:t>
            </w:r>
          </w:p>
        </w:tc>
        <w:tc>
          <w:tcPr>
            <w:tcW w:w="1412" w:type="dxa"/>
          </w:tcPr>
          <w:p w:rsidR="00C94D15" w:rsidRPr="00436E22" w:rsidP="00B02472">
            <w:r w:rsidRPr="00436E22">
              <w:t>-2,4</w:t>
            </w:r>
          </w:p>
        </w:tc>
      </w:tr>
      <w:tr w:rsidTr="00C94D15">
        <w:tblPrEx>
          <w:tblW w:w="0" w:type="auto"/>
          <w:tblInd w:w="372" w:type="dxa"/>
          <w:tblLook w:val="04A0"/>
        </w:tblPrEx>
        <w:trPr>
          <w:trHeight w:val="279"/>
        </w:trPr>
        <w:tc>
          <w:tcPr>
            <w:tcW w:w="4556" w:type="dxa"/>
          </w:tcPr>
          <w:p w:rsidR="00C94D15" w:rsidRPr="00436E22" w:rsidP="00B02472">
            <w:r w:rsidRPr="00436E22">
              <w:t>Kontrolní hlášení</w:t>
            </w:r>
          </w:p>
        </w:tc>
        <w:tc>
          <w:tcPr>
            <w:tcW w:w="1412" w:type="dxa"/>
          </w:tcPr>
          <w:p w:rsidR="00C94D15" w:rsidRPr="00436E22" w:rsidP="00B02472">
            <w:r w:rsidRPr="00436E22">
              <w:t>10,2</w:t>
            </w:r>
          </w:p>
        </w:tc>
      </w:tr>
      <w:tr w:rsidTr="00C94D15">
        <w:tblPrEx>
          <w:tblW w:w="0" w:type="auto"/>
          <w:tblInd w:w="372" w:type="dxa"/>
          <w:tblLook w:val="04A0"/>
        </w:tblPrEx>
        <w:trPr>
          <w:trHeight w:val="264"/>
        </w:trPr>
        <w:tc>
          <w:tcPr>
            <w:tcW w:w="4556" w:type="dxa"/>
          </w:tcPr>
          <w:p w:rsidR="00C94D15" w:rsidRPr="00436E22" w:rsidP="00B02472">
            <w:r w:rsidRPr="00436E22">
              <w:t>Ostatní opatření</w:t>
            </w:r>
          </w:p>
        </w:tc>
        <w:tc>
          <w:tcPr>
            <w:tcW w:w="1412" w:type="dxa"/>
          </w:tcPr>
          <w:p w:rsidR="00C94D15" w:rsidRPr="00436E22" w:rsidP="00B02472">
            <w:r w:rsidRPr="00436E22">
              <w:t>-0,6</w:t>
            </w:r>
          </w:p>
        </w:tc>
      </w:tr>
      <w:tr w:rsidTr="00C94D15">
        <w:tblPrEx>
          <w:tblW w:w="0" w:type="auto"/>
          <w:tblInd w:w="372" w:type="dxa"/>
          <w:tblLook w:val="04A0"/>
        </w:tblPrEx>
        <w:trPr>
          <w:trHeight w:val="279"/>
        </w:trPr>
        <w:tc>
          <w:tcPr>
            <w:tcW w:w="4556" w:type="dxa"/>
          </w:tcPr>
          <w:p w:rsidR="00C94D15" w:rsidRPr="00436E22" w:rsidP="00B02472">
            <w:r w:rsidRPr="00436E22">
              <w:t>Růst spotřeby vlády a domácností</w:t>
            </w:r>
          </w:p>
        </w:tc>
        <w:tc>
          <w:tcPr>
            <w:tcW w:w="1412" w:type="dxa"/>
          </w:tcPr>
          <w:p w:rsidR="00C94D15" w:rsidRPr="00436E22" w:rsidP="00B02472">
            <w:r w:rsidRPr="00436E22">
              <w:t>10,7</w:t>
            </w:r>
          </w:p>
        </w:tc>
      </w:tr>
      <w:tr w:rsidTr="00C94D15">
        <w:tblPrEx>
          <w:tblW w:w="0" w:type="auto"/>
          <w:tblInd w:w="372" w:type="dxa"/>
          <w:tblLook w:val="04A0"/>
        </w:tblPrEx>
        <w:trPr>
          <w:trHeight w:val="279"/>
        </w:trPr>
        <w:tc>
          <w:tcPr>
            <w:tcW w:w="4556" w:type="dxa"/>
          </w:tcPr>
          <w:p w:rsidR="00C94D15" w:rsidRPr="00436E22" w:rsidP="00B02472">
            <w:r w:rsidRPr="00436E22">
              <w:t xml:space="preserve">Celkem </w:t>
            </w:r>
          </w:p>
        </w:tc>
        <w:tc>
          <w:tcPr>
            <w:tcW w:w="1412" w:type="dxa"/>
          </w:tcPr>
          <w:p w:rsidR="00C94D15" w:rsidRPr="00436E22" w:rsidP="00B02472">
            <w:r w:rsidRPr="00436E22">
              <w:t>17,9</w:t>
            </w:r>
          </w:p>
        </w:tc>
      </w:tr>
    </w:tbl>
    <w:p w:rsidR="00C94D15" w:rsidRPr="00436E22" w:rsidP="003D7DDD">
      <w:pPr>
        <w:ind w:left="372" w:firstLine="708"/>
        <w:jc w:val="both"/>
      </w:pPr>
    </w:p>
    <w:tbl>
      <w:tblPr>
        <w:tblStyle w:val="TableGrid"/>
        <w:tblW w:w="0" w:type="auto"/>
        <w:tblInd w:w="372" w:type="dxa"/>
        <w:tblLook w:val="04A0"/>
      </w:tblPr>
      <w:tblGrid>
        <w:gridCol w:w="4593"/>
        <w:gridCol w:w="1346"/>
      </w:tblGrid>
      <w:tr w:rsidTr="00C94D15">
        <w:tblPrEx>
          <w:tblW w:w="0" w:type="auto"/>
          <w:tblInd w:w="372" w:type="dxa"/>
          <w:tblLook w:val="04A0"/>
        </w:tblPrEx>
        <w:trPr>
          <w:trHeight w:val="278"/>
        </w:trPr>
        <w:tc>
          <w:tcPr>
            <w:tcW w:w="4593" w:type="dxa"/>
          </w:tcPr>
          <w:p w:rsidR="00C94D15" w:rsidRPr="00436E22" w:rsidP="00EF4549">
            <w:r w:rsidRPr="00436E22">
              <w:t>V 2- 50 % výdajů DPH efektivních</w:t>
            </w:r>
          </w:p>
        </w:tc>
        <w:tc>
          <w:tcPr>
            <w:tcW w:w="1346" w:type="dxa"/>
          </w:tcPr>
          <w:p w:rsidR="00C94D15" w:rsidRPr="00436E22" w:rsidP="00EF4549">
            <w:r w:rsidRPr="00436E22">
              <w:t>mld. Kč</w:t>
            </w:r>
          </w:p>
        </w:tc>
      </w:tr>
      <w:tr w:rsidTr="00C94D15">
        <w:tblPrEx>
          <w:tblW w:w="0" w:type="auto"/>
          <w:tblInd w:w="372" w:type="dxa"/>
          <w:tblLook w:val="04A0"/>
        </w:tblPrEx>
        <w:trPr>
          <w:trHeight w:val="264"/>
        </w:trPr>
        <w:tc>
          <w:tcPr>
            <w:tcW w:w="4593" w:type="dxa"/>
          </w:tcPr>
          <w:p w:rsidR="00C94D15" w:rsidRPr="00436E22" w:rsidP="00EF4549">
            <w:r w:rsidRPr="00436E22">
              <w:t>Pokles výdajů státu</w:t>
            </w:r>
          </w:p>
        </w:tc>
        <w:tc>
          <w:tcPr>
            <w:tcW w:w="1346" w:type="dxa"/>
          </w:tcPr>
          <w:p w:rsidR="00C94D15" w:rsidRPr="00436E22" w:rsidP="00EF4549">
            <w:r w:rsidRPr="00436E22">
              <w:t>-4,8</w:t>
            </w:r>
          </w:p>
        </w:tc>
      </w:tr>
      <w:tr w:rsidTr="00C94D15">
        <w:tblPrEx>
          <w:tblW w:w="0" w:type="auto"/>
          <w:tblInd w:w="372" w:type="dxa"/>
          <w:tblLook w:val="04A0"/>
        </w:tblPrEx>
        <w:trPr>
          <w:trHeight w:val="278"/>
        </w:trPr>
        <w:tc>
          <w:tcPr>
            <w:tcW w:w="4593" w:type="dxa"/>
          </w:tcPr>
          <w:p w:rsidR="00C94D15" w:rsidRPr="00436E22" w:rsidP="00EF4549">
            <w:r w:rsidRPr="00436E22">
              <w:t>Kontrolní hlášení</w:t>
            </w:r>
          </w:p>
        </w:tc>
        <w:tc>
          <w:tcPr>
            <w:tcW w:w="1346" w:type="dxa"/>
          </w:tcPr>
          <w:p w:rsidR="00C94D15" w:rsidRPr="00436E22" w:rsidP="00EF4549">
            <w:r w:rsidRPr="00436E22">
              <w:t>12,6</w:t>
            </w:r>
          </w:p>
        </w:tc>
      </w:tr>
      <w:tr w:rsidTr="00C94D15">
        <w:tblPrEx>
          <w:tblW w:w="0" w:type="auto"/>
          <w:tblInd w:w="372" w:type="dxa"/>
          <w:tblLook w:val="04A0"/>
        </w:tblPrEx>
        <w:trPr>
          <w:trHeight w:val="264"/>
        </w:trPr>
        <w:tc>
          <w:tcPr>
            <w:tcW w:w="4593" w:type="dxa"/>
          </w:tcPr>
          <w:p w:rsidR="00C94D15" w:rsidRPr="00436E22" w:rsidP="00EF4549">
            <w:r w:rsidRPr="00436E22">
              <w:t>Ostatní opatření</w:t>
            </w:r>
          </w:p>
        </w:tc>
        <w:tc>
          <w:tcPr>
            <w:tcW w:w="1346" w:type="dxa"/>
          </w:tcPr>
          <w:p w:rsidR="00C94D15" w:rsidRPr="00436E22" w:rsidP="00EF4549">
            <w:r w:rsidRPr="00436E22">
              <w:t>-0,6</w:t>
            </w:r>
          </w:p>
        </w:tc>
      </w:tr>
      <w:tr w:rsidTr="00C94D15">
        <w:tblPrEx>
          <w:tblW w:w="0" w:type="auto"/>
          <w:tblInd w:w="372" w:type="dxa"/>
          <w:tblLook w:val="04A0"/>
        </w:tblPrEx>
        <w:trPr>
          <w:trHeight w:val="278"/>
        </w:trPr>
        <w:tc>
          <w:tcPr>
            <w:tcW w:w="4593" w:type="dxa"/>
          </w:tcPr>
          <w:p w:rsidR="00C94D15" w:rsidRPr="00436E22" w:rsidP="00EF4549">
            <w:r w:rsidRPr="00436E22">
              <w:t>Růst spotřeby vlády a domácností</w:t>
            </w:r>
          </w:p>
        </w:tc>
        <w:tc>
          <w:tcPr>
            <w:tcW w:w="1346" w:type="dxa"/>
          </w:tcPr>
          <w:p w:rsidR="00C94D15" w:rsidRPr="00436E22" w:rsidP="00EF4549">
            <w:r w:rsidRPr="00436E22">
              <w:t>10,7</w:t>
            </w:r>
          </w:p>
        </w:tc>
      </w:tr>
      <w:tr w:rsidTr="00C94D15">
        <w:tblPrEx>
          <w:tblW w:w="0" w:type="auto"/>
          <w:tblInd w:w="372" w:type="dxa"/>
          <w:tblLook w:val="04A0"/>
        </w:tblPrEx>
        <w:trPr>
          <w:trHeight w:val="278"/>
        </w:trPr>
        <w:tc>
          <w:tcPr>
            <w:tcW w:w="4593" w:type="dxa"/>
          </w:tcPr>
          <w:p w:rsidR="00C94D15" w:rsidRPr="00436E22" w:rsidP="00EF4549">
            <w:r w:rsidRPr="00436E22">
              <w:t>Celkem</w:t>
            </w:r>
          </w:p>
        </w:tc>
        <w:tc>
          <w:tcPr>
            <w:tcW w:w="1346" w:type="dxa"/>
          </w:tcPr>
          <w:p w:rsidR="00C94D15" w:rsidRPr="00436E22" w:rsidP="00EF4549">
            <w:r w:rsidRPr="00436E22">
              <w:t>17,9</w:t>
            </w:r>
          </w:p>
        </w:tc>
      </w:tr>
    </w:tbl>
    <w:p w:rsidR="00C94D15" w:rsidRPr="00436E22" w:rsidP="003D7DDD">
      <w:pPr>
        <w:ind w:left="372" w:firstLine="708"/>
        <w:jc w:val="both"/>
      </w:pPr>
    </w:p>
    <w:p w:rsidR="000D0452" w:rsidRPr="00436E22" w:rsidP="003D7DDD">
      <w:pPr>
        <w:ind w:left="372" w:firstLine="708"/>
        <w:jc w:val="both"/>
      </w:pPr>
      <w:r w:rsidRPr="00436E22">
        <w:t xml:space="preserve">Výše popsaný výpočet </w:t>
      </w:r>
      <w:r w:rsidRPr="00436E22" w:rsidR="00C117F3">
        <w:t xml:space="preserve">v hotovostní metodice </w:t>
      </w:r>
      <w:r w:rsidRPr="00436E22">
        <w:t>byl aplikován na data DPH</w:t>
      </w:r>
      <w:r w:rsidRPr="00436E22" w:rsidR="00C117F3">
        <w:t xml:space="preserve"> v akruální metodice</w:t>
      </w:r>
      <w:r w:rsidRPr="00436E22">
        <w:t xml:space="preserve">, na </w:t>
      </w:r>
      <w:r w:rsidRPr="00436E22" w:rsidR="003929DD">
        <w:t>jejichž</w:t>
      </w:r>
      <w:r w:rsidRPr="00436E22">
        <w:t xml:space="preserve"> základě byl vypočítán dopad kontrolního hlášení v </w:t>
      </w:r>
      <w:r w:rsidRPr="00436E22" w:rsidR="003929DD">
        <w:t>akruá</w:t>
      </w:r>
      <w:r w:rsidRPr="00436E22">
        <w:t>lní</w:t>
      </w:r>
      <w:r w:rsidRPr="00436E22" w:rsidR="00AD021F">
        <w:t>m</w:t>
      </w:r>
      <w:r w:rsidRPr="00436E22">
        <w:t xml:space="preserve"> vyjádření v rozmezí 13 – 18 mld. Kč. </w:t>
      </w:r>
      <w:r w:rsidRPr="00436E22">
        <w:t>Akruální výnos se</w:t>
      </w:r>
      <w:r w:rsidRPr="00436E22">
        <w:t xml:space="preserve"> však </w:t>
      </w:r>
      <w:r w:rsidRPr="00436E22" w:rsidR="00C117F3">
        <w:t xml:space="preserve">dlouhodobě </w:t>
      </w:r>
      <w:r w:rsidRPr="00436E22">
        <w:t xml:space="preserve">v zásadě </w:t>
      </w:r>
      <w:r w:rsidRPr="00436E22">
        <w:t xml:space="preserve">liší </w:t>
      </w:r>
      <w:r w:rsidRPr="00436E22" w:rsidR="00C117F3">
        <w:t xml:space="preserve">od hotovostního </w:t>
      </w:r>
      <w:r w:rsidRPr="00436E22">
        <w:t>pouze o splatnost daně</w:t>
      </w:r>
      <w:r w:rsidRPr="00436E22" w:rsidR="00C20955">
        <w:t xml:space="preserve">. </w:t>
      </w:r>
      <w:r w:rsidRPr="00436E22">
        <w:t>Na základě kombinace těchto dvou přístupů jsme zvolili</w:t>
      </w:r>
      <w:r w:rsidRPr="00436E22" w:rsidR="00C117F3">
        <w:t xml:space="preserve"> velice </w:t>
      </w:r>
      <w:r w:rsidRPr="00436E22">
        <w:t>konzervativní hodnotu akruálního dopadu zavedení kontrolního hlášení ve výši 13 mld. Kč.</w:t>
      </w:r>
    </w:p>
    <w:p w:rsidR="007B0EDC" w:rsidRPr="00436E22" w:rsidP="007B0EDC">
      <w:pPr>
        <w:ind w:left="372" w:firstLine="708"/>
        <w:jc w:val="both"/>
      </w:pPr>
      <w:r w:rsidRPr="00436E22">
        <w:t>Oproti akruální metodice je hotovostní dopad pouze upraven o splatnost daně a tento výpočet na základě skutečných dat za rok 2016 činil 13 mld. Kč.</w:t>
      </w:r>
      <w:r w:rsidRPr="00436E22" w:rsidR="003D45E7">
        <w:t xml:space="preserve"> </w:t>
      </w:r>
      <w:r w:rsidRPr="00436E22">
        <w:t xml:space="preserve">Zdrojem odhadu rozpočtového dopadu pro rok 2017 byla data určená k sestavování národních účtů od Českého statistického úřadu, ve kterém ČSÚ zachycuje i skryté transakce. Při výpočtu se vycházelo </w:t>
      </w:r>
      <w:r w:rsidRPr="00436E22" w:rsidR="007677FF">
        <w:t>z výkazu N6 - zkreslování účetních údajů. Pro účet výpočtu dopadu kontrolního hlášení byla použita hodnota nadhodnocených nákladů v účetnictví, která pro rok 2013 činila 145</w:t>
      </w:r>
      <w:r w:rsidRPr="00436E22" w:rsidR="002C6B08">
        <w:t>,2</w:t>
      </w:r>
      <w:r w:rsidRPr="00436E22" w:rsidR="007677FF">
        <w:t xml:space="preserve"> mld. Kč. Podíl plátců DPH v ekonomice byl na základě expertního odhadu vyčíslen na cca 60 %. Na takto vzniklý teoretický základ daně byl</w:t>
      </w:r>
      <w:r w:rsidRPr="00436E22" w:rsidR="004B3DEE">
        <w:t>a aplikována odhadovaná</w:t>
      </w:r>
      <w:r w:rsidRPr="00436E22" w:rsidR="007677FF">
        <w:t xml:space="preserve"> efektivní sazba daně z přidané hodnoty. </w:t>
      </w:r>
      <w:r w:rsidRPr="00436E22" w:rsidR="004B52F9">
        <w:t xml:space="preserve">Výsledný výpočet kontrolního hlášení v prvním roce byl ještě ponížen z konzervativních důvodů a to sice </w:t>
      </w:r>
      <w:r w:rsidRPr="00436E22" w:rsidR="00EE22F5">
        <w:t>na základě předpokladu</w:t>
      </w:r>
      <w:r w:rsidRPr="00436E22" w:rsidR="004B52F9">
        <w:t>, že kontrolní hlášení zamezí takto uměle zvýšený</w:t>
      </w:r>
      <w:r w:rsidRPr="00436E22" w:rsidR="00705256">
        <w:t>m částkám DPH na vstupu pouze v</w:t>
      </w:r>
      <w:r w:rsidRPr="00436E22" w:rsidR="004B52F9">
        <w:t xml:space="preserve"> 85 %. </w:t>
      </w:r>
      <w:r w:rsidRPr="00436E22" w:rsidR="007677FF">
        <w:t xml:space="preserve">Celkový dopad kontrolního hlášení tedy </w:t>
      </w:r>
      <w:r w:rsidRPr="00436E22" w:rsidR="004B3DEE">
        <w:t>na základě tohot</w:t>
      </w:r>
      <w:r w:rsidRPr="00436E22" w:rsidR="001C658C">
        <w:t>o</w:t>
      </w:r>
      <w:r w:rsidRPr="00436E22" w:rsidR="004B3DEE">
        <w:t xml:space="preserve"> výpočtu vychází</w:t>
      </w:r>
      <w:r w:rsidRPr="00436E22" w:rsidR="007677FF">
        <w:t xml:space="preserve"> </w:t>
      </w:r>
      <w:r w:rsidRPr="00436E22" w:rsidR="004B52F9">
        <w:t xml:space="preserve">na </w:t>
      </w:r>
      <w:r w:rsidRPr="00436E22" w:rsidR="007677FF">
        <w:t xml:space="preserve">cca </w:t>
      </w:r>
      <w:r w:rsidRPr="00436E22" w:rsidR="00C20955">
        <w:t>13,7</w:t>
      </w:r>
      <w:r w:rsidRPr="00436E22" w:rsidR="007677FF">
        <w:t xml:space="preserve"> mld. Kč.</w:t>
      </w:r>
      <w:r w:rsidRPr="00436E22" w:rsidR="004B3DEE">
        <w:t xml:space="preserve"> Po odečtení </w:t>
      </w:r>
      <w:r w:rsidRPr="00436E22" w:rsidR="00A10F0F">
        <w:t>skutečného</w:t>
      </w:r>
      <w:r w:rsidRPr="00436E22" w:rsidR="004B3DEE">
        <w:t xml:space="preserve"> dopadu </w:t>
      </w:r>
      <w:r w:rsidRPr="00436E22" w:rsidR="00EE22F5">
        <w:t>za rok 2016</w:t>
      </w:r>
      <w:r w:rsidRPr="00436E22" w:rsidR="004B3DEE">
        <w:t xml:space="preserve">, </w:t>
      </w:r>
      <w:r w:rsidRPr="00436E22" w:rsidR="001C658C">
        <w:t>který v akruálním</w:t>
      </w:r>
      <w:r w:rsidRPr="00436E22" w:rsidR="004B3DEE">
        <w:t xml:space="preserve"> </w:t>
      </w:r>
      <w:r w:rsidRPr="00436E22" w:rsidR="001C658C">
        <w:t xml:space="preserve">vyjádření činí </w:t>
      </w:r>
      <w:r w:rsidRPr="00436E22" w:rsidR="004B3DEE">
        <w:t>13 mld. Kč</w:t>
      </w:r>
      <w:r w:rsidRPr="00436E22" w:rsidR="001C658C">
        <w:t>,</w:t>
      </w:r>
      <w:r w:rsidRPr="00436E22" w:rsidR="004B3DEE">
        <w:t xml:space="preserve"> vyjde </w:t>
      </w:r>
      <w:r w:rsidRPr="00436E22" w:rsidR="001C658C">
        <w:t xml:space="preserve">tedy </w:t>
      </w:r>
      <w:r w:rsidRPr="00436E22" w:rsidR="004B52F9">
        <w:t>dodatečný</w:t>
      </w:r>
      <w:r w:rsidRPr="00436E22" w:rsidR="001C658C">
        <w:t xml:space="preserve"> dopad následujícího roku na </w:t>
      </w:r>
      <w:r w:rsidRPr="00436E22" w:rsidR="00C20955">
        <w:t>0,7</w:t>
      </w:r>
      <w:r w:rsidRPr="00436E22" w:rsidR="001C658C">
        <w:t xml:space="preserve"> mld. Kč</w:t>
      </w:r>
      <w:r w:rsidRPr="00436E22" w:rsidR="00971D37">
        <w:t>. V porovnání s</w:t>
      </w:r>
      <w:r w:rsidRPr="00436E22" w:rsidR="003D23AD">
        <w:t xml:space="preserve"> dalším </w:t>
      </w:r>
      <w:r w:rsidRPr="00436E22" w:rsidR="00971D37">
        <w:t xml:space="preserve">expertním odhadem, který zohledňuje v prvním roce zavedení nižší efektivitu opatření z důvodu postupně rostoucí efektivity opatření ve výši 90 %, vychází dodatečný dopad opatření v druhém roce cca 1,4 mld. Kč. Opět z důvodu konzervativního odhadu byla zvolena střední hodnota ve výši 1 mld. Kč. </w:t>
      </w:r>
    </w:p>
    <w:p w:rsidR="00450E3C" w:rsidRPr="00436E22" w:rsidP="00450E3C">
      <w:pPr>
        <w:ind w:left="372" w:firstLine="708"/>
        <w:jc w:val="both"/>
      </w:pPr>
      <w:r w:rsidRPr="00436E22">
        <w:t>Dodatečný dopad ve výši další</w:t>
      </w:r>
      <w:r w:rsidRPr="00436E22" w:rsidR="00A10F0F">
        <w:t xml:space="preserve"> 1 mld. Kč v roce 2017 vyplývá z odhadu dodatečného dopadu zavedení tzv. těžké analytiky, která má za úkol rozkrývat a eliminovat fiktivně vytvořené </w:t>
      </w:r>
      <w:r w:rsidRPr="00436E22" w:rsidR="00EE22F5">
        <w:t xml:space="preserve">podvodné </w:t>
      </w:r>
      <w:r w:rsidRPr="00436E22" w:rsidR="00A10F0F">
        <w:t xml:space="preserve">karuselové řetězce. </w:t>
      </w:r>
      <w:r w:rsidRPr="00436E22" w:rsidR="00EE22F5">
        <w:t xml:space="preserve">Na základě </w:t>
      </w:r>
      <w:r w:rsidRPr="00436E22" w:rsidR="00705256">
        <w:t xml:space="preserve">odhadu tzv. VAT gapu Evropské komise pro ČR za poslední dostupný rok 2014 ve výši 61,5 mld. Kč a </w:t>
      </w:r>
      <w:r w:rsidRPr="00436E22" w:rsidR="003D23AD">
        <w:t>předpokladu</w:t>
      </w:r>
      <w:r w:rsidRPr="00436E22" w:rsidR="00705256">
        <w:t xml:space="preserve">, že 2/3 z této částky </w:t>
      </w:r>
      <w:r w:rsidRPr="00436E22" w:rsidR="003D23AD">
        <w:t>tvoří</w:t>
      </w:r>
      <w:r w:rsidRPr="00436E22" w:rsidR="00705256">
        <w:t xml:space="preserve"> karuselové podvody. Velice konzervativním odhadem se dostáváme k tomu, že zavedení těžké analytiky </w:t>
      </w:r>
      <w:r w:rsidRPr="00436E22" w:rsidR="003D23AD">
        <w:t xml:space="preserve">sníží </w:t>
      </w:r>
      <w:r w:rsidRPr="00436E22" w:rsidR="00705256">
        <w:t xml:space="preserve">tyto karuselové podvody </w:t>
      </w:r>
      <w:r w:rsidR="004C3C9A">
        <w:t>přinejmenším o</w:t>
      </w:r>
      <w:r w:rsidRPr="00436E22" w:rsidR="00705256">
        <w:t xml:space="preserve"> 10 %. </w:t>
      </w:r>
      <w:r w:rsidRPr="00436E22" w:rsidR="003D23AD">
        <w:t xml:space="preserve">Těžká analytika je sofistikovaná činnost, jejíž výsledky ve formě rozkrývání fiktivních řetězců se projevují až v delším časovém horizontu. Vzhledem k </w:t>
      </w:r>
      <w:r w:rsidRPr="00436E22" w:rsidR="00705256">
        <w:t>pozdější</w:t>
      </w:r>
      <w:r w:rsidRPr="00436E22" w:rsidR="003D23AD">
        <w:t>mu</w:t>
      </w:r>
      <w:r w:rsidRPr="00436E22" w:rsidR="00705256">
        <w:t xml:space="preserve"> postup</w:t>
      </w:r>
      <w:r w:rsidRPr="00436E22" w:rsidR="003D23AD">
        <w:t>nému</w:t>
      </w:r>
      <w:r w:rsidRPr="00436E22" w:rsidR="00705256">
        <w:t xml:space="preserve"> nájezdu </w:t>
      </w:r>
      <w:r w:rsidRPr="00436E22" w:rsidR="001D01C3">
        <w:t xml:space="preserve">opatření </w:t>
      </w:r>
      <w:r w:rsidRPr="00436E22" w:rsidR="00705256">
        <w:t xml:space="preserve">těžké analytiky </w:t>
      </w:r>
      <w:r w:rsidRPr="00436E22" w:rsidR="001D01C3">
        <w:t xml:space="preserve">až v posledním kvartálu roku 2016, odhadujeme v roce 2017 dodatečný dopad pouze ve výši 1 mld. Kč a až v roce 2018 plný celoroční dopad </w:t>
      </w:r>
      <w:r w:rsidRPr="00436E22" w:rsidR="003D23AD">
        <w:t>této analytické činnosti</w:t>
      </w:r>
      <w:r w:rsidRPr="00436E22" w:rsidR="001D01C3">
        <w:t xml:space="preserve"> ve výši 4 mld. Kč (dle akruální metodiky meziroční nárůst o 3 mld. Kč). </w:t>
      </w:r>
    </w:p>
    <w:p w:rsidR="007916D6" w:rsidP="005012C1">
      <w:pPr>
        <w:ind w:left="372" w:firstLine="708"/>
        <w:jc w:val="both"/>
      </w:pPr>
      <w:r w:rsidRPr="00436E22">
        <w:t xml:space="preserve">Na základě současného </w:t>
      </w:r>
      <w:r w:rsidRPr="00436E22" w:rsidR="005012C1">
        <w:t xml:space="preserve">plnění rozpočtu, </w:t>
      </w:r>
      <w:r w:rsidRPr="00436E22">
        <w:t>které</w:t>
      </w:r>
      <w:r w:rsidR="004C3C9A">
        <w:t xml:space="preserve"> k 23. 5.</w:t>
      </w:r>
      <w:r w:rsidRPr="00436E22">
        <w:t xml:space="preserve"> vykazuje </w:t>
      </w:r>
      <w:r w:rsidRPr="00436E22" w:rsidR="005012C1">
        <w:t>meziroční</w:t>
      </w:r>
      <w:r w:rsidRPr="00436E22">
        <w:t xml:space="preserve"> růst</w:t>
      </w:r>
      <w:r w:rsidRPr="00436E22" w:rsidR="005012C1">
        <w:t xml:space="preserve"> plnění</w:t>
      </w:r>
      <w:r w:rsidRPr="00436E22">
        <w:t xml:space="preserve"> inkasa DPH o</w:t>
      </w:r>
      <w:r w:rsidRPr="00436E22" w:rsidR="005012C1">
        <w:t xml:space="preserve"> více než 14 mld. Kč</w:t>
      </w:r>
      <w:r w:rsidRPr="00436E22">
        <w:t>, se</w:t>
      </w:r>
      <w:r w:rsidRPr="00436E22" w:rsidR="005012C1">
        <w:t xml:space="preserve"> potvrzuje konzervativnost našich odhadů. </w:t>
      </w:r>
      <w:r w:rsidR="004C3C9A">
        <w:t>Tyto údaje indikují</w:t>
      </w:r>
      <w:r w:rsidRPr="00436E22">
        <w:t xml:space="preserve">, že očekávané </w:t>
      </w:r>
      <w:r w:rsidR="004C3C9A">
        <w:t xml:space="preserve">pozitivní </w:t>
      </w:r>
      <w:r w:rsidRPr="00436E22">
        <w:t xml:space="preserve">dopady kontrolního hlášení za roky 2017 a 2018 </w:t>
      </w:r>
      <w:r w:rsidRPr="00436E22" w:rsidR="003D23AD">
        <w:t>budeme nuceni</w:t>
      </w:r>
      <w:r w:rsidR="004C3C9A">
        <w:t xml:space="preserve"> v dalších aktualizacích strategických dokumentů MF</w:t>
      </w:r>
      <w:r w:rsidRPr="00436E22">
        <w:t xml:space="preserve"> razantně zvýšit.</w:t>
      </w:r>
    </w:p>
    <w:p w:rsidR="007916D6">
      <w:r>
        <w:br w:type="page"/>
      </w:r>
    </w:p>
    <w:p w:rsidR="005012C1" w:rsidP="00450E3C">
      <w:pPr>
        <w:ind w:left="372" w:firstLine="708"/>
        <w:jc w:val="both"/>
      </w:pPr>
    </w:p>
    <w:p w:rsidR="009031E0" w:rsidRPr="001A622D" w:rsidP="00450E3C">
      <w:pPr>
        <w:jc w:val="both"/>
        <w:rPr>
          <w:b/>
          <w:sz w:val="28"/>
        </w:rPr>
      </w:pPr>
      <w:r w:rsidRPr="001A622D">
        <w:rPr>
          <w:b/>
          <w:sz w:val="28"/>
        </w:rPr>
        <w:t>Metodika výpočtu dopadů zavedení elektronické evidence tržeb</w:t>
      </w:r>
    </w:p>
    <w:p w:rsidR="00E30700" w:rsidP="00E30700">
      <w:pPr>
        <w:pStyle w:val="ListParagraph"/>
        <w:numPr>
          <w:ilvl w:val="0"/>
          <w:numId w:val="11"/>
        </w:numPr>
        <w:rPr>
          <w:i/>
          <w:sz w:val="24"/>
        </w:rPr>
      </w:pPr>
      <w:r w:rsidRPr="00E30700">
        <w:rPr>
          <w:i/>
          <w:sz w:val="24"/>
        </w:rPr>
        <w:t xml:space="preserve">fáze </w:t>
      </w:r>
      <w:r w:rsidR="001C1934">
        <w:rPr>
          <w:i/>
          <w:sz w:val="24"/>
        </w:rPr>
        <w:t>a 2. fáze</w:t>
      </w:r>
    </w:p>
    <w:p w:rsidR="00F71A4D" w:rsidRPr="001A622D" w:rsidP="009F5E54">
      <w:pPr>
        <w:rPr>
          <w:b/>
          <w:sz w:val="24"/>
        </w:rPr>
      </w:pPr>
      <w:r w:rsidRPr="001A622D">
        <w:rPr>
          <w:b/>
          <w:sz w:val="24"/>
        </w:rPr>
        <w:t>DPH</w:t>
      </w:r>
    </w:p>
    <w:p w:rsidR="00CD506F" w:rsidP="009031E0">
      <w:pPr>
        <w:pStyle w:val="ListParagraph"/>
        <w:numPr>
          <w:ilvl w:val="0"/>
          <w:numId w:val="1"/>
        </w:numPr>
        <w:jc w:val="both"/>
      </w:pPr>
      <w:r w:rsidRPr="001A622D">
        <w:t>Základem výpočtu jsou růsty tržeb v sektoru maloobchodu a stravovacích služeb, které byly zaznamenány v Chorvatsku (maloobchod: +13,9</w:t>
      </w:r>
      <w:r w:rsidRPr="001A622D" w:rsidR="005E7664">
        <w:t xml:space="preserve"> </w:t>
      </w:r>
      <w:r w:rsidRPr="001A622D">
        <w:t xml:space="preserve">%; stravovací služby: +40,5 %), </w:t>
      </w:r>
    </w:p>
    <w:p w:rsidR="009031E0" w:rsidRPr="001A622D" w:rsidP="009031E0">
      <w:pPr>
        <w:pStyle w:val="ListParagraph"/>
        <w:numPr>
          <w:ilvl w:val="0"/>
          <w:numId w:val="1"/>
        </w:numPr>
        <w:jc w:val="both"/>
      </w:pPr>
      <w:r w:rsidRPr="001A622D">
        <w:t>Z důvodu odlišných podmínek v České republice</w:t>
      </w:r>
      <w:r w:rsidR="00CD506F">
        <w:t xml:space="preserve"> a v Chorvatsku</w:t>
      </w:r>
      <w:r w:rsidRPr="001A622D">
        <w:t xml:space="preserve"> b</w:t>
      </w:r>
      <w:r w:rsidRPr="001A622D" w:rsidR="001E5184">
        <w:t xml:space="preserve">yl stanoven </w:t>
      </w:r>
      <w:r w:rsidRPr="001A622D">
        <w:t>koeficientu</w:t>
      </w:r>
      <w:r w:rsidRPr="001A622D">
        <w:t xml:space="preserve"> </w:t>
      </w:r>
      <w:r w:rsidRPr="001A622D" w:rsidR="005E7664">
        <w:t>k</w:t>
      </w:r>
      <w:r w:rsidRPr="001A622D">
        <w:t xml:space="preserve"> předpokládanému </w:t>
      </w:r>
      <w:r w:rsidRPr="001A622D">
        <w:t>nárůstu tržeb</w:t>
      </w:r>
      <w:r w:rsidR="00CD506F">
        <w:t xml:space="preserve"> v České republice</w:t>
      </w:r>
      <w:r w:rsidRPr="001A622D">
        <w:t>.</w:t>
      </w:r>
      <w:r w:rsidRPr="001A622D" w:rsidR="00FE38B4">
        <w:t xml:space="preserve"> </w:t>
      </w:r>
    </w:p>
    <w:p w:rsidR="009031E0" w:rsidRPr="001A622D" w:rsidP="009031E0">
      <w:pPr>
        <w:pStyle w:val="ListParagraph"/>
        <w:numPr>
          <w:ilvl w:val="1"/>
          <w:numId w:val="1"/>
        </w:numPr>
        <w:jc w:val="both"/>
      </w:pPr>
      <w:r w:rsidRPr="001A622D">
        <w:t xml:space="preserve">Koeficient </w:t>
      </w:r>
      <w:r w:rsidRPr="001A622D" w:rsidR="00FE38B4">
        <w:t>(2/3)</w:t>
      </w:r>
      <w:r w:rsidRPr="001A622D" w:rsidR="009A1D5D">
        <w:t xml:space="preserve"> byl</w:t>
      </w:r>
      <w:r w:rsidRPr="001A622D" w:rsidR="00FE38B4">
        <w:t xml:space="preserve"> </w:t>
      </w:r>
      <w:r w:rsidRPr="001A622D">
        <w:t xml:space="preserve">stanoven na základě expertního odhadu </w:t>
      </w:r>
      <w:r w:rsidRPr="001A622D" w:rsidR="009A1D5D">
        <w:t>–</w:t>
      </w:r>
      <w:r w:rsidRPr="001A622D">
        <w:t xml:space="preserve"> </w:t>
      </w:r>
      <w:r w:rsidRPr="001A622D" w:rsidR="009A1D5D">
        <w:t xml:space="preserve">je </w:t>
      </w:r>
      <w:r w:rsidRPr="001A622D">
        <w:t>vycház</w:t>
      </w:r>
      <w:r w:rsidRPr="001A622D" w:rsidR="009A1D5D">
        <w:t>eno</w:t>
      </w:r>
      <w:r w:rsidRPr="001A622D">
        <w:t xml:space="preserve"> z konzerva</w:t>
      </w:r>
      <w:r w:rsidRPr="001A622D" w:rsidR="00FE38B4">
        <w:t>tivního přístupu k odhadům</w:t>
      </w:r>
      <w:r w:rsidRPr="001A622D">
        <w:t xml:space="preserve"> (jako </w:t>
      </w:r>
      <w:r w:rsidRPr="001A622D" w:rsidR="00FE38B4">
        <w:t xml:space="preserve">základní rámcový předpoklad byl </w:t>
      </w:r>
      <w:r w:rsidRPr="001A622D">
        <w:t>zohledněn poměr stínových eko</w:t>
      </w:r>
      <w:r w:rsidR="00CD506F">
        <w:t>nomik České republiky</w:t>
      </w:r>
      <w:r w:rsidRPr="001A622D" w:rsidR="009A1D5D">
        <w:t xml:space="preserve"> a Chorvatska</w:t>
      </w:r>
      <w:r w:rsidRPr="001A622D">
        <w:t xml:space="preserve"> dle studie The Shadow Economy in Europe, 2013).</w:t>
      </w:r>
    </w:p>
    <w:p w:rsidR="009031E0" w:rsidRPr="003D45E7" w:rsidP="009031E0">
      <w:pPr>
        <w:pStyle w:val="ListParagraph"/>
        <w:numPr>
          <w:ilvl w:val="0"/>
          <w:numId w:val="1"/>
        </w:numPr>
        <w:jc w:val="both"/>
      </w:pPr>
      <w:r w:rsidRPr="001A622D">
        <w:t>Níže uvedená tabulka ilustruje nárůsty tr</w:t>
      </w:r>
      <w:r w:rsidRPr="001A622D" w:rsidR="009A1D5D">
        <w:t xml:space="preserve">žeb za výše uvedené </w:t>
      </w:r>
      <w:r w:rsidRPr="003D45E7" w:rsidR="009A1D5D">
        <w:t>sektory v České republice.</w:t>
      </w:r>
    </w:p>
    <w:tbl>
      <w:tblPr>
        <w:tblW w:w="9181" w:type="dxa"/>
        <w:tblInd w:w="55" w:type="dxa"/>
        <w:tblCellMar>
          <w:left w:w="0" w:type="dxa"/>
          <w:right w:w="0" w:type="dxa"/>
        </w:tblCellMar>
        <w:tblLook w:val="04A0"/>
      </w:tblPr>
      <w:tblGrid>
        <w:gridCol w:w="4464"/>
        <w:gridCol w:w="2209"/>
        <w:gridCol w:w="2508"/>
      </w:tblGrid>
      <w:tr w:rsidTr="001C1934">
        <w:tblPrEx>
          <w:tblW w:w="9181" w:type="dxa"/>
          <w:tblInd w:w="55" w:type="dxa"/>
          <w:tblCellMar>
            <w:left w:w="0" w:type="dxa"/>
            <w:right w:w="0" w:type="dxa"/>
          </w:tblCellMar>
          <w:tblLook w:val="04A0"/>
        </w:tblPrEx>
        <w:trPr>
          <w:trHeight w:val="514"/>
        </w:trPr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31E0" w:rsidRPr="003D45E7" w:rsidP="00182008">
            <w:pPr>
              <w:spacing w:after="120"/>
              <w:rPr>
                <w:rFonts w:ascii="Times New Roman" w:hAnsi="Times New Roman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31E0" w:rsidRPr="003D45E7" w:rsidP="00182008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3D45E7">
              <w:rPr>
                <w:color w:val="000000"/>
                <w:lang w:eastAsia="cs-CZ"/>
              </w:rPr>
              <w:t>Předpokládaný nárůst tržeb</w:t>
            </w:r>
          </w:p>
        </w:tc>
        <w:tc>
          <w:tcPr>
            <w:tcW w:w="2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31E0" w:rsidRPr="001A622D" w:rsidP="00CF4345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3D45E7">
              <w:rPr>
                <w:color w:val="000000"/>
                <w:lang w:eastAsia="cs-CZ"/>
              </w:rPr>
              <w:t>Předpo</w:t>
            </w:r>
            <w:r w:rsidRPr="003D45E7" w:rsidR="00CF4345">
              <w:rPr>
                <w:color w:val="000000"/>
                <w:lang w:eastAsia="cs-CZ"/>
              </w:rPr>
              <w:t>kládaný nárůst tržeb, mld. Kč</w:t>
            </w:r>
          </w:p>
        </w:tc>
      </w:tr>
      <w:tr w:rsidTr="007F5C05">
        <w:tblPrEx>
          <w:tblW w:w="9181" w:type="dxa"/>
          <w:tblInd w:w="55" w:type="dxa"/>
          <w:tblCellMar>
            <w:left w:w="0" w:type="dxa"/>
            <w:right w:w="0" w:type="dxa"/>
          </w:tblCellMar>
          <w:tblLook w:val="04A0"/>
        </w:tblPrEx>
        <w:trPr>
          <w:trHeight w:val="252"/>
        </w:trPr>
        <w:tc>
          <w:tcPr>
            <w:tcW w:w="4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31E0" w:rsidRPr="001A622D" w:rsidP="00AA777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1A622D">
              <w:rPr>
                <w:color w:val="000000"/>
                <w:lang w:eastAsia="cs-CZ"/>
              </w:rPr>
              <w:t>Maloobchod, kromě motorových vozidel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31E0" w:rsidRPr="001A622D" w:rsidP="007F5C05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1A622D">
              <w:rPr>
                <w:color w:val="000000"/>
                <w:lang w:eastAsia="cs-CZ"/>
              </w:rPr>
              <w:t>9,3</w:t>
            </w:r>
            <w:r w:rsidR="00D77CA0">
              <w:rPr>
                <w:color w:val="000000"/>
                <w:lang w:eastAsia="cs-CZ"/>
              </w:rPr>
              <w:t xml:space="preserve"> </w:t>
            </w:r>
            <w:r w:rsidRPr="001A622D">
              <w:rPr>
                <w:color w:val="000000"/>
                <w:lang w:eastAsia="cs-CZ"/>
              </w:rPr>
              <w:t>%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31E0" w:rsidRPr="001A622D" w:rsidP="007F5C05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1A622D">
              <w:rPr>
                <w:color w:val="000000"/>
                <w:lang w:eastAsia="cs-CZ"/>
              </w:rPr>
              <w:t>104,5</w:t>
            </w:r>
          </w:p>
        </w:tc>
      </w:tr>
      <w:tr w:rsidTr="007F5C05">
        <w:tblPrEx>
          <w:tblW w:w="9181" w:type="dxa"/>
          <w:tblInd w:w="55" w:type="dxa"/>
          <w:tblCellMar>
            <w:left w:w="0" w:type="dxa"/>
            <w:right w:w="0" w:type="dxa"/>
          </w:tblCellMar>
          <w:tblLook w:val="04A0"/>
        </w:tblPrEx>
        <w:trPr>
          <w:trHeight w:val="234"/>
        </w:trPr>
        <w:tc>
          <w:tcPr>
            <w:tcW w:w="4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31E0" w:rsidRPr="001A622D" w:rsidP="00AA777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lang w:eastAsia="cs-CZ"/>
              </w:rPr>
              <w:t>Stravovací služby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31E0" w:rsidRPr="001A622D" w:rsidP="007F5C05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1A622D">
              <w:rPr>
                <w:color w:val="000000"/>
                <w:lang w:eastAsia="cs-CZ"/>
              </w:rPr>
              <w:t>27,0</w:t>
            </w:r>
            <w:r w:rsidR="00D77CA0">
              <w:rPr>
                <w:color w:val="000000"/>
                <w:lang w:eastAsia="cs-CZ"/>
              </w:rPr>
              <w:t xml:space="preserve"> </w:t>
            </w:r>
            <w:r w:rsidRPr="001A622D">
              <w:rPr>
                <w:color w:val="000000"/>
                <w:lang w:eastAsia="cs-CZ"/>
              </w:rPr>
              <w:t>%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31E0" w:rsidRPr="001A622D" w:rsidP="007F5C05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1A622D">
              <w:rPr>
                <w:color w:val="000000"/>
                <w:lang w:eastAsia="cs-CZ"/>
              </w:rPr>
              <w:t>16,1</w:t>
            </w:r>
          </w:p>
        </w:tc>
      </w:tr>
    </w:tbl>
    <w:p w:rsidR="009031E0" w:rsidRPr="001A622D" w:rsidP="009031E0">
      <w:pPr>
        <w:spacing w:after="0" w:line="240" w:lineRule="auto"/>
        <w:ind w:left="374" w:firstLine="193"/>
        <w:jc w:val="both"/>
      </w:pPr>
    </w:p>
    <w:p w:rsidR="009031E0" w:rsidRPr="001A622D" w:rsidP="009031E0">
      <w:pPr>
        <w:spacing w:after="0" w:line="240" w:lineRule="auto"/>
        <w:jc w:val="both"/>
      </w:pPr>
    </w:p>
    <w:p w:rsidR="009031E0" w:rsidRPr="001A622D" w:rsidP="009031E0">
      <w:pPr>
        <w:pStyle w:val="ListParagraph"/>
        <w:numPr>
          <w:ilvl w:val="0"/>
          <w:numId w:val="2"/>
        </w:numPr>
        <w:jc w:val="both"/>
      </w:pPr>
      <w:r w:rsidRPr="001A622D">
        <w:t>Předpokládaný nárůst základu daně v sektoru maloobchodu: 25 % * 104,5 mld. Kč = 26,1 mld. Kč</w:t>
      </w:r>
      <w:r w:rsidRPr="001A622D" w:rsidR="00DD4A2D">
        <w:t xml:space="preserve"> (25 % představuje průměrnou marži v sektoru maloobchodu)</w:t>
      </w:r>
    </w:p>
    <w:p w:rsidR="009F5E54" w:rsidRPr="001A622D" w:rsidP="009F5E54">
      <w:pPr>
        <w:pStyle w:val="ListParagraph"/>
        <w:numPr>
          <w:ilvl w:val="0"/>
          <w:numId w:val="2"/>
        </w:numPr>
        <w:jc w:val="both"/>
      </w:pPr>
      <w:r w:rsidRPr="001A622D">
        <w:t>Předpokládaný nárůst základu daně v sektoru stravovacích služeb: 35 % * 16,1 mld. Kč = 5,6 mld. Kč</w:t>
      </w:r>
      <w:r w:rsidRPr="001A622D" w:rsidR="00DD4A2D">
        <w:t xml:space="preserve"> (35 % představuje konzervativní marži v sektoru stravovacích služeb)</w:t>
      </w:r>
    </w:p>
    <w:p w:rsidR="009031E0" w:rsidRPr="001A622D" w:rsidP="009031E0">
      <w:pPr>
        <w:pStyle w:val="ListParagraph"/>
        <w:numPr>
          <w:ilvl w:val="0"/>
          <w:numId w:val="2"/>
        </w:numPr>
        <w:jc w:val="both"/>
      </w:pPr>
      <w:r w:rsidRPr="001A622D">
        <w:t>Efektivní sazba DPH: 18,83 % (</w:t>
      </w:r>
      <w:r w:rsidRPr="001A622D" w:rsidR="00CA1F84">
        <w:t>vypočtena na základě dat z daňových přiznání)</w:t>
      </w:r>
    </w:p>
    <w:p w:rsidR="009031E0" w:rsidRPr="001A622D" w:rsidP="009031E0">
      <w:pPr>
        <w:pStyle w:val="ListParagraph"/>
        <w:numPr>
          <w:ilvl w:val="0"/>
          <w:numId w:val="2"/>
        </w:numPr>
        <w:jc w:val="both"/>
      </w:pPr>
      <w:r w:rsidRPr="001A622D">
        <w:t xml:space="preserve">Aplikace efektivní sazby DPH na předpokládanou </w:t>
      </w:r>
      <w:r w:rsidRPr="001A622D" w:rsidR="00DD4A2D">
        <w:t>přidanou hodnotu</w:t>
      </w:r>
      <w:r w:rsidRPr="001A622D">
        <w:t xml:space="preserve"> v sektoru maloobchodu: 18,83 % * 26,1 mld. Kč = 4,9 mld. Kč</w:t>
      </w:r>
    </w:p>
    <w:p w:rsidR="009031E0" w:rsidRPr="001A622D" w:rsidP="009031E0">
      <w:pPr>
        <w:pStyle w:val="ListParagraph"/>
        <w:numPr>
          <w:ilvl w:val="0"/>
          <w:numId w:val="2"/>
        </w:numPr>
        <w:jc w:val="both"/>
      </w:pPr>
      <w:r w:rsidRPr="001A622D">
        <w:t xml:space="preserve">Aplikace efektivní sazby DPH na předpokládanou </w:t>
      </w:r>
      <w:r w:rsidRPr="001A622D" w:rsidR="00DD4A2D">
        <w:t>přidanou hodnotu</w:t>
      </w:r>
      <w:r w:rsidRPr="001A622D">
        <w:t xml:space="preserve"> v sektoru stravovacích služeb: 18,83 % * 5,6 mld. Kč = 1,1 mld. Kč</w:t>
      </w:r>
    </w:p>
    <w:p w:rsidR="009031E0" w:rsidP="009031E0">
      <w:pPr>
        <w:pStyle w:val="ListParagraph"/>
        <w:numPr>
          <w:ilvl w:val="0"/>
          <w:numId w:val="2"/>
        </w:numPr>
        <w:pBdr>
          <w:bottom w:val="single" w:sz="6" w:space="1" w:color="auto"/>
        </w:pBdr>
        <w:jc w:val="both"/>
      </w:pPr>
      <w:r w:rsidRPr="001A622D">
        <w:t>Celkový předpokládaný rozpočtový dopad za sektory maloobchodu a stravo</w:t>
      </w:r>
      <w:r w:rsidRPr="001A622D" w:rsidR="00DD4A2D">
        <w:t>vacích služeb činí 6,0 mld. Kč;</w:t>
      </w:r>
      <w:r w:rsidRPr="001A622D">
        <w:t xml:space="preserve"> po započtení dopadu zavedení snížené sazby DPH v restauracích (- 0,5 mld. Kč) činí celkový rozpočtový dopad v za sektory maloobchodu a stravovacích služeb </w:t>
      </w:r>
      <w:r w:rsidRPr="001C1934">
        <w:rPr>
          <w:b/>
        </w:rPr>
        <w:t>5,5 mld. Kč</w:t>
      </w:r>
    </w:p>
    <w:p w:rsidR="00871CAD" w:rsidRPr="001A622D" w:rsidP="00871CAD">
      <w:pPr>
        <w:ind w:left="372"/>
        <w:rPr>
          <w:rFonts w:cs="Times New Roman"/>
          <w:b/>
          <w:sz w:val="24"/>
          <w:szCs w:val="24"/>
        </w:rPr>
      </w:pPr>
      <w:r w:rsidRPr="001A622D">
        <w:rPr>
          <w:rFonts w:cs="Times New Roman"/>
          <w:b/>
          <w:sz w:val="24"/>
          <w:szCs w:val="24"/>
        </w:rPr>
        <w:t>DPPO a D</w:t>
      </w:r>
      <w:r w:rsidRPr="001A622D" w:rsidR="005B5774">
        <w:rPr>
          <w:rFonts w:cs="Times New Roman"/>
          <w:b/>
          <w:sz w:val="24"/>
          <w:szCs w:val="24"/>
        </w:rPr>
        <w:t>PFO</w:t>
      </w:r>
    </w:p>
    <w:p w:rsidR="000B063A" w:rsidRPr="001A622D" w:rsidP="009F5E54">
      <w:pPr>
        <w:pStyle w:val="ListParagraph"/>
        <w:numPr>
          <w:ilvl w:val="0"/>
          <w:numId w:val="2"/>
        </w:numPr>
        <w:jc w:val="both"/>
      </w:pPr>
      <w:r w:rsidRPr="001A622D">
        <w:t>Stejně jako v případě DPH je výpočet založen na údajích chorvatského ministerstva financí, které byly přizpůsobeny na podmínky České republiky.</w:t>
      </w:r>
    </w:p>
    <w:p w:rsidR="00871CAD" w:rsidRPr="001A622D" w:rsidP="009F5E54">
      <w:pPr>
        <w:pStyle w:val="ListParagraph"/>
        <w:numPr>
          <w:ilvl w:val="0"/>
          <w:numId w:val="2"/>
        </w:numPr>
        <w:jc w:val="both"/>
      </w:pPr>
      <w:r w:rsidRPr="001A622D">
        <w:t>Na základě výše uvedeného postupu je předpokládáno, že by mělo dojít k nárůstu základu daně</w:t>
      </w:r>
      <w:r w:rsidRPr="001A622D" w:rsidR="00703CE5">
        <w:t xml:space="preserve"> z příjmů</w:t>
      </w:r>
      <w:r w:rsidRPr="001A622D">
        <w:t xml:space="preserve"> </w:t>
      </w:r>
      <w:r w:rsidRPr="001A622D" w:rsidR="00703CE5">
        <w:t>o 31,7 mld. Kč. Základ daně</w:t>
      </w:r>
      <w:r w:rsidRPr="001A622D">
        <w:t xml:space="preserve"> je</w:t>
      </w:r>
      <w:r w:rsidRPr="001A622D" w:rsidR="00703CE5">
        <w:t xml:space="preserve"> nutné rozdělit na část připadající daňovým subjektům – fyzické osoby,</w:t>
      </w:r>
      <w:r w:rsidRPr="001A622D">
        <w:t xml:space="preserve"> a</w:t>
      </w:r>
      <w:r w:rsidRPr="001A622D" w:rsidR="00703CE5">
        <w:t xml:space="preserve"> daňovým subjektům – právnické </w:t>
      </w:r>
      <w:r w:rsidRPr="001A622D" w:rsidR="00303624">
        <w:t xml:space="preserve">osoby. </w:t>
      </w:r>
      <w:r w:rsidRPr="00BB13D1" w:rsidR="00303624">
        <w:t>Přičemž je nutné zohlednit</w:t>
      </w:r>
      <w:r w:rsidRPr="00BB13D1">
        <w:t xml:space="preserve"> a zároveň, v případě nutnosti upravit z titulu toho, že ne všichni jsou plátcem DPH.</w:t>
      </w:r>
      <w:r w:rsidRPr="001A622D">
        <w:t xml:space="preserve"> </w:t>
      </w:r>
    </w:p>
    <w:p w:rsidR="00786BE6" w:rsidRPr="001A622D" w:rsidP="009F5E54">
      <w:pPr>
        <w:pStyle w:val="ListParagraph"/>
        <w:numPr>
          <w:ilvl w:val="0"/>
          <w:numId w:val="2"/>
        </w:numPr>
        <w:jc w:val="both"/>
      </w:pPr>
      <w:r w:rsidRPr="001A622D">
        <w:t>Rozdělení</w:t>
      </w:r>
      <w:r w:rsidRPr="001A622D" w:rsidR="00303624">
        <w:t xml:space="preserve"> základu daně na</w:t>
      </w:r>
      <w:r w:rsidRPr="001A622D">
        <w:t xml:space="preserve"> </w:t>
      </w:r>
      <w:r w:rsidRPr="001A622D" w:rsidR="00303624">
        <w:t>fyzické a právnické osoby bylo provedeno pomocí údajů Českého statistického úřadu,</w:t>
      </w:r>
      <w:r w:rsidRPr="001A622D">
        <w:t xml:space="preserve"> který odhaduje velikost nepřiznaných tržeb v</w:t>
      </w:r>
      <w:r w:rsidRPr="001A622D" w:rsidR="00FF592D">
        <w:t> </w:t>
      </w:r>
      <w:r w:rsidRPr="001A622D">
        <w:t>ekonomice</w:t>
      </w:r>
      <w:r w:rsidRPr="001A622D" w:rsidR="00FF592D">
        <w:t xml:space="preserve"> (tento údaj není veřejně publikován)</w:t>
      </w:r>
      <w:r w:rsidRPr="001A622D">
        <w:t xml:space="preserve">. </w:t>
      </w:r>
      <w:r w:rsidRPr="001A622D">
        <w:t xml:space="preserve">Rozdělení nárůstu základu daně </w:t>
      </w:r>
      <w:r w:rsidRPr="001A622D" w:rsidR="000449C7">
        <w:t>bylo stanoveno následovně</w:t>
      </w:r>
      <w:r w:rsidRPr="001A622D">
        <w:t>:</w:t>
      </w:r>
    </w:p>
    <w:p w:rsidR="00786BE6" w:rsidRPr="001A622D" w:rsidP="00786BE6">
      <w:pPr>
        <w:pStyle w:val="ListParagraph"/>
        <w:numPr>
          <w:ilvl w:val="1"/>
          <w:numId w:val="2"/>
        </w:numPr>
        <w:jc w:val="both"/>
      </w:pPr>
      <w:r w:rsidRPr="001A622D">
        <w:t>Fyzické osoby: 21</w:t>
      </w:r>
      <w:r w:rsidR="00F93C15">
        <w:t>,2</w:t>
      </w:r>
      <w:r w:rsidRPr="001A622D">
        <w:t xml:space="preserve"> mld. Kč</w:t>
      </w:r>
    </w:p>
    <w:p w:rsidR="00786BE6" w:rsidRPr="001A622D" w:rsidP="00786BE6">
      <w:pPr>
        <w:pStyle w:val="ListParagraph"/>
        <w:numPr>
          <w:ilvl w:val="1"/>
          <w:numId w:val="2"/>
        </w:numPr>
        <w:jc w:val="both"/>
      </w:pPr>
      <w:r w:rsidRPr="001A622D">
        <w:t>Právnické osoby: 10,5 mld. Kč</w:t>
      </w:r>
    </w:p>
    <w:p w:rsidR="00786BE6" w:rsidRPr="00EF59BE" w:rsidP="00786BE6">
      <w:pPr>
        <w:pStyle w:val="ListParagraph"/>
        <w:numPr>
          <w:ilvl w:val="1"/>
          <w:numId w:val="2"/>
        </w:numPr>
        <w:jc w:val="both"/>
      </w:pPr>
      <w:r w:rsidRPr="001A622D">
        <w:t>Celkem</w:t>
      </w:r>
      <w:r w:rsidRPr="00EF59BE">
        <w:t>: 31,7 mld. Kč</w:t>
      </w:r>
    </w:p>
    <w:p w:rsidR="00FA7E72" w:rsidRPr="00EF59BE" w:rsidP="009F5E54">
      <w:pPr>
        <w:pStyle w:val="ListParagraph"/>
        <w:numPr>
          <w:ilvl w:val="0"/>
          <w:numId w:val="2"/>
        </w:numPr>
        <w:jc w:val="both"/>
      </w:pPr>
      <w:r w:rsidRPr="00EF59BE">
        <w:t>Dopad na inkaso daně z příjmů právnických</w:t>
      </w:r>
      <w:r w:rsidRPr="00EF59BE" w:rsidR="00F820AD">
        <w:t xml:space="preserve"> osob</w:t>
      </w:r>
      <w:r w:rsidRPr="00EF59BE" w:rsidR="000449C7">
        <w:t>: 10,5 mld. Kč (zvýšený základ</w:t>
      </w:r>
      <w:r w:rsidRPr="00EF59BE">
        <w:t xml:space="preserve"> daně</w:t>
      </w:r>
      <w:r w:rsidRPr="00EF59BE" w:rsidR="000449C7">
        <w:t>) *</w:t>
      </w:r>
      <w:r w:rsidRPr="00EF59BE">
        <w:t xml:space="preserve"> 19</w:t>
      </w:r>
      <w:r w:rsidRPr="00EF59BE" w:rsidR="000449C7">
        <w:t xml:space="preserve"> </w:t>
      </w:r>
      <w:r w:rsidRPr="00EF59BE">
        <w:t xml:space="preserve">% </w:t>
      </w:r>
      <w:r w:rsidRPr="00EF59BE" w:rsidR="000449C7">
        <w:t>(</w:t>
      </w:r>
      <w:r w:rsidRPr="00EF59BE" w:rsidR="00221A55">
        <w:t>sazba</w:t>
      </w:r>
      <w:r w:rsidRPr="00EF59BE">
        <w:t xml:space="preserve"> daně</w:t>
      </w:r>
      <w:r w:rsidRPr="00EF59BE" w:rsidR="000449C7">
        <w:t>) =</w:t>
      </w:r>
      <w:r w:rsidRPr="00EF59BE">
        <w:t xml:space="preserve"> </w:t>
      </w:r>
      <w:r w:rsidRPr="001C1934">
        <w:rPr>
          <w:b/>
        </w:rPr>
        <w:t>2 mld. Kč</w:t>
      </w:r>
      <w:r w:rsidRPr="00EF59BE">
        <w:t xml:space="preserve">. </w:t>
      </w:r>
    </w:p>
    <w:p w:rsidR="00A31486" w:rsidRPr="003D45E7" w:rsidP="009F5E54">
      <w:pPr>
        <w:pStyle w:val="ListParagraph"/>
        <w:numPr>
          <w:ilvl w:val="0"/>
          <w:numId w:val="2"/>
        </w:numPr>
        <w:jc w:val="both"/>
      </w:pPr>
      <w:r w:rsidRPr="003D45E7">
        <w:t>Dopad na inkaso daně z příjmů fyzických osob je obdobný jako u právnických osob, ale zde je nutné zohlednit fakt, že ne všechny fyzické osoby jsou plátci DPH.</w:t>
      </w:r>
      <w:r w:rsidRPr="003D45E7" w:rsidR="00871CAD">
        <w:t xml:space="preserve"> Z</w:t>
      </w:r>
      <w:r w:rsidRPr="003D45E7">
        <w:t>áklad daně</w:t>
      </w:r>
      <w:r w:rsidRPr="003D45E7" w:rsidR="00871CAD">
        <w:t xml:space="preserve"> pro </w:t>
      </w:r>
      <w:r w:rsidRPr="003D45E7">
        <w:t xml:space="preserve">výpočet dopadu na daň z příjmu fyzických osob </w:t>
      </w:r>
      <w:r w:rsidRPr="003D45E7" w:rsidR="00871CAD">
        <w:t xml:space="preserve">tedy musí být vyšší než </w:t>
      </w:r>
      <w:r w:rsidRPr="003D45E7">
        <w:t>základ daně pro</w:t>
      </w:r>
      <w:r w:rsidRPr="003D45E7" w:rsidR="00871CAD">
        <w:t xml:space="preserve"> DPH. Z konzervativního důvodu </w:t>
      </w:r>
      <w:r w:rsidRPr="003D45E7">
        <w:t>byl</w:t>
      </w:r>
      <w:r w:rsidRPr="003D45E7" w:rsidR="00EF59BE">
        <w:t xml:space="preserve"> raději</w:t>
      </w:r>
      <w:r w:rsidRPr="003D45E7">
        <w:t xml:space="preserve"> použit</w:t>
      </w:r>
      <w:r w:rsidRPr="003D45E7" w:rsidR="00EF59BE">
        <w:t xml:space="preserve"> nízký</w:t>
      </w:r>
      <w:r w:rsidRPr="003D45E7">
        <w:t xml:space="preserve"> </w:t>
      </w:r>
      <w:r w:rsidRPr="003D45E7" w:rsidR="00F93C15">
        <w:t>koeficient 1,6</w:t>
      </w:r>
      <w:r w:rsidRPr="003D45E7" w:rsidR="00EF59BE">
        <w:t>. Tento koeficient vyjadřuje fakt, že pouze část fyzických osob jsou plátci DPH (</w:t>
      </w:r>
      <w:r w:rsidRPr="003D45E7">
        <w:t>fyzických osob, kteří jsou plátci DPH</w:t>
      </w:r>
      <w:r w:rsidRPr="003D45E7" w:rsidR="00A72889">
        <w:t>,</w:t>
      </w:r>
      <w:r w:rsidRPr="003D45E7">
        <w:t xml:space="preserve"> je ve skutečnosti cca 30 %).</w:t>
      </w:r>
    </w:p>
    <w:p w:rsidR="001C1934" w:rsidRPr="001C1934" w:rsidP="001C1934">
      <w:pPr>
        <w:pStyle w:val="ListParagraph"/>
        <w:numPr>
          <w:ilvl w:val="0"/>
          <w:numId w:val="2"/>
        </w:numPr>
        <w:pBdr>
          <w:bottom w:val="single" w:sz="6" w:space="1" w:color="auto"/>
        </w:pBdr>
        <w:jc w:val="both"/>
        <w:rPr>
          <w:i/>
        </w:rPr>
      </w:pPr>
      <w:r w:rsidRPr="001A622D">
        <w:t>Dopad na inkaso daně z příjmů fyzických osob</w:t>
      </w:r>
      <w:r w:rsidRPr="001A622D" w:rsidR="00927132">
        <w:t>:</w:t>
      </w:r>
      <w:r w:rsidRPr="001A622D" w:rsidR="00F820AD">
        <w:t xml:space="preserve"> </w:t>
      </w:r>
      <w:r w:rsidR="00F93C15">
        <w:t>33,9</w:t>
      </w:r>
      <w:r w:rsidR="00EF59BE">
        <w:t xml:space="preserve"> mld. Kč (</w:t>
      </w:r>
      <w:r w:rsidRPr="001A622D" w:rsidR="00927132">
        <w:t>základ daně</w:t>
      </w:r>
      <w:r w:rsidR="00EF59BE">
        <w:t>*1,6</w:t>
      </w:r>
      <w:r w:rsidRPr="001A622D" w:rsidR="00927132">
        <w:t>) *</w:t>
      </w:r>
      <w:r w:rsidRPr="001A622D" w:rsidR="002E2B09">
        <w:t xml:space="preserve"> 15</w:t>
      </w:r>
      <w:r w:rsidRPr="001A622D" w:rsidR="00927132">
        <w:t xml:space="preserve"> % (sazba</w:t>
      </w:r>
      <w:r w:rsidRPr="001A622D" w:rsidR="002E2B09">
        <w:t xml:space="preserve"> daně</w:t>
      </w:r>
      <w:r w:rsidRPr="001A622D" w:rsidR="00927132">
        <w:t>) =</w:t>
      </w:r>
      <w:r w:rsidRPr="001A622D" w:rsidR="002E2B09">
        <w:t xml:space="preserve"> </w:t>
      </w:r>
      <w:r>
        <w:rPr>
          <w:b/>
        </w:rPr>
        <w:t>5 mld. Kč</w:t>
      </w:r>
      <w:r>
        <w:t>.</w:t>
      </w:r>
    </w:p>
    <w:p w:rsidR="001C1934" w:rsidP="001C1934">
      <w:pPr>
        <w:pStyle w:val="ListParagraph"/>
        <w:rPr>
          <w:i/>
          <w:sz w:val="24"/>
        </w:rPr>
      </w:pPr>
    </w:p>
    <w:p w:rsidR="001C1934" w:rsidRPr="001C1934" w:rsidP="001C1934">
      <w:pPr>
        <w:pStyle w:val="ListParagraph"/>
        <w:numPr>
          <w:ilvl w:val="0"/>
          <w:numId w:val="12"/>
        </w:numPr>
        <w:rPr>
          <w:i/>
          <w:sz w:val="24"/>
        </w:rPr>
      </w:pPr>
      <w:r w:rsidRPr="001C1934">
        <w:rPr>
          <w:i/>
          <w:sz w:val="24"/>
        </w:rPr>
        <w:t xml:space="preserve">fáze </w:t>
      </w:r>
      <w:r w:rsidRPr="001C1934">
        <w:rPr>
          <w:i/>
          <w:sz w:val="24"/>
        </w:rPr>
        <w:t xml:space="preserve">a 4. </w:t>
      </w:r>
      <w:r w:rsidR="004A7BD9">
        <w:rPr>
          <w:i/>
          <w:sz w:val="24"/>
        </w:rPr>
        <w:t>f</w:t>
      </w:r>
      <w:r w:rsidRPr="001C1934">
        <w:rPr>
          <w:i/>
          <w:sz w:val="24"/>
        </w:rPr>
        <w:t>áze</w:t>
      </w:r>
    </w:p>
    <w:p w:rsidR="00F83B58" w:rsidRPr="001C1934" w:rsidP="001C1934">
      <w:pPr>
        <w:ind w:left="360"/>
        <w:rPr>
          <w:i/>
          <w:sz w:val="24"/>
        </w:rPr>
      </w:pPr>
      <w:r w:rsidRPr="001C1934">
        <w:rPr>
          <w:b/>
        </w:rPr>
        <w:t>DPH</w:t>
      </w:r>
    </w:p>
    <w:p w:rsidR="009F5E54" w:rsidRPr="001A622D" w:rsidP="001A622D">
      <w:pPr>
        <w:pStyle w:val="ListParagraph"/>
        <w:numPr>
          <w:ilvl w:val="0"/>
          <w:numId w:val="6"/>
        </w:numPr>
        <w:jc w:val="both"/>
      </w:pPr>
      <w:r w:rsidRPr="001A622D">
        <w:t xml:space="preserve">Při odhadech </w:t>
      </w:r>
      <w:r w:rsidRPr="001A622D" w:rsidR="00EB199C">
        <w:t xml:space="preserve">fiskálních </w:t>
      </w:r>
      <w:r w:rsidRPr="001A622D">
        <w:t xml:space="preserve">dopadů 3. a 4. fáze </w:t>
      </w:r>
      <w:r w:rsidRPr="001A622D" w:rsidR="00EB199C">
        <w:t>j</w:t>
      </w:r>
      <w:r w:rsidRPr="001A622D">
        <w:t>iž</w:t>
      </w:r>
      <w:r w:rsidRPr="001A622D" w:rsidR="00EB199C">
        <w:t xml:space="preserve"> nebylo možné použít data poskytnuté chorvatským ministerstvem financí</w:t>
      </w:r>
      <w:r w:rsidRPr="001A622D" w:rsidR="00170A72">
        <w:t>, neboť poskytnutá data obsahovala jen růsty tržeb ve vybraných sektorech (maloobchod</w:t>
      </w:r>
      <w:r w:rsidRPr="001A622D" w:rsidR="00814609">
        <w:t>, stravovací služby</w:t>
      </w:r>
      <w:r w:rsidRPr="001A622D" w:rsidR="00170A72">
        <w:t>, kadeřnice, kosmetič</w:t>
      </w:r>
      <w:r w:rsidRPr="001A622D" w:rsidR="0040384C">
        <w:t>k</w:t>
      </w:r>
      <w:r w:rsidRPr="001A622D" w:rsidR="00170A72">
        <w:t>y)</w:t>
      </w:r>
      <w:r w:rsidRPr="001A622D" w:rsidR="005E46C1">
        <w:t xml:space="preserve">. </w:t>
      </w:r>
      <w:r w:rsidRPr="006B2A90" w:rsidR="005E46C1">
        <w:t>Avšak z těchto výsledků lze alespoň odvodit očekávání</w:t>
      </w:r>
      <w:r w:rsidRPr="006B2A90" w:rsidR="006B2A90">
        <w:t>, že tržby v ostatních sektorech neporostou tak razantně jako v</w:t>
      </w:r>
      <w:r w:rsidRPr="006B2A90" w:rsidR="005E46C1">
        <w:t xml:space="preserve"> sektoru pohostinství. Z tohoto důvodu </w:t>
      </w:r>
      <w:r w:rsidRPr="006B2A90" w:rsidR="00C86422">
        <w:t xml:space="preserve">se </w:t>
      </w:r>
      <w:r w:rsidRPr="006B2A90" w:rsidR="005E46C1">
        <w:t xml:space="preserve">ve 3. a </w:t>
      </w:r>
      <w:r w:rsidRPr="006B2A90" w:rsidR="00C86422">
        <w:t>4. fázi</w:t>
      </w:r>
      <w:r w:rsidRPr="006B2A90" w:rsidR="005E46C1">
        <w:t xml:space="preserve"> již</w:t>
      </w:r>
      <w:r w:rsidRPr="006B2A90" w:rsidR="00C86422">
        <w:t xml:space="preserve"> neočekává</w:t>
      </w:r>
      <w:r w:rsidRPr="001A622D" w:rsidR="005E46C1">
        <w:t xml:space="preserve"> tak velké růsty tržeb a z nich plynoucího inkasa daní jako v 1. a 2. fázi. </w:t>
      </w:r>
    </w:p>
    <w:p w:rsidR="003B529D" w:rsidRPr="001A622D" w:rsidP="001A622D">
      <w:pPr>
        <w:pStyle w:val="ListParagraph"/>
        <w:numPr>
          <w:ilvl w:val="0"/>
          <w:numId w:val="6"/>
        </w:numPr>
        <w:jc w:val="both"/>
      </w:pPr>
      <w:r w:rsidRPr="001A622D">
        <w:t xml:space="preserve">Na místo </w:t>
      </w:r>
      <w:r w:rsidRPr="001A622D" w:rsidR="002F02C9">
        <w:t xml:space="preserve">chorvatských </w:t>
      </w:r>
      <w:r w:rsidRPr="001A622D">
        <w:t>podklad</w:t>
      </w:r>
      <w:r w:rsidRPr="001A622D" w:rsidR="002F02C9">
        <w:t xml:space="preserve">ů, </w:t>
      </w:r>
      <w:r w:rsidRPr="001A622D" w:rsidR="00217F2E">
        <w:t>k</w:t>
      </w:r>
      <w:r w:rsidRPr="001A622D">
        <w:t>teré bylo možné použí</w:t>
      </w:r>
      <w:r w:rsidRPr="001A622D" w:rsidR="002F02C9">
        <w:t>t</w:t>
      </w:r>
      <w:r w:rsidRPr="001A622D">
        <w:t xml:space="preserve"> při výpočtu </w:t>
      </w:r>
      <w:r w:rsidRPr="001A622D" w:rsidR="002F02C9">
        <w:t xml:space="preserve">fiskálních dopadů </w:t>
      </w:r>
      <w:r w:rsidRPr="001A622D">
        <w:t xml:space="preserve">1. </w:t>
      </w:r>
      <w:r w:rsidR="006C46C0">
        <w:br/>
      </w:r>
      <w:r w:rsidRPr="001A622D" w:rsidR="002F02C9">
        <w:t xml:space="preserve">a 2. fáze, byly pro kvantifikaci dopadů 3. a 4. fáze </w:t>
      </w:r>
      <w:r w:rsidRPr="001A622D">
        <w:t>využit</w:t>
      </w:r>
      <w:r w:rsidR="006B2A90">
        <w:t>a</w:t>
      </w:r>
      <w:r w:rsidRPr="001A622D">
        <w:t xml:space="preserve"> data Č</w:t>
      </w:r>
      <w:r w:rsidRPr="001A622D" w:rsidR="002F02C9">
        <w:t xml:space="preserve">eského statistického úřadu </w:t>
      </w:r>
      <w:r w:rsidR="006C46C0">
        <w:br/>
      </w:r>
      <w:r w:rsidRPr="001A622D">
        <w:t>o výši nepřiznaných tržeb v jednotlivých odvětvích</w:t>
      </w:r>
      <w:r w:rsidR="006B2A90">
        <w:t>.</w:t>
      </w:r>
      <w:r w:rsidRPr="001A622D" w:rsidR="00AD3487">
        <w:t xml:space="preserve"> S ohledem na postupný náběh 3. a 4. fáz</w:t>
      </w:r>
      <w:r w:rsidRPr="001A622D">
        <w:t>e</w:t>
      </w:r>
      <w:r w:rsidRPr="001A622D" w:rsidR="00D06CE5">
        <w:t xml:space="preserve"> byly údaje</w:t>
      </w:r>
      <w:r w:rsidRPr="001A622D" w:rsidR="007E6837">
        <w:t xml:space="preserve"> o nepřiznaných tržbác</w:t>
      </w:r>
      <w:r w:rsidR="006B2A90">
        <w:t>h rozděleny do jednotlivých etap</w:t>
      </w:r>
      <w:r w:rsidRPr="001A622D" w:rsidR="007E6837">
        <w:t xml:space="preserve"> dle</w:t>
      </w:r>
      <w:r w:rsidR="006B2A90">
        <w:t xml:space="preserve"> náběhu</w:t>
      </w:r>
      <w:r w:rsidRPr="001A622D" w:rsidR="007E6837">
        <w:t xml:space="preserve"> sektorů, které se do jednotlivých fází budou</w:t>
      </w:r>
      <w:r w:rsidRPr="001A622D" w:rsidR="00217F2E">
        <w:t xml:space="preserve"> postupně </w:t>
      </w:r>
      <w:r w:rsidRPr="001A622D" w:rsidR="00463A35">
        <w:t>zapojovat.</w:t>
      </w:r>
    </w:p>
    <w:tbl>
      <w:tblPr>
        <w:tblW w:w="91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7"/>
        <w:gridCol w:w="4597"/>
      </w:tblGrid>
      <w:tr w:rsidTr="004A7BD9">
        <w:tblPrEx>
          <w:tblW w:w="9194" w:type="dxa"/>
          <w:tblInd w:w="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41"/>
        </w:trPr>
        <w:tc>
          <w:tcPr>
            <w:tcW w:w="4597" w:type="dxa"/>
            <w:shd w:val="clear" w:color="auto" w:fill="D9D9D9" w:themeFill="background1" w:themeFillShade="D9"/>
            <w:noWrap/>
            <w:vAlign w:val="bottom"/>
          </w:tcPr>
          <w:p w:rsidR="003B529D" w:rsidRPr="001A622D" w:rsidP="003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97" w:type="dxa"/>
            <w:shd w:val="clear" w:color="auto" w:fill="D9D9D9" w:themeFill="background1" w:themeFillShade="D9"/>
            <w:noWrap/>
            <w:vAlign w:val="bottom"/>
          </w:tcPr>
          <w:p w:rsidR="003B529D" w:rsidRPr="006B2A90" w:rsidP="003B52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A90">
              <w:rPr>
                <w:rFonts w:ascii="Calibri" w:eastAsia="Times New Roman" w:hAnsi="Calibri" w:cs="Times New Roman"/>
                <w:color w:val="000000"/>
              </w:rPr>
              <w:t>Nepřiznané tržby v mld</w:t>
            </w:r>
            <w:r w:rsidRPr="006B2A90">
              <w:rPr>
                <w:rFonts w:ascii="Calibri" w:eastAsia="Times New Roman" w:hAnsi="Calibri" w:cs="Times New Roman"/>
                <w:color w:val="000000"/>
              </w:rPr>
              <w:t>. Kč</w:t>
            </w:r>
          </w:p>
        </w:tc>
      </w:tr>
      <w:tr w:rsidTr="0022680A">
        <w:tblPrEx>
          <w:tblW w:w="9194" w:type="dxa"/>
          <w:tblInd w:w="93" w:type="dxa"/>
          <w:tblLook w:val="04A0"/>
        </w:tblPrEx>
        <w:trPr>
          <w:trHeight w:val="441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529D" w:rsidRPr="006B2A90" w:rsidP="003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2A90">
              <w:rPr>
                <w:rFonts w:ascii="Calibri" w:eastAsia="Times New Roman" w:hAnsi="Calibri" w:cs="Times New Roman"/>
                <w:color w:val="000000"/>
              </w:rPr>
              <w:t xml:space="preserve">3. </w:t>
            </w:r>
            <w:r w:rsidRPr="006B2A90" w:rsidR="001A622D">
              <w:rPr>
                <w:rFonts w:ascii="Calibri" w:eastAsia="Times New Roman" w:hAnsi="Calibri" w:cs="Times New Roman"/>
                <w:color w:val="000000"/>
              </w:rPr>
              <w:t>fá</w:t>
            </w:r>
            <w:r w:rsidRPr="006B2A90" w:rsidR="00814609">
              <w:rPr>
                <w:rFonts w:ascii="Calibri" w:eastAsia="Times New Roman" w:hAnsi="Calibri" w:cs="Times New Roman"/>
                <w:color w:val="000000"/>
              </w:rPr>
              <w:t>ze</w:t>
            </w:r>
          </w:p>
        </w:tc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529D" w:rsidRPr="006B2A90" w:rsidP="003B52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A90">
              <w:rPr>
                <w:rFonts w:ascii="Calibri" w:eastAsia="Times New Roman" w:hAnsi="Calibri" w:cs="Times New Roman"/>
                <w:color w:val="000000"/>
              </w:rPr>
              <w:t>65</w:t>
            </w:r>
            <w:r w:rsidRPr="006B2A90" w:rsidR="00AC52EE">
              <w:rPr>
                <w:rFonts w:ascii="Calibri" w:eastAsia="Times New Roman" w:hAnsi="Calibri" w:cs="Times New Roman"/>
                <w:color w:val="000000"/>
              </w:rPr>
              <w:t>,3</w:t>
            </w:r>
          </w:p>
        </w:tc>
      </w:tr>
      <w:tr w:rsidTr="0022680A">
        <w:tblPrEx>
          <w:tblW w:w="9194" w:type="dxa"/>
          <w:tblInd w:w="93" w:type="dxa"/>
          <w:tblLook w:val="04A0"/>
        </w:tblPrEx>
        <w:trPr>
          <w:trHeight w:val="441"/>
        </w:trPr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529D" w:rsidRPr="006B2A90" w:rsidP="003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2A90">
              <w:rPr>
                <w:rFonts w:ascii="Calibri" w:eastAsia="Times New Roman" w:hAnsi="Calibri" w:cs="Times New Roman"/>
                <w:color w:val="000000"/>
              </w:rPr>
              <w:t>4.</w:t>
            </w:r>
            <w:r w:rsidRPr="006B2A90" w:rsidR="009C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B2A90" w:rsidR="001A622D">
              <w:rPr>
                <w:rFonts w:ascii="Calibri" w:eastAsia="Times New Roman" w:hAnsi="Calibri" w:cs="Times New Roman"/>
                <w:color w:val="000000"/>
              </w:rPr>
              <w:t>fá</w:t>
            </w:r>
            <w:r w:rsidRPr="006B2A90" w:rsidR="00814609">
              <w:rPr>
                <w:rFonts w:ascii="Calibri" w:eastAsia="Times New Roman" w:hAnsi="Calibri" w:cs="Times New Roman"/>
                <w:color w:val="000000"/>
              </w:rPr>
              <w:t>ze</w:t>
            </w:r>
          </w:p>
        </w:tc>
        <w:tc>
          <w:tcPr>
            <w:tcW w:w="4597" w:type="dxa"/>
            <w:shd w:val="clear" w:color="auto" w:fill="auto"/>
            <w:noWrap/>
            <w:vAlign w:val="bottom"/>
            <w:hideMark/>
          </w:tcPr>
          <w:p w:rsidR="003B529D" w:rsidRPr="006B2A90" w:rsidP="003B52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2A90">
              <w:rPr>
                <w:rFonts w:ascii="Calibri" w:eastAsia="Times New Roman" w:hAnsi="Calibri" w:cs="Times New Roman"/>
                <w:color w:val="000000"/>
              </w:rPr>
              <w:t>41</w:t>
            </w:r>
            <w:r w:rsidRPr="006B2A90" w:rsidR="00AC52EE">
              <w:rPr>
                <w:rFonts w:ascii="Calibri" w:eastAsia="Times New Roman" w:hAnsi="Calibri" w:cs="Times New Roman"/>
                <w:color w:val="000000"/>
              </w:rPr>
              <w:t>,7</w:t>
            </w:r>
          </w:p>
        </w:tc>
      </w:tr>
    </w:tbl>
    <w:p w:rsidR="003B529D" w:rsidRPr="006B2A90" w:rsidP="00ED6026">
      <w:r w:rsidRPr="006B2A90">
        <w:t>Zdroj: ČSÚ</w:t>
      </w:r>
    </w:p>
    <w:p w:rsidR="00F83B58" w:rsidRPr="001A622D" w:rsidP="001A622D">
      <w:pPr>
        <w:pStyle w:val="ListParagraph"/>
        <w:numPr>
          <w:ilvl w:val="0"/>
          <w:numId w:val="7"/>
        </w:numPr>
        <w:jc w:val="both"/>
      </w:pPr>
      <w:r w:rsidRPr="006B2A90">
        <w:t>I když uvedené hodnoty za n</w:t>
      </w:r>
      <w:r w:rsidRPr="006B2A90" w:rsidR="005F35CF">
        <w:t>epřiznané tržby dosahují cca 107</w:t>
      </w:r>
      <w:r w:rsidRPr="006B2A90">
        <w:t xml:space="preserve"> mld. Kč, tak</w:t>
      </w:r>
      <w:r w:rsidRPr="001A622D">
        <w:t xml:space="preserve"> z důvodu </w:t>
      </w:r>
      <w:r w:rsidR="00932A31">
        <w:t xml:space="preserve">opět </w:t>
      </w:r>
      <w:r w:rsidRPr="001A622D">
        <w:t>konzervativního přístupu ke kvantifikaci dopadů 3. a 4. fáze</w:t>
      </w:r>
      <w:r w:rsidRPr="001A622D">
        <w:t xml:space="preserve"> byl použit předpoklad, že se nepodaří zachytit celý objem nepřiznaných tržeb. </w:t>
      </w:r>
      <w:r w:rsidRPr="001A622D" w:rsidR="0022680A">
        <w:t xml:space="preserve">Koeficient, který upravuje tuto skutečnost, byl stanoven expertním odhadem na 25 %, tj. podaří se zachytit </w:t>
      </w:r>
      <w:r w:rsidRPr="001A622D" w:rsidR="00814609">
        <w:t>75 %</w:t>
      </w:r>
      <w:r w:rsidRPr="001A622D" w:rsidR="0022680A">
        <w:t xml:space="preserve"> nepřiznaných tržeb.  </w:t>
      </w:r>
    </w:p>
    <w:p w:rsidR="0022680A" w:rsidRPr="001A622D" w:rsidP="001A622D">
      <w:pPr>
        <w:pStyle w:val="ListParagraph"/>
        <w:numPr>
          <w:ilvl w:val="0"/>
          <w:numId w:val="7"/>
        </w:numPr>
        <w:jc w:val="both"/>
      </w:pPr>
      <w:r w:rsidRPr="001A622D">
        <w:t>Dalším předpokladem, který byl použit pro 3. a 4. fázi</w:t>
      </w:r>
      <w:r w:rsidRPr="001A622D" w:rsidR="00C02181">
        <w:t>, je počet plátců DPH, kteří se do jednotlivých fází budou zapojovat. Podíl plátců DPH v jednotlivých fázích je následující</w:t>
      </w:r>
      <w:r w:rsidRPr="001A622D">
        <w:t>:</w:t>
      </w:r>
    </w:p>
    <w:p w:rsidR="0022680A" w:rsidRPr="001A622D" w:rsidP="001A622D">
      <w:pPr>
        <w:pStyle w:val="ListParagraph"/>
        <w:numPr>
          <w:ilvl w:val="1"/>
          <w:numId w:val="7"/>
        </w:numPr>
        <w:jc w:val="both"/>
      </w:pPr>
      <w:r w:rsidRPr="001A622D">
        <w:t>Ve 3. f</w:t>
      </w:r>
      <w:r w:rsidR="00932A31">
        <w:t>ázi je uvažován 50</w:t>
      </w:r>
      <w:r w:rsidRPr="001A622D">
        <w:t>%</w:t>
      </w:r>
      <w:r w:rsidR="00932A31">
        <w:t xml:space="preserve"> podíl </w:t>
      </w:r>
      <w:r w:rsidRPr="001A622D">
        <w:t>plátců DPH</w:t>
      </w:r>
      <w:r w:rsidR="00932A31">
        <w:t>.</w:t>
      </w:r>
    </w:p>
    <w:p w:rsidR="0022680A" w:rsidRPr="001A622D" w:rsidP="001A622D">
      <w:pPr>
        <w:pStyle w:val="ListParagraph"/>
        <w:numPr>
          <w:ilvl w:val="1"/>
          <w:numId w:val="7"/>
        </w:numPr>
        <w:jc w:val="both"/>
      </w:pPr>
      <w:r w:rsidRPr="001A622D">
        <w:t>Ve 4. f</w:t>
      </w:r>
      <w:r w:rsidR="00932A31">
        <w:t>ázi je uvažován 30</w:t>
      </w:r>
      <w:r w:rsidRPr="001A622D">
        <w:t>%</w:t>
      </w:r>
      <w:r w:rsidR="00932A31">
        <w:t xml:space="preserve"> podíl</w:t>
      </w:r>
      <w:r w:rsidRPr="001A622D">
        <w:t xml:space="preserve"> plátců DPH</w:t>
      </w:r>
      <w:r w:rsidR="00932A31">
        <w:t>.</w:t>
      </w:r>
    </w:p>
    <w:p w:rsidR="0022680A" w:rsidRPr="001A622D" w:rsidP="001A622D">
      <w:pPr>
        <w:pStyle w:val="ListParagraph"/>
        <w:numPr>
          <w:ilvl w:val="1"/>
          <w:numId w:val="7"/>
        </w:numPr>
        <w:jc w:val="both"/>
      </w:pPr>
      <w:r w:rsidRPr="001A622D">
        <w:t>Odhadované podíly vychází z průměrného podílu plátců DPH na všech plátcích v </w:t>
      </w:r>
      <w:r w:rsidRPr="001A622D" w:rsidR="004F6CBE">
        <w:t xml:space="preserve"> ekonomice</w:t>
      </w:r>
      <w:r w:rsidRPr="001A622D">
        <w:t>. Ve 4. fázi se však předpokládá nižší počet plátců, z důvodu vyššího p</w:t>
      </w:r>
      <w:r w:rsidR="00CF4345">
        <w:t>odílu osobních služeb a řemesel.</w:t>
      </w:r>
      <w:r w:rsidRPr="001A622D">
        <w:t xml:space="preserve"> </w:t>
      </w:r>
    </w:p>
    <w:p w:rsidR="00B0699D" w:rsidRPr="001A622D" w:rsidP="001A622D">
      <w:pPr>
        <w:pStyle w:val="ListParagraph"/>
        <w:numPr>
          <w:ilvl w:val="0"/>
          <w:numId w:val="7"/>
        </w:numPr>
        <w:jc w:val="both"/>
      </w:pPr>
      <w:r w:rsidRPr="001A622D">
        <w:t>Pr</w:t>
      </w:r>
      <w:r w:rsidRPr="001A622D" w:rsidR="00E238C5">
        <w:t>o odhad růstu základu daně byla</w:t>
      </w:r>
      <w:r w:rsidRPr="001A622D">
        <w:t xml:space="preserve"> aplikována odhadovaná marže</w:t>
      </w:r>
      <w:r w:rsidRPr="001A622D" w:rsidR="0080105F">
        <w:t xml:space="preserve"> </w:t>
      </w:r>
      <w:r w:rsidRPr="001A622D" w:rsidR="003B4EDD">
        <w:t xml:space="preserve">v daných sektorech </w:t>
      </w:r>
      <w:r w:rsidRPr="001A622D" w:rsidR="0080105F">
        <w:t>ve výši</w:t>
      </w:r>
      <w:r w:rsidRPr="001A622D" w:rsidR="00F63687">
        <w:t xml:space="preserve"> 40</w:t>
      </w:r>
      <w:r w:rsidRPr="001A622D" w:rsidR="00354D14">
        <w:t xml:space="preserve"> % </w:t>
      </w:r>
      <w:r w:rsidRPr="001A622D" w:rsidR="00F63687">
        <w:t>ve 3. fázi a 30</w:t>
      </w:r>
      <w:r w:rsidRPr="001A622D">
        <w:t xml:space="preserve"> %</w:t>
      </w:r>
      <w:r w:rsidRPr="001A622D" w:rsidR="00F63687">
        <w:t xml:space="preserve"> ve 4. fázi</w:t>
      </w:r>
      <w:r w:rsidRPr="001A622D">
        <w:t>.</w:t>
      </w:r>
      <w:r w:rsidRPr="001A622D" w:rsidR="0080105F">
        <w:t xml:space="preserve"> Po zohlednění podílu plátců daně je základ daně pro výpočet dopadu následující</w:t>
      </w:r>
      <w:r w:rsidRPr="001A622D" w:rsidR="003B4EDD">
        <w:t>: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1"/>
        <w:gridCol w:w="4536"/>
      </w:tblGrid>
      <w:tr w:rsidTr="004A7BD9">
        <w:tblPrEx>
          <w:tblW w:w="9087" w:type="dxa"/>
          <w:tblInd w:w="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4551" w:type="dxa"/>
            <w:shd w:val="clear" w:color="auto" w:fill="D9D9D9" w:themeFill="background1" w:themeFillShade="D9"/>
            <w:noWrap/>
            <w:vAlign w:val="bottom"/>
          </w:tcPr>
          <w:p w:rsidR="00B0699D" w:rsidRPr="001A622D" w:rsidP="0031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noWrap/>
            <w:vAlign w:val="bottom"/>
          </w:tcPr>
          <w:p w:rsidR="00B0699D" w:rsidRPr="001A622D" w:rsidP="0031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Zvýšený z</w:t>
            </w:r>
            <w:r w:rsidRPr="001A622D">
              <w:rPr>
                <w:rFonts w:ascii="Calibri" w:eastAsia="Times New Roman" w:hAnsi="Calibri" w:cs="Times New Roman"/>
                <w:color w:val="000000"/>
              </w:rPr>
              <w:t>áklad daně</w:t>
            </w:r>
            <w:r w:rsidRPr="001A622D" w:rsidR="00F63687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1A622D" w:rsidR="00AC52EE">
              <w:rPr>
                <w:rFonts w:ascii="Calibri" w:eastAsia="Times New Roman" w:hAnsi="Calibri" w:cs="Times New Roman"/>
                <w:color w:val="000000"/>
              </w:rPr>
              <w:t>m</w:t>
            </w:r>
            <w:r w:rsidRPr="001A622D" w:rsidR="00E238C5">
              <w:rPr>
                <w:rFonts w:ascii="Calibri" w:eastAsia="Times New Roman" w:hAnsi="Calibri" w:cs="Times New Roman"/>
                <w:color w:val="000000"/>
              </w:rPr>
              <w:t>l</w:t>
            </w:r>
            <w:r w:rsidRPr="001A622D" w:rsidR="00AC52EE">
              <w:rPr>
                <w:rFonts w:ascii="Calibri" w:eastAsia="Times New Roman" w:hAnsi="Calibri" w:cs="Times New Roman"/>
                <w:color w:val="000000"/>
              </w:rPr>
              <w:t>d</w:t>
            </w:r>
            <w:r w:rsidRPr="001A622D" w:rsidR="00E238C5">
              <w:rPr>
                <w:rFonts w:ascii="Calibri" w:eastAsia="Times New Roman" w:hAnsi="Calibri" w:cs="Times New Roman"/>
                <w:color w:val="000000"/>
              </w:rPr>
              <w:t>. Kč</w:t>
            </w:r>
            <w:r w:rsidRPr="001A622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Tr="002E0E8B">
        <w:tblPrEx>
          <w:tblW w:w="9087" w:type="dxa"/>
          <w:tblInd w:w="93" w:type="dxa"/>
          <w:tblLook w:val="04A0"/>
        </w:tblPrEx>
        <w:trPr>
          <w:trHeight w:val="397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B0699D" w:rsidRPr="001A622D" w:rsidP="0031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622D">
              <w:rPr>
                <w:rFonts w:ascii="Calibri" w:eastAsia="Times New Roman" w:hAnsi="Calibri" w:cs="Times New Roman"/>
                <w:color w:val="000000"/>
              </w:rPr>
              <w:t>3. fáze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0699D" w:rsidRPr="001A622D" w:rsidP="0031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A622D">
              <w:rPr>
                <w:rFonts w:ascii="Calibri" w:eastAsia="Times New Roman" w:hAnsi="Calibri" w:cs="Times New Roman"/>
                <w:color w:val="000000"/>
              </w:rPr>
              <w:t>13</w:t>
            </w:r>
            <w:r w:rsidRPr="001A622D" w:rsidR="00AC52EE">
              <w:rPr>
                <w:rFonts w:ascii="Calibri" w:eastAsia="Times New Roman" w:hAnsi="Calibri" w:cs="Times New Roman"/>
                <w:color w:val="000000"/>
              </w:rPr>
              <w:t xml:space="preserve">,1 </w:t>
            </w:r>
          </w:p>
        </w:tc>
      </w:tr>
      <w:tr w:rsidTr="002E0E8B">
        <w:tblPrEx>
          <w:tblW w:w="9087" w:type="dxa"/>
          <w:tblInd w:w="93" w:type="dxa"/>
          <w:tblLook w:val="04A0"/>
        </w:tblPrEx>
        <w:trPr>
          <w:trHeight w:val="397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B0699D" w:rsidRPr="001A622D" w:rsidP="0031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622D">
              <w:rPr>
                <w:rFonts w:ascii="Calibri" w:eastAsia="Times New Roman" w:hAnsi="Calibri" w:cs="Times New Roman"/>
                <w:color w:val="000000"/>
              </w:rPr>
              <w:t>4. fáze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B0699D" w:rsidRPr="001A622D" w:rsidP="003127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A622D">
              <w:rPr>
                <w:rFonts w:ascii="Calibri" w:eastAsia="Times New Roman" w:hAnsi="Calibri" w:cs="Times New Roman"/>
                <w:color w:val="000000"/>
              </w:rPr>
              <w:t>3,8</w:t>
            </w:r>
          </w:p>
        </w:tc>
      </w:tr>
    </w:tbl>
    <w:p w:rsidR="007B4F4B" w:rsidRPr="001A622D" w:rsidP="007B4F4B"/>
    <w:p w:rsidR="0080105F" w:rsidRPr="001A622D" w:rsidP="001A622D">
      <w:pPr>
        <w:pStyle w:val="ListParagraph"/>
        <w:numPr>
          <w:ilvl w:val="0"/>
          <w:numId w:val="8"/>
        </w:numPr>
        <w:jc w:val="both"/>
      </w:pPr>
      <w:r w:rsidRPr="001A622D">
        <w:t xml:space="preserve">Na </w:t>
      </w:r>
      <w:r w:rsidRPr="001A622D" w:rsidR="009570F7">
        <w:t xml:space="preserve">výše odhadnutý </w:t>
      </w:r>
      <w:r w:rsidRPr="001A622D">
        <w:t xml:space="preserve">základ daně byla aplikována efektivní daňová sazba </w:t>
      </w:r>
      <w:r w:rsidRPr="001A622D" w:rsidR="00814609">
        <w:t>(</w:t>
      </w:r>
      <w:r w:rsidRPr="001A622D" w:rsidR="001A622D">
        <w:t>vypočtena z daňových</w:t>
      </w:r>
      <w:r w:rsidRPr="001A622D">
        <w:t xml:space="preserve"> přiznání) ve výši 18,83 %.</w:t>
      </w:r>
    </w:p>
    <w:p w:rsidR="00BF34E4" w:rsidRPr="001A622D" w:rsidP="001A622D">
      <w:pPr>
        <w:pStyle w:val="ListParagraph"/>
        <w:numPr>
          <w:ilvl w:val="0"/>
          <w:numId w:val="8"/>
        </w:numPr>
        <w:jc w:val="both"/>
      </w:pPr>
      <w:r w:rsidRPr="001A622D">
        <w:t xml:space="preserve">Jak již bylo výše zmíněno, </w:t>
      </w:r>
      <w:r w:rsidRPr="001A622D" w:rsidR="003B4EDD">
        <w:t>předpokladem výpočtu je fakt</w:t>
      </w:r>
      <w:r w:rsidRPr="001A622D">
        <w:t>, že se nepodaří odhali</w:t>
      </w:r>
      <w:r w:rsidRPr="001A622D" w:rsidR="003B4EDD">
        <w:t>t</w:t>
      </w:r>
      <w:r w:rsidRPr="001A622D">
        <w:t xml:space="preserve"> všechny zatajené tržby, proto byl výsledný </w:t>
      </w:r>
      <w:r w:rsidR="007B47CF">
        <w:t xml:space="preserve">celkový </w:t>
      </w:r>
      <w:r w:rsidRPr="001A622D">
        <w:t xml:space="preserve">přínos snížen </w:t>
      </w:r>
      <w:r w:rsidRPr="001A622D" w:rsidR="00F63687">
        <w:t>o 25</w:t>
      </w:r>
      <w:r w:rsidRPr="001A622D" w:rsidR="00055296">
        <w:t xml:space="preserve"> %. Výsledný dopad </w:t>
      </w:r>
      <w:r w:rsidRPr="001A622D" w:rsidR="009570F7">
        <w:t>je tedy následující: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1"/>
        <w:gridCol w:w="4536"/>
      </w:tblGrid>
      <w:tr w:rsidTr="004A7BD9">
        <w:tblPrEx>
          <w:tblW w:w="9087" w:type="dxa"/>
          <w:tblInd w:w="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4551" w:type="dxa"/>
            <w:shd w:val="clear" w:color="auto" w:fill="D9D9D9" w:themeFill="background1" w:themeFillShade="D9"/>
            <w:noWrap/>
            <w:vAlign w:val="bottom"/>
          </w:tcPr>
          <w:p w:rsidR="009570F7" w:rsidRPr="001A622D" w:rsidP="0031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noWrap/>
            <w:vAlign w:val="bottom"/>
          </w:tcPr>
          <w:p w:rsidR="009570F7" w:rsidRPr="001A622D" w:rsidP="003F2E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Celkový dopad, </w:t>
            </w:r>
            <w:r w:rsidRPr="001A622D" w:rsidR="00AC52EE">
              <w:rPr>
                <w:rFonts w:ascii="Calibri" w:eastAsia="Times New Roman" w:hAnsi="Calibri" w:cs="Times New Roman"/>
                <w:color w:val="000000"/>
              </w:rPr>
              <w:t>m</w:t>
            </w:r>
            <w:r w:rsidRPr="001A622D" w:rsidR="00F63687">
              <w:rPr>
                <w:rFonts w:ascii="Calibri" w:eastAsia="Times New Roman" w:hAnsi="Calibri" w:cs="Times New Roman"/>
                <w:color w:val="000000"/>
              </w:rPr>
              <w:t>l</w:t>
            </w:r>
            <w:r w:rsidRPr="001A622D" w:rsidR="00AC52EE">
              <w:rPr>
                <w:rFonts w:ascii="Calibri" w:eastAsia="Times New Roman" w:hAnsi="Calibri" w:cs="Times New Roman"/>
                <w:color w:val="000000"/>
              </w:rPr>
              <w:t>d</w:t>
            </w:r>
            <w:r w:rsidRPr="001A622D" w:rsidR="00F63687">
              <w:rPr>
                <w:rFonts w:ascii="Calibri" w:eastAsia="Times New Roman" w:hAnsi="Calibri" w:cs="Times New Roman"/>
                <w:color w:val="000000"/>
              </w:rPr>
              <w:t>. Kč</w:t>
            </w:r>
            <w:r w:rsidRPr="001A622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Tr="002E0E8B">
        <w:tblPrEx>
          <w:tblW w:w="9087" w:type="dxa"/>
          <w:tblInd w:w="93" w:type="dxa"/>
          <w:tblLook w:val="04A0"/>
        </w:tblPrEx>
        <w:trPr>
          <w:trHeight w:val="397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9570F7" w:rsidRPr="001A622D" w:rsidP="00312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DPH – 3. a 4. fáze 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9570F7" w:rsidRPr="00AA7774" w:rsidP="00B31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A7774">
              <w:rPr>
                <w:rFonts w:ascii="Calibri" w:eastAsia="Times New Roman" w:hAnsi="Calibri" w:cs="Times New Roman"/>
                <w:b/>
                <w:color w:val="000000"/>
              </w:rPr>
              <w:t xml:space="preserve">                                             </w:t>
            </w:r>
            <w:r w:rsidRPr="00AA7774" w:rsidR="002358F1">
              <w:rPr>
                <w:rFonts w:ascii="Calibri" w:eastAsia="Times New Roman" w:hAnsi="Calibri" w:cs="Times New Roman"/>
                <w:b/>
                <w:color w:val="000000"/>
              </w:rPr>
              <w:t xml:space="preserve">                           </w:t>
            </w:r>
            <w:r w:rsidRPr="00AA7774" w:rsidR="006D3579">
              <w:rPr>
                <w:rFonts w:ascii="Calibri" w:eastAsia="Times New Roman" w:hAnsi="Calibri" w:cs="Times New Roman"/>
                <w:b/>
                <w:color w:val="000000"/>
              </w:rPr>
              <w:t>2,4</w:t>
            </w:r>
          </w:p>
        </w:tc>
      </w:tr>
    </w:tbl>
    <w:p w:rsidR="009570F7" w:rsidP="007B4F4B">
      <w:pPr>
        <w:pBdr>
          <w:bottom w:val="single" w:sz="6" w:space="1" w:color="auto"/>
        </w:pBdr>
      </w:pPr>
    </w:p>
    <w:p w:rsidR="007B4F4B" w:rsidRPr="001A622D" w:rsidP="007B4F4B">
      <w:pPr>
        <w:rPr>
          <w:b/>
        </w:rPr>
      </w:pPr>
      <w:r w:rsidRPr="001A622D">
        <w:rPr>
          <w:b/>
        </w:rPr>
        <w:t>DPPO a DPFO</w:t>
      </w:r>
    </w:p>
    <w:p w:rsidR="001D6C1F" w:rsidRPr="001A622D" w:rsidP="004D4160">
      <w:pPr>
        <w:pStyle w:val="ListParagraph"/>
        <w:numPr>
          <w:ilvl w:val="0"/>
          <w:numId w:val="9"/>
        </w:numPr>
        <w:jc w:val="both"/>
      </w:pPr>
      <w:r w:rsidRPr="001A622D">
        <w:t xml:space="preserve">Výpočet fiskálních dopadů 3. a </w:t>
      </w:r>
      <w:r w:rsidRPr="001A622D">
        <w:t>4. fáze na inkaso daně z příjmů fyzických</w:t>
      </w:r>
      <w:r w:rsidR="003575B2">
        <w:t xml:space="preserve"> osob</w:t>
      </w:r>
      <w:r w:rsidRPr="001A622D">
        <w:t xml:space="preserve"> je založen rovněž na datech Českého statistického úřadu o </w:t>
      </w:r>
      <w:r w:rsidR="003575B2">
        <w:t>nepřiznaných</w:t>
      </w:r>
      <w:r w:rsidRPr="001A622D">
        <w:t xml:space="preserve"> tržbách v jednotlivých </w:t>
      </w:r>
      <w:r w:rsidR="003575B2">
        <w:t>sektorech ekonomi</w:t>
      </w:r>
      <w:r w:rsidR="00961B4A">
        <w:t>ky</w:t>
      </w:r>
      <w:r w:rsidR="003575B2">
        <w:t>.</w:t>
      </w:r>
      <w:r w:rsidR="00221A55">
        <w:t xml:space="preserve"> </w:t>
      </w:r>
    </w:p>
    <w:p w:rsidR="005069F5" w:rsidP="00E4490A">
      <w:pPr>
        <w:pStyle w:val="ListParagraph"/>
        <w:numPr>
          <w:ilvl w:val="0"/>
          <w:numId w:val="9"/>
        </w:numPr>
        <w:jc w:val="both"/>
      </w:pPr>
      <w:r w:rsidRPr="001A622D">
        <w:t xml:space="preserve">V případě dopadů na inkaso daně z příjmu </w:t>
      </w:r>
      <w:r w:rsidR="00221A55">
        <w:t>fyzických osob bylo vycházeno z</w:t>
      </w:r>
      <w:r w:rsidRPr="001A622D">
        <w:t>e</w:t>
      </w:r>
      <w:r w:rsidRPr="001A622D" w:rsidR="00E4490A">
        <w:t xml:space="preserve"> skutečnos</w:t>
      </w:r>
      <w:r w:rsidRPr="001A622D">
        <w:t>ti, že fyzické os</w:t>
      </w:r>
      <w:r w:rsidRPr="001A622D" w:rsidR="00E4490A">
        <w:t>oby mohou využívat paušální výd</w:t>
      </w:r>
      <w:r w:rsidRPr="001A622D">
        <w:t>aje</w:t>
      </w:r>
      <w:r w:rsidRPr="001A622D" w:rsidR="00E4490A">
        <w:t>. To znamená, že vyšší tržby, které fyzické osoby</w:t>
      </w:r>
      <w:r w:rsidRPr="001A622D" w:rsidR="001A622D">
        <w:t xml:space="preserve"> budou</w:t>
      </w:r>
      <w:r w:rsidRPr="001A622D" w:rsidR="00E4490A">
        <w:t xml:space="preserve"> přiznávat</w:t>
      </w:r>
      <w:r w:rsidRPr="001A622D" w:rsidR="001A622D">
        <w:t>,</w:t>
      </w:r>
      <w:r w:rsidRPr="001A622D" w:rsidR="00E4490A">
        <w:t xml:space="preserve"> budou poníženy o částku minimálně ve výši paušálních výdajů.</w:t>
      </w:r>
    </w:p>
    <w:p w:rsidR="003575B2" w:rsidRPr="001A622D" w:rsidP="003575B2">
      <w:pPr>
        <w:pStyle w:val="ListParagraph"/>
        <w:numPr>
          <w:ilvl w:val="0"/>
          <w:numId w:val="9"/>
        </w:numPr>
        <w:jc w:val="both"/>
      </w:pPr>
      <w:r w:rsidRPr="001A622D">
        <w:t xml:space="preserve">Ve 3. fázi se nachází svobodná povolání, </w:t>
      </w:r>
      <w:r>
        <w:t>u kterých je možné uplatnění</w:t>
      </w:r>
      <w:r w:rsidRPr="001A622D">
        <w:t xml:space="preserve"> paušál</w:t>
      </w:r>
      <w:r>
        <w:t>u</w:t>
      </w:r>
      <w:r w:rsidRPr="001A622D">
        <w:t xml:space="preserve"> ve</w:t>
      </w:r>
      <w:r>
        <w:t xml:space="preserve"> výši 60 %, ve 4. fázi jsou zahrnuty</w:t>
      </w:r>
      <w:r w:rsidRPr="001A622D">
        <w:t xml:space="preserve"> ře</w:t>
      </w:r>
      <w:r>
        <w:t>meslné živnosti (kadeřnice</w:t>
      </w:r>
      <w:r w:rsidRPr="001A622D">
        <w:t>), které mohou využívat paušál 80 %.</w:t>
      </w:r>
    </w:p>
    <w:p w:rsidR="004D4160" w:rsidRPr="001A622D" w:rsidP="00E4490A">
      <w:pPr>
        <w:pStyle w:val="ListParagraph"/>
        <w:numPr>
          <w:ilvl w:val="0"/>
          <w:numId w:val="9"/>
        </w:numPr>
        <w:jc w:val="both"/>
      </w:pPr>
      <w:r w:rsidRPr="001A622D">
        <w:t>Právnické osoby</w:t>
      </w:r>
      <w:r w:rsidRPr="001A622D" w:rsidR="00746821">
        <w:t xml:space="preserve"> nemohou systém paušálních výdajů používat, ale s ohledem na konzervativní přístup ke kvantifikaci dopadů 3. a 4. fáze byl přijat předpoklad, že právnické osoby mají stejnou nákladovost jako fyzické osoby využívající paušální výdaje.  </w:t>
      </w:r>
      <w:r w:rsidRPr="001A622D">
        <w:t xml:space="preserve"> </w:t>
      </w:r>
      <w:r w:rsidRPr="001A622D" w:rsidR="00E4490A">
        <w:t xml:space="preserve"> </w:t>
      </w:r>
      <w:r w:rsidRPr="001A622D" w:rsidR="001D6C1F">
        <w:t xml:space="preserve">   </w:t>
      </w:r>
    </w:p>
    <w:p w:rsidR="003229E0" w:rsidP="00746821">
      <w:pPr>
        <w:pStyle w:val="ListParagraph"/>
        <w:numPr>
          <w:ilvl w:val="0"/>
          <w:numId w:val="9"/>
        </w:numPr>
        <w:jc w:val="both"/>
      </w:pPr>
      <w:r>
        <w:t xml:space="preserve">Rozdělení nárůstu </w:t>
      </w:r>
      <w:r w:rsidR="00C935FA">
        <w:t xml:space="preserve">základu daně, respektive </w:t>
      </w:r>
      <w:r>
        <w:t>zdanitelného zisku</w:t>
      </w:r>
      <w:r w:rsidR="00C935FA">
        <w:t>,</w:t>
      </w:r>
      <w:r>
        <w:t xml:space="preserve"> ve 3. a 4. fázi</w:t>
      </w:r>
      <w:r w:rsidR="00EA678D">
        <w:t xml:space="preserve"> </w:t>
      </w:r>
      <w:r>
        <w:t>je následující</w:t>
      </w:r>
      <w:r w:rsidR="001C1934">
        <w:t>:</w:t>
      </w:r>
    </w:p>
    <w:p w:rsidR="006C3E62" w:rsidP="003229E0">
      <w:pPr>
        <w:pStyle w:val="ListParagraph"/>
        <w:numPr>
          <w:ilvl w:val="1"/>
          <w:numId w:val="9"/>
        </w:numPr>
        <w:jc w:val="both"/>
      </w:pPr>
      <w:r>
        <w:t>3. fáze</w:t>
      </w:r>
      <w:r>
        <w:t>: 26,1 mld. Kč</w:t>
      </w:r>
    </w:p>
    <w:p w:rsidR="00FA50C3" w:rsidRPr="001A622D" w:rsidP="004A7BD9">
      <w:pPr>
        <w:pStyle w:val="ListParagraph"/>
        <w:numPr>
          <w:ilvl w:val="1"/>
          <w:numId w:val="9"/>
        </w:numPr>
        <w:jc w:val="both"/>
      </w:pPr>
      <w:r>
        <w:t xml:space="preserve">4. fáze: 8,3 mld. Kč </w:t>
      </w:r>
      <w:r w:rsidR="003229E0">
        <w:t xml:space="preserve"> </w:t>
      </w:r>
    </w:p>
    <w:p w:rsidR="00FA50C3" w:rsidP="00514BD6">
      <w:pPr>
        <w:pStyle w:val="ListParagraph"/>
        <w:numPr>
          <w:ilvl w:val="0"/>
          <w:numId w:val="10"/>
        </w:numPr>
      </w:pPr>
      <w:r w:rsidRPr="001A622D">
        <w:t>Tento zisk byl rozdělen</w:t>
      </w:r>
      <w:r w:rsidRPr="001A622D">
        <w:t xml:space="preserve"> na část připadající fyzickým a</w:t>
      </w:r>
      <w:r w:rsidR="00961B4A">
        <w:t xml:space="preserve"> právnickým osobám za využíti již výše uvedeného poměru:</w:t>
      </w:r>
    </w:p>
    <w:p w:rsidR="004A7BD9" w:rsidRPr="001A622D" w:rsidP="004A7BD9">
      <w:pPr>
        <w:pStyle w:val="ListParagraph"/>
      </w:pP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4"/>
        <w:gridCol w:w="2552"/>
        <w:gridCol w:w="2659"/>
      </w:tblGrid>
      <w:tr w:rsidTr="004A7BD9">
        <w:tblPrEx>
          <w:tblW w:w="9195" w:type="dxa"/>
          <w:tblInd w:w="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3984" w:type="dxa"/>
            <w:shd w:val="clear" w:color="auto" w:fill="D9D9D9" w:themeFill="background1" w:themeFillShade="D9"/>
            <w:noWrap/>
            <w:vAlign w:val="bottom"/>
          </w:tcPr>
          <w:p w:rsidR="00FA50C3" w:rsidRPr="001A622D" w:rsidP="00182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center"/>
          </w:tcPr>
          <w:p w:rsidR="00FA50C3" w:rsidRPr="001A622D" w:rsidP="00662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A622D">
              <w:rPr>
                <w:rFonts w:ascii="Calibri" w:eastAsia="Times New Roman" w:hAnsi="Calibri" w:cs="Times New Roman"/>
                <w:color w:val="000000"/>
              </w:rPr>
              <w:t>Právnické osoby</w:t>
            </w:r>
            <w:r w:rsidR="00BF2F83">
              <w:rPr>
                <w:rFonts w:ascii="Calibri" w:eastAsia="Times New Roman" w:hAnsi="Calibri" w:cs="Times New Roman"/>
                <w:color w:val="000000"/>
              </w:rPr>
              <w:t>, mld. Kč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:rsidR="00FA50C3" w:rsidRPr="001A622D" w:rsidP="00662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A622D">
              <w:rPr>
                <w:rFonts w:ascii="Calibri" w:eastAsia="Times New Roman" w:hAnsi="Calibri" w:cs="Times New Roman"/>
                <w:color w:val="000000"/>
              </w:rPr>
              <w:t>Fyzické osoby</w:t>
            </w:r>
            <w:r w:rsidR="00BF2F83">
              <w:rPr>
                <w:rFonts w:ascii="Calibri" w:eastAsia="Times New Roman" w:hAnsi="Calibri" w:cs="Times New Roman"/>
                <w:color w:val="000000"/>
              </w:rPr>
              <w:t>, mld. Kč</w:t>
            </w:r>
          </w:p>
        </w:tc>
      </w:tr>
      <w:tr w:rsidTr="00BF2F83">
        <w:tblPrEx>
          <w:tblW w:w="9195" w:type="dxa"/>
          <w:tblInd w:w="93" w:type="dxa"/>
          <w:tblLook w:val="04A0"/>
        </w:tblPrEx>
        <w:trPr>
          <w:trHeight w:val="397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:rsidR="00FA50C3" w:rsidRPr="001A622D" w:rsidP="00182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622D">
              <w:rPr>
                <w:rFonts w:ascii="Calibri" w:eastAsia="Times New Roman" w:hAnsi="Calibri" w:cs="Times New Roman"/>
                <w:color w:val="000000"/>
              </w:rPr>
              <w:t>3. fáze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FA50C3" w:rsidRPr="001A622D" w:rsidP="00AC52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A622D">
              <w:rPr>
                <w:rFonts w:ascii="Calibri" w:eastAsia="Times New Roman" w:hAnsi="Calibri" w:cs="Times New Roman"/>
                <w:color w:val="000000"/>
              </w:rPr>
              <w:t>9</w:t>
            </w:r>
            <w:r w:rsidRPr="001A622D" w:rsidR="00AC52EE">
              <w:rPr>
                <w:rFonts w:ascii="Calibri" w:eastAsia="Times New Roman" w:hAnsi="Calibri" w:cs="Times New Roman"/>
                <w:color w:val="000000"/>
              </w:rPr>
              <w:t>,1</w:t>
            </w:r>
          </w:p>
        </w:tc>
        <w:tc>
          <w:tcPr>
            <w:tcW w:w="2659" w:type="dxa"/>
            <w:vAlign w:val="center"/>
          </w:tcPr>
          <w:p w:rsidR="00FA50C3" w:rsidRPr="001A622D" w:rsidP="00AC52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A622D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Tr="00BF2F83">
        <w:tblPrEx>
          <w:tblW w:w="9195" w:type="dxa"/>
          <w:tblInd w:w="93" w:type="dxa"/>
          <w:tblLook w:val="04A0"/>
        </w:tblPrEx>
        <w:trPr>
          <w:trHeight w:val="397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:rsidR="00FA50C3" w:rsidRPr="001A622D" w:rsidP="00182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622D">
              <w:rPr>
                <w:rFonts w:ascii="Calibri" w:eastAsia="Times New Roman" w:hAnsi="Calibri" w:cs="Times New Roman"/>
                <w:color w:val="000000"/>
              </w:rPr>
              <w:t>4. fáze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FA50C3" w:rsidRPr="001A622D" w:rsidP="00AC52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A622D">
              <w:rPr>
                <w:rFonts w:ascii="Calibri" w:eastAsia="Times New Roman" w:hAnsi="Calibri" w:cs="Times New Roman"/>
                <w:color w:val="000000"/>
              </w:rPr>
              <w:t>2,</w:t>
            </w:r>
            <w:r w:rsidRPr="001A622D" w:rsidR="006621AB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659" w:type="dxa"/>
            <w:vAlign w:val="center"/>
          </w:tcPr>
          <w:p w:rsidR="00FA50C3" w:rsidRPr="001A622D" w:rsidP="00AC52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A622D">
              <w:rPr>
                <w:rFonts w:ascii="Calibri" w:eastAsia="Times New Roman" w:hAnsi="Calibri" w:cs="Times New Roman"/>
                <w:color w:val="000000"/>
              </w:rPr>
              <w:t>5</w:t>
            </w:r>
            <w:r w:rsidRPr="001A622D" w:rsidR="00AC52EE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1A622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</w:tbl>
    <w:p w:rsidR="00FA50C3" w:rsidRPr="001A622D" w:rsidP="007B4F4B"/>
    <w:p w:rsidR="006621AB" w:rsidRPr="001A622D" w:rsidP="00514BD6">
      <w:pPr>
        <w:pStyle w:val="ListParagraph"/>
        <w:numPr>
          <w:ilvl w:val="0"/>
          <w:numId w:val="10"/>
        </w:numPr>
      </w:pPr>
      <w:r w:rsidRPr="001A622D">
        <w:t xml:space="preserve">Následně byla aplikována příslušná sazba daně pro právnické osoby (19 %) a fyzické osoby (15 %). 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4"/>
        <w:gridCol w:w="2552"/>
        <w:gridCol w:w="2659"/>
      </w:tblGrid>
      <w:tr w:rsidTr="004A7BD9">
        <w:tblPrEx>
          <w:tblW w:w="9195" w:type="dxa"/>
          <w:tblInd w:w="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3984" w:type="dxa"/>
            <w:shd w:val="clear" w:color="auto" w:fill="D9D9D9" w:themeFill="background1" w:themeFillShade="D9"/>
            <w:noWrap/>
            <w:vAlign w:val="bottom"/>
          </w:tcPr>
          <w:p w:rsidR="006621AB" w:rsidRPr="001A622D" w:rsidP="00182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center"/>
          </w:tcPr>
          <w:p w:rsidR="006621AB" w:rsidRPr="001A622D" w:rsidP="001820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A622D">
              <w:rPr>
                <w:rFonts w:ascii="Calibri" w:eastAsia="Times New Roman" w:hAnsi="Calibri" w:cs="Times New Roman"/>
                <w:color w:val="000000"/>
              </w:rPr>
              <w:t>Právnické osoby</w:t>
            </w:r>
            <w:r w:rsidR="00BF2F83">
              <w:rPr>
                <w:rFonts w:ascii="Calibri" w:eastAsia="Times New Roman" w:hAnsi="Calibri" w:cs="Times New Roman"/>
                <w:color w:val="000000"/>
              </w:rPr>
              <w:t>, mld. Kč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:rsidR="006621AB" w:rsidRPr="001A622D" w:rsidP="001820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A622D">
              <w:rPr>
                <w:rFonts w:ascii="Calibri" w:eastAsia="Times New Roman" w:hAnsi="Calibri" w:cs="Times New Roman"/>
                <w:color w:val="000000"/>
              </w:rPr>
              <w:t>Fyzické osoby</w:t>
            </w:r>
            <w:r w:rsidR="00BF2F83">
              <w:rPr>
                <w:rFonts w:ascii="Calibri" w:eastAsia="Times New Roman" w:hAnsi="Calibri" w:cs="Times New Roman"/>
                <w:color w:val="000000"/>
              </w:rPr>
              <w:t>, mld. Kč</w:t>
            </w:r>
          </w:p>
        </w:tc>
      </w:tr>
      <w:tr w:rsidTr="00BF2F83">
        <w:tblPrEx>
          <w:tblW w:w="9195" w:type="dxa"/>
          <w:tblInd w:w="93" w:type="dxa"/>
          <w:tblLook w:val="04A0"/>
        </w:tblPrEx>
        <w:trPr>
          <w:trHeight w:val="397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:rsidR="006621AB" w:rsidRPr="001A622D" w:rsidP="00182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622D">
              <w:rPr>
                <w:rFonts w:ascii="Calibri" w:eastAsia="Times New Roman" w:hAnsi="Calibri" w:cs="Times New Roman"/>
                <w:color w:val="000000"/>
              </w:rPr>
              <w:t>3. fáze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621AB" w:rsidRPr="001A622D" w:rsidP="00AC52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1,7</w:t>
            </w:r>
          </w:p>
        </w:tc>
        <w:tc>
          <w:tcPr>
            <w:tcW w:w="2659" w:type="dxa"/>
            <w:vAlign w:val="center"/>
          </w:tcPr>
          <w:p w:rsidR="006621AB" w:rsidRPr="001A622D" w:rsidP="00AC52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A622D">
              <w:rPr>
                <w:rFonts w:ascii="Calibri" w:eastAsia="Times New Roman" w:hAnsi="Calibri" w:cs="Times New Roman"/>
                <w:color w:val="000000"/>
              </w:rPr>
              <w:t>2,6</w:t>
            </w:r>
          </w:p>
        </w:tc>
      </w:tr>
      <w:tr w:rsidTr="00BF2F83">
        <w:tblPrEx>
          <w:tblW w:w="9195" w:type="dxa"/>
          <w:tblInd w:w="93" w:type="dxa"/>
          <w:tblLook w:val="04A0"/>
        </w:tblPrEx>
        <w:trPr>
          <w:trHeight w:val="397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:rsidR="006621AB" w:rsidRPr="001A622D" w:rsidP="001820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622D">
              <w:rPr>
                <w:rFonts w:ascii="Calibri" w:eastAsia="Times New Roman" w:hAnsi="Calibri" w:cs="Times New Roman"/>
                <w:color w:val="000000"/>
              </w:rPr>
              <w:t>4. fáze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621AB" w:rsidRPr="001A622D" w:rsidP="00AC52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A622D">
              <w:rPr>
                <w:rFonts w:ascii="Calibri" w:eastAsia="Times New Roman" w:hAnsi="Calibri" w:cs="Times New Roman"/>
                <w:color w:val="000000"/>
              </w:rPr>
              <w:t>0,6</w:t>
            </w:r>
          </w:p>
        </w:tc>
        <w:tc>
          <w:tcPr>
            <w:tcW w:w="2659" w:type="dxa"/>
            <w:vAlign w:val="center"/>
          </w:tcPr>
          <w:p w:rsidR="006621AB" w:rsidRPr="001A622D" w:rsidP="00AC52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A622D">
              <w:rPr>
                <w:rFonts w:ascii="Calibri" w:eastAsia="Times New Roman" w:hAnsi="Calibri" w:cs="Times New Roman"/>
                <w:color w:val="000000"/>
              </w:rPr>
              <w:t>0,</w:t>
            </w:r>
            <w:r w:rsidRPr="001A622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</w:tbl>
    <w:p w:rsidR="006621AB" w:rsidRPr="001A622D" w:rsidP="007B4F4B"/>
    <w:p w:rsidR="00547711" w:rsidP="00BE5E2B">
      <w:pPr>
        <w:pStyle w:val="ListParagraph"/>
        <w:numPr>
          <w:ilvl w:val="0"/>
          <w:numId w:val="10"/>
        </w:numPr>
        <w:jc w:val="both"/>
      </w:pPr>
      <w:r w:rsidRPr="001A622D">
        <w:t xml:space="preserve">Tyto výsledky lez považovat za konzervativní potenciál růstu daňových příjmů. </w:t>
      </w:r>
      <w:r w:rsidR="004B4D4F">
        <w:t>Stejně jako v případě ostatních výpočtů byl i tento dopad ještě ponížen</w:t>
      </w:r>
      <w:r w:rsidR="00104C3B">
        <w:t xml:space="preserve"> na základě dosavadních zkušeností,</w:t>
      </w:r>
      <w:r w:rsidR="00DE2B63">
        <w:t xml:space="preserve"> že není možné předpokládat, že by byla vybrána celá částka</w:t>
      </w:r>
      <w:r w:rsidR="00BF2F83">
        <w:t xml:space="preserve"> nepřiznaných</w:t>
      </w:r>
      <w:r w:rsidR="00DE2B63">
        <w:t xml:space="preserve"> příjmů.</w:t>
      </w:r>
      <w:r w:rsidR="004B4D4F">
        <w:t xml:space="preserve"> </w:t>
      </w:r>
    </w:p>
    <w:p w:rsidR="00FD43A1" w:rsidRPr="001A622D" w:rsidP="00BE5E2B">
      <w:pPr>
        <w:pStyle w:val="ListParagraph"/>
        <w:numPr>
          <w:ilvl w:val="0"/>
          <w:numId w:val="10"/>
        </w:numPr>
        <w:jc w:val="both"/>
      </w:pPr>
      <w:r>
        <w:t>Níže uvedená tabulka ilustruje takto snížený dopad  na základě expertního odhadu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4"/>
        <w:gridCol w:w="2552"/>
        <w:gridCol w:w="2659"/>
      </w:tblGrid>
      <w:tr w:rsidTr="004A7BD9">
        <w:tblPrEx>
          <w:tblW w:w="9195" w:type="dxa"/>
          <w:tblInd w:w="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3984" w:type="dxa"/>
            <w:vMerge w:val="restart"/>
            <w:shd w:val="clear" w:color="auto" w:fill="D9D9D9" w:themeFill="background1" w:themeFillShade="D9"/>
            <w:noWrap/>
            <w:vAlign w:val="bottom"/>
          </w:tcPr>
          <w:p w:rsidR="005F35CF" w:rsidRPr="001A622D" w:rsidP="00417A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11" w:type="dxa"/>
            <w:gridSpan w:val="2"/>
            <w:shd w:val="clear" w:color="auto" w:fill="D9D9D9" w:themeFill="background1" w:themeFillShade="D9"/>
            <w:noWrap/>
            <w:vAlign w:val="bottom"/>
          </w:tcPr>
          <w:p w:rsidR="005F35CF" w:rsidP="005F3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Celkový dopad</w:t>
            </w:r>
          </w:p>
        </w:tc>
      </w:tr>
      <w:tr w:rsidTr="004A7BD9">
        <w:tblPrEx>
          <w:tblW w:w="9195" w:type="dxa"/>
          <w:tblInd w:w="93" w:type="dxa"/>
          <w:tblLook w:val="04A0"/>
        </w:tblPrEx>
        <w:trPr>
          <w:trHeight w:val="397"/>
        </w:trPr>
        <w:tc>
          <w:tcPr>
            <w:tcW w:w="3984" w:type="dxa"/>
            <w:vMerge/>
            <w:shd w:val="clear" w:color="auto" w:fill="D9D9D9" w:themeFill="background1" w:themeFillShade="D9"/>
            <w:noWrap/>
            <w:vAlign w:val="bottom"/>
          </w:tcPr>
          <w:p w:rsidR="005F35CF" w:rsidRPr="001A622D" w:rsidP="00417A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bottom"/>
          </w:tcPr>
          <w:p w:rsidR="005F35CF" w:rsidRPr="001A622D" w:rsidP="00417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Právnické osoby, mld. Kč</w:t>
            </w:r>
            <w:r w:rsidRPr="001A622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bottom"/>
          </w:tcPr>
          <w:p w:rsidR="005F35CF" w:rsidRPr="001A622D" w:rsidP="00AF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Fyzické osoby, mld. Kč</w:t>
            </w:r>
          </w:p>
        </w:tc>
      </w:tr>
      <w:tr w:rsidTr="00BF2F83">
        <w:tblPrEx>
          <w:tblW w:w="9195" w:type="dxa"/>
          <w:tblInd w:w="93" w:type="dxa"/>
          <w:tblLook w:val="04A0"/>
        </w:tblPrEx>
        <w:trPr>
          <w:trHeight w:val="397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:rsidR="00DE2B63" w:rsidRPr="001A622D" w:rsidP="00417A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DPPO, DPFO – 3. a 4. fáze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DE2B63" w:rsidRPr="00AA7774" w:rsidP="00417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A7774">
              <w:rPr>
                <w:rFonts w:ascii="Calibri" w:eastAsia="Times New Roman" w:hAnsi="Calibri" w:cs="Times New Roman"/>
                <w:b/>
                <w:color w:val="000000"/>
              </w:rPr>
              <w:t>0,9</w:t>
            </w:r>
            <w:r w:rsidRPr="00AA7774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</w:p>
        </w:tc>
        <w:tc>
          <w:tcPr>
            <w:tcW w:w="2659" w:type="dxa"/>
            <w:vAlign w:val="bottom"/>
          </w:tcPr>
          <w:p w:rsidR="00DE2B63" w:rsidRPr="00AA7774" w:rsidP="00AF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A7774">
              <w:rPr>
                <w:rFonts w:ascii="Calibri" w:eastAsia="Times New Roman" w:hAnsi="Calibri" w:cs="Times New Roman"/>
                <w:b/>
                <w:color w:val="000000"/>
              </w:rPr>
              <w:t>2,2</w:t>
            </w:r>
          </w:p>
        </w:tc>
      </w:tr>
    </w:tbl>
    <w:p w:rsidR="001C1934" w:rsidRPr="00DE2B63" w:rsidP="00FD43A1">
      <w:pPr>
        <w:rPr>
          <w:b/>
          <w:sz w:val="28"/>
        </w:rPr>
      </w:pPr>
    </w:p>
    <w:p w:rsidR="00D91BF1" w:rsidP="00A71E50">
      <w:pPr>
        <w:ind w:left="372" w:firstLine="708"/>
        <w:jc w:val="both"/>
      </w:pPr>
      <w:r>
        <w:t xml:space="preserve">Výše uvedené dopady </w:t>
      </w:r>
      <w:r w:rsidR="0043583F">
        <w:t>vyjadřují očekávaný výnos za celý kalendářní rok</w:t>
      </w:r>
      <w:r>
        <w:t xml:space="preserve">, avšak </w:t>
      </w:r>
      <w:r w:rsidRPr="009946BE">
        <w:t xml:space="preserve">v některých fázích dochází k postupné účinnosti během roku, což je důvodem, proč jsou výše uvedené odhady celoročních výnosů v Konvergenčním programu ještě poníženy s ohledem </w:t>
      </w:r>
      <w:r w:rsidRPr="009946BE" w:rsidR="0043583F">
        <w:t xml:space="preserve">na </w:t>
      </w:r>
      <w:r w:rsidRPr="009946BE">
        <w:t>částečnou účinnost během jednotlivých let (např. některé fáze EET jsou účinné od 1. března místo počátku roku).</w:t>
      </w:r>
      <w:r w:rsidRPr="009946BE" w:rsidR="00C94D15">
        <w:t xml:space="preserve"> </w:t>
      </w:r>
    </w:p>
    <w:p w:rsidR="00523B95" w:rsidRPr="005F14D5" w:rsidP="005F14D5">
      <w:pPr>
        <w:ind w:left="360" w:firstLine="348"/>
        <w:jc w:val="both"/>
      </w:pPr>
      <w:r w:rsidRPr="000961CB">
        <w:t>Součet dopadů u DPH se může od Konvergenčního programu lišit o desetinu vlivem zaokrouhlení</w:t>
      </w:r>
      <w:r>
        <w:t>.</w:t>
      </w:r>
    </w:p>
    <w:p w:rsidR="00523B95" w:rsidRPr="00523B95" w:rsidP="00523B95">
      <w:pPr>
        <w:jc w:val="center"/>
        <w:rPr>
          <w:b/>
          <w:sz w:val="28"/>
        </w:rPr>
      </w:pPr>
      <w:r w:rsidRPr="00523B95">
        <w:rPr>
          <w:b/>
          <w:sz w:val="28"/>
        </w:rPr>
        <w:t>Způsob výpočtu příspěvků na sociální zabezpečení u EET</w:t>
      </w:r>
    </w:p>
    <w:p w:rsidR="00523B95" w:rsidP="00AF0BE5">
      <w:pPr>
        <w:jc w:val="both"/>
      </w:pPr>
      <w:r>
        <w:t xml:space="preserve">       </w:t>
      </w:r>
      <w:r>
        <w:t>Výpočet je značně zjednodušený a vychází primárně:</w:t>
      </w:r>
    </w:p>
    <w:p w:rsidR="00523B95" w:rsidP="00B56989">
      <w:pPr>
        <w:pStyle w:val="ListParagraph"/>
        <w:numPr>
          <w:ilvl w:val="1"/>
          <w:numId w:val="12"/>
        </w:numPr>
        <w:jc w:val="both"/>
      </w:pPr>
      <w:r>
        <w:t>Odhadu výnosu DPFO v důsledku zavedení EET.</w:t>
      </w:r>
    </w:p>
    <w:p w:rsidR="00523B95" w:rsidP="00B56989">
      <w:pPr>
        <w:pStyle w:val="ListParagraph"/>
        <w:numPr>
          <w:ilvl w:val="1"/>
          <w:numId w:val="12"/>
        </w:numPr>
        <w:jc w:val="both"/>
      </w:pPr>
      <w:r>
        <w:t>2) Sazbami a základem pro pojištění u OSVČ.</w:t>
      </w:r>
    </w:p>
    <w:p w:rsidR="00523B95" w:rsidP="00B56989">
      <w:pPr>
        <w:ind w:left="372" w:firstLine="708"/>
        <w:jc w:val="both"/>
      </w:pPr>
      <w:r>
        <w:t xml:space="preserve">Protože jsme počítali, že v drtivé většině se zavedení EET bude týkat osob, které již na trhu působí, a tedy mají daňovou povinnost (tedy uplatňují již příslušné slevy na dani apod.), vypočítali jsme z částky u nárůstu DPFO (před započítáním jednorázové slevy na dani ve výši 5000Kč v první vlně zavádění EET – v Konvergenčním programu je uvedena již částka očištěná o tuto slevu!), o kolik vzroste přiznaný příjem u OSVČ. Tato částka byla upravena v souladu s určením základu pro výpočet pojistného (50 % příjmu z podnikání a z jiné samostatné výdělečné </w:t>
      </w:r>
      <w:r>
        <w:t>činnosti po odpočtu výdajů vynaložených na jeho dosažení, zajištění a udržení) a vynásobeno sazbami na sociální pojištění (31,5 %) a zdravotní pojištění (13,5 %).</w:t>
      </w:r>
    </w:p>
    <w:p w:rsidR="00523B95" w:rsidP="00AF0BE5">
      <w:pPr>
        <w:ind w:left="372" w:firstLine="708"/>
        <w:jc w:val="both"/>
      </w:pPr>
      <w:r>
        <w:t>Vzhledem k tomu, že někteří OSVČ platí částky sociálního a zdravotního pojištění v souladu s minimálním vyměřovacím základem a ne všichni platí nemocenské pojištění (zde by byl však rozdíl 0,1 mld. Kč), byla částka vypočítaná způsobem popsaným výše konzervativně zkrácena na 60 %. Konzervativní je to z toho důvodu, že zvýšení přiznaných příjmů je dostatečně velké, aby uplatňované minimum hrálo poměrně nevýznamnou roli. Jinými slovy, pokud dojde k přiznávání příjmů o částku, která je odhadována v případě DPFO, pak se OSVČ platící minimum před zavedením EET nad stanovené minimum dostanou velmi rychle.</w:t>
      </w:r>
    </w:p>
    <w:p w:rsidR="00523B95" w:rsidP="00AF0BE5">
      <w:pPr>
        <w:pStyle w:val="ListParagraph"/>
        <w:numPr>
          <w:ilvl w:val="0"/>
          <w:numId w:val="14"/>
        </w:numPr>
        <w:jc w:val="both"/>
      </w:pPr>
      <w:r>
        <w:t>Celkový dodatečný výnos DPFO v důsledku EET: 7,2 mld. Kč</w:t>
      </w:r>
    </w:p>
    <w:p w:rsidR="00523B95" w:rsidP="00AF0BE5">
      <w:pPr>
        <w:pStyle w:val="ListParagraph"/>
        <w:numPr>
          <w:ilvl w:val="0"/>
          <w:numId w:val="14"/>
        </w:numPr>
        <w:jc w:val="both"/>
      </w:pPr>
      <w:r>
        <w:t>Celkový dodatečně přiznaný základ pro DPFO: 7,2/0,15=48 mld. Kč</w:t>
      </w:r>
    </w:p>
    <w:p w:rsidR="00523B95" w:rsidP="00AF0BE5">
      <w:pPr>
        <w:pStyle w:val="ListParagraph"/>
        <w:numPr>
          <w:ilvl w:val="0"/>
          <w:numId w:val="14"/>
        </w:numPr>
        <w:jc w:val="both"/>
      </w:pPr>
      <w:r>
        <w:t>Základ pro pojistné: 48/2=24 mld. Kč</w:t>
      </w:r>
    </w:p>
    <w:p w:rsidR="00523B95" w:rsidP="00AF0BE5">
      <w:pPr>
        <w:pStyle w:val="ListParagraph"/>
        <w:numPr>
          <w:ilvl w:val="0"/>
          <w:numId w:val="14"/>
        </w:numPr>
        <w:jc w:val="both"/>
      </w:pPr>
      <w:r>
        <w:t>Celkové pojistné: 24*0,45=10,8 mld. Kč</w:t>
      </w:r>
    </w:p>
    <w:p w:rsidR="00523B95" w:rsidP="00AF0BE5">
      <w:pPr>
        <w:pStyle w:val="ListParagraph"/>
        <w:numPr>
          <w:ilvl w:val="0"/>
          <w:numId w:val="14"/>
        </w:numPr>
        <w:jc w:val="both"/>
      </w:pPr>
      <w:r>
        <w:t>Zkrácení v důsledku „nelinearity“ vyplívající ze zákonných minim na 60 %: 10,8*0,6=6,5 mld. Kč</w:t>
      </w:r>
    </w:p>
    <w:p w:rsidR="00523B95" w:rsidP="00AF0BE5">
      <w:pPr>
        <w:pStyle w:val="ListParagraph"/>
        <w:numPr>
          <w:ilvl w:val="0"/>
          <w:numId w:val="14"/>
        </w:numPr>
        <w:jc w:val="both"/>
      </w:pPr>
      <w:r>
        <w:t>Rozdělení do jednotlivých let v Konvergenčním programu bylo provedeno v souladu s DPFO v akruální metodice.</w:t>
      </w:r>
    </w:p>
    <w:sectPr w:rsidSect="001C1934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632E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12FBB">
      <w:rPr>
        <w:noProof/>
      </w:rPr>
      <w:t>1</w:t>
    </w:r>
    <w:r>
      <w:fldChar w:fldCharType="end"/>
    </w: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7F60A1"/>
    <w:multiLevelType w:val="hybridMultilevel"/>
    <w:tmpl w:val="8940E612"/>
    <w:lvl w:ilvl="0">
      <w:start w:val="4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3A5A"/>
    <w:multiLevelType w:val="hybridMultilevel"/>
    <w:tmpl w:val="4C8E5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539C2"/>
    <w:multiLevelType w:val="hybridMultilevel"/>
    <w:tmpl w:val="2CC84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94881"/>
    <w:multiLevelType w:val="hybridMultilevel"/>
    <w:tmpl w:val="7B96AA5E"/>
    <w:lvl w:ilvl="0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>
    <w:nsid w:val="28E23002"/>
    <w:multiLevelType w:val="hybridMultilevel"/>
    <w:tmpl w:val="863C4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367F1"/>
    <w:multiLevelType w:val="hybridMultilevel"/>
    <w:tmpl w:val="F348A42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96F60"/>
    <w:multiLevelType w:val="hybridMultilevel"/>
    <w:tmpl w:val="020E2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32447"/>
    <w:multiLevelType w:val="hybridMultilevel"/>
    <w:tmpl w:val="D5D277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11C49"/>
    <w:multiLevelType w:val="hybridMultilevel"/>
    <w:tmpl w:val="B8984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01A47"/>
    <w:multiLevelType w:val="hybridMultilevel"/>
    <w:tmpl w:val="E5C8C1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250A12"/>
    <w:multiLevelType w:val="hybridMultilevel"/>
    <w:tmpl w:val="104225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E2E8C"/>
    <w:multiLevelType w:val="hybridMultilevel"/>
    <w:tmpl w:val="AE6863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D7CA4"/>
    <w:multiLevelType w:val="hybridMultilevel"/>
    <w:tmpl w:val="FFA28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F52E2"/>
    <w:multiLevelType w:val="hybridMultilevel"/>
    <w:tmpl w:val="EE4218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11"/>
  </w:num>
  <w:num w:numId="7">
    <w:abstractNumId w:val="9"/>
  </w:num>
  <w:num w:numId="8">
    <w:abstractNumId w:val="4"/>
  </w:num>
  <w:num w:numId="9">
    <w:abstractNumId w:val="10"/>
  </w:num>
  <w:num w:numId="10">
    <w:abstractNumId w:val="7"/>
  </w:num>
  <w:num w:numId="11">
    <w:abstractNumId w:val="1"/>
  </w:num>
  <w:num w:numId="12">
    <w:abstractNumId w:val="5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1E0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40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4038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58F1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2358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2358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2358F1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2358F1"/>
    <w:rPr>
      <w:b/>
      <w:bCs/>
      <w:sz w:val="20"/>
      <w:szCs w:val="20"/>
    </w:rPr>
  </w:style>
  <w:style w:type="paragraph" w:styleId="Header">
    <w:name w:val="header"/>
    <w:basedOn w:val="Normal"/>
    <w:link w:val="ZhlavChar"/>
    <w:uiPriority w:val="99"/>
    <w:unhideWhenUsed/>
    <w:rsid w:val="00B8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B8632E"/>
  </w:style>
  <w:style w:type="paragraph" w:styleId="Footer">
    <w:name w:val="footer"/>
    <w:basedOn w:val="Normal"/>
    <w:link w:val="ZpatChar"/>
    <w:uiPriority w:val="99"/>
    <w:unhideWhenUsed/>
    <w:rsid w:val="00B8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B8632E"/>
  </w:style>
  <w:style w:type="table" w:styleId="TableGrid">
    <w:name w:val="Table Grid"/>
    <w:basedOn w:val="TableNormal"/>
    <w:uiPriority w:val="59"/>
    <w:rsid w:val="00C9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9843B-8871-4862-8B10-E772AC63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2222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2017-05-24T14:15:00Z</dcterms:created>
</cp:coreProperties>
</file>