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tbl>
      <w:tblPr>
        <w:tblW w:w="5000" w:type="pct"/>
        <w:tblInd w:w="21600" w:type="dxa"/>
        <w:tblCellMar>
          <w:left w:w="0" w:type="dxa"/>
          <w:right w:w="0" w:type="dxa"/>
        </w:tblCellMar>
        <w:tblLook w:val="04A0"/>
      </w:tblPr>
      <w:tblGrid>
        <w:gridCol w:w="10117"/>
      </w:tblGrid>
      <w:tr>
        <w:tblPrEx>
          <w:tblW w:w="5000" w:type="pct"/>
          <w:tblInd w:w="21600" w:type="dxa"/>
          <w:tblCellMar>
            <w:left w:w="0" w:type="dxa"/>
            <w:right w:w="0" w:type="dxa"/>
          </w:tblCellMar>
          <w:tblLook w:val="04A0"/>
        </w:tblPrEx>
        <w:trPr>
          <w:trHeight w:hRule="exact"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64386">
            <w:pPr>
              <w:divId w:val="1112550249"/>
              <w:rPr>
                <w:rFonts w:ascii="Tahoma" w:eastAsia="Times New Roman" w:hAnsi="Tahoma" w:cs="Tahoma"/>
                <w:b/>
                <w:bCs/>
                <w:sz w:val="23"/>
                <w:szCs w:val="23"/>
              </w:rPr>
            </w:pPr>
            <w:r>
              <w:rPr>
                <w:rFonts w:ascii="Tahoma" w:eastAsia="Times New Roman" w:hAnsi="Tahoma" w:cs="Tahoma"/>
                <w:b/>
                <w:bCs/>
                <w:sz w:val="23"/>
                <w:szCs w:val="23"/>
              </w:rPr>
              <w:t>Seznam připomínek - Seznam připomínek (MS Word)</w:t>
            </w:r>
          </w:p>
          <w:p w:rsidR="00264386">
            <w:pPr>
              <w:divId w:val="291983872"/>
              <w:jc w:val="right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Strana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fldChar w:fldCharType="begin"/>
            </w:r>
            <w:r>
              <w:rPr>
                <w:rFonts w:ascii="Tahoma" w:eastAsia="Times New Roman" w:hAnsi="Tahoma" w:cs="Tahoma"/>
                <w:sz w:val="18"/>
                <w:szCs w:val="18"/>
              </w:rPr>
              <w:instrText xml:space="preserve"> PAGE </w:instrText>
            </w:r>
            <w:r>
              <w:rPr>
                <w:rFonts w:ascii="Tahoma" w:eastAsia="Times New Roman" w:hAnsi="Tahoma" w:cs="Tahoma"/>
                <w:sz w:val="18"/>
                <w:szCs w:val="18"/>
              </w:rPr>
              <w:fldChar w:fldCharType="separate"/>
            </w:r>
            <w:r w:rsidR="00B648E1">
              <w:rPr>
                <w:rFonts w:ascii="Tahoma" w:eastAsia="Times New Roman" w:hAnsi="Tahoma" w:cs="Tahoma"/>
                <w:noProof/>
                <w:sz w:val="18"/>
                <w:szCs w:val="18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z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fldChar w:fldCharType="begin"/>
            </w:r>
            <w:r>
              <w:rPr>
                <w:rFonts w:ascii="Tahoma" w:eastAsia="Times New Roman" w:hAnsi="Tahoma" w:cs="Tahoma"/>
                <w:sz w:val="18"/>
                <w:szCs w:val="18"/>
              </w:rPr>
              <w:instrText xml:space="preserve"> NUMPAGES </w:instrText>
            </w:r>
            <w:r>
              <w:rPr>
                <w:rFonts w:ascii="Tahoma" w:eastAsia="Times New Roman" w:hAnsi="Tahoma" w:cs="Tahoma"/>
                <w:sz w:val="18"/>
                <w:szCs w:val="18"/>
              </w:rPr>
              <w:fldChar w:fldCharType="separate"/>
            </w:r>
            <w:r w:rsidR="00B648E1">
              <w:rPr>
                <w:rFonts w:ascii="Tahoma" w:eastAsia="Times New Roman" w:hAnsi="Tahoma" w:cs="Tahoma"/>
                <w:noProof/>
                <w:sz w:val="18"/>
                <w:szCs w:val="18"/>
              </w:rPr>
              <w:t>2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p w:rsidR="00264386">
            <w:pPr>
              <w:divId w:val="1680617465"/>
              <w:spacing w:line="15" w:lineRule="exact"/>
              <w:rPr>
                <w:rFonts w:ascii="Tahoma" w:eastAsia="Times New Roman" w:hAnsi="Tahoma" w:cs="Tahoma"/>
                <w:vanish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vanish/>
                <w:sz w:val="18"/>
                <w:szCs w:val="18"/>
              </w:rPr>
              <w:t>X</w:t>
            </w:r>
          </w:p>
        </w:tc>
      </w:tr>
    </w:tbl>
    <w:p w:rsidR="00264386">
      <w:pPr>
        <w:divId w:val="1030834874"/>
        <w:rPr>
          <w:rFonts w:ascii="Tahoma" w:eastAsia="Times New Roman" w:hAnsi="Tahoma" w:cs="Tahoma"/>
          <w:sz w:val="18"/>
          <w:szCs w:val="18"/>
        </w:rPr>
      </w:pPr>
      <w:r>
        <w:rPr>
          <w:rFonts w:ascii="Tahoma" w:eastAsia="Times New Roman" w:hAnsi="Tahoma" w:cs="Tahoma"/>
          <w:sz w:val="18"/>
          <w:szCs w:val="18"/>
        </w:rPr>
        <w:t xml:space="preserve">Resortní organizace MF předkládají připomínky mimo systém </w:t>
      </w:r>
      <w:r>
        <w:rPr>
          <w:rFonts w:ascii="Tahoma" w:eastAsia="Times New Roman" w:hAnsi="Tahoma" w:cs="Tahoma"/>
          <w:sz w:val="18"/>
          <w:szCs w:val="18"/>
        </w:rPr>
        <w:t>EPD</w:t>
      </w:r>
      <w:r w:rsidR="007C60D5">
        <w:rPr>
          <w:rFonts w:ascii="Tahoma" w:eastAsia="Times New Roman" w:hAnsi="Tahoma" w:cs="Tahoma"/>
          <w:sz w:val="18"/>
          <w:szCs w:val="18"/>
        </w:rPr>
        <w:t>, doručeny byly předkladatelskému odboru prostřednictvím e-mailu.</w:t>
      </w:r>
    </w:p>
    <w:tbl>
      <w:tblPr>
        <w:tblW w:w="4131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5"/>
        <w:gridCol w:w="703"/>
        <w:gridCol w:w="1173"/>
        <w:gridCol w:w="3295"/>
        <w:gridCol w:w="3119"/>
      </w:tblGrid>
      <w:tr w:rsidTr="0069291F">
        <w:tblPrEx>
          <w:tblW w:w="4131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821"/>
          <w:tblHeader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9291F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Resort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9291F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Článek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9291F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Relevance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9291F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Připomínka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9291F">
            <w:pPr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Vypořádání</w:t>
            </w:r>
          </w:p>
        </w:tc>
      </w:tr>
      <w:tr w:rsidTr="0069291F">
        <w:tblPrEx>
          <w:tblW w:w="4131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291F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GFŘ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291F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Bez určení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291F" w:rsidP="00594583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Požadavek na prodloužení délky planosti uzavřené smlouvy s dodavatelem. Používaná délka 1 roku je administrativně nevhodná pro GFŘ, každý rok se může měnit dodavatel, s čímž souvisí komplikace v komunikaci, atd.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7C60D5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Akceptováno, dosud používaná délka smluvního vztahu na 1 rok bude prodloužena na 2 roky.</w:t>
            </w:r>
          </w:p>
        </w:tc>
      </w:tr>
      <w:tr w:rsidTr="0069291F">
        <w:tblPrEx>
          <w:tblW w:w="4131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291F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GFŘ 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291F" w:rsidP="007B3F83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Bez určení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9291F" w:rsidP="007C60D5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D8033E">
              <w:rPr>
                <w:rFonts w:ascii="Tahoma" w:eastAsia="Times New Roman" w:hAnsi="Tahoma" w:cs="Tahoma"/>
                <w:sz w:val="18"/>
                <w:szCs w:val="18"/>
              </w:rPr>
              <w:t>Jednorázovou elektronickou aukci (burzovní obchod) nahradit formou postupného nákupu na komoditní burze, při kterém je možné dosáhnout určité průměrné ceny.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7684D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D8033E">
              <w:rPr>
                <w:rFonts w:ascii="Tahoma" w:eastAsia="Times New Roman" w:hAnsi="Tahoma" w:cs="Tahoma"/>
                <w:sz w:val="18"/>
                <w:szCs w:val="18"/>
              </w:rPr>
              <w:t>Neakceptováno. Tato forma nákupu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při stávající situaci na trhu, kdy se ceny za energii neustále zvyšují, </w:t>
            </w:r>
            <w:r w:rsidRPr="00D8033E">
              <w:rPr>
                <w:rFonts w:ascii="Tahoma" w:eastAsia="Times New Roman" w:hAnsi="Tahoma" w:cs="Tahoma"/>
                <w:sz w:val="18"/>
                <w:szCs w:val="18"/>
              </w:rPr>
              <w:t xml:space="preserve">předem nezaručuje dosažení výhodnějších cen oproti jednorázové elektronické aukci.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Dále</w:t>
            </w:r>
            <w:r w:rsidRPr="00D8033E">
              <w:rPr>
                <w:rFonts w:ascii="Tahoma" w:eastAsia="Times New Roman" w:hAnsi="Tahoma" w:cs="Tahoma"/>
                <w:sz w:val="18"/>
                <w:szCs w:val="18"/>
              </w:rPr>
              <w:t xml:space="preserve"> však vyžaduje velice aktivní přístup zástupce odběratele k vývoji cen na trhu a zahájení nákupu při předpokládaném „výhodném“ období, což může být administrativně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nereálné</w:t>
            </w:r>
            <w:r w:rsidRPr="00D8033E">
              <w:rPr>
                <w:rFonts w:ascii="Tahoma" w:eastAsia="Times New Roman" w:hAnsi="Tahoma" w:cs="Tahoma"/>
                <w:sz w:val="18"/>
                <w:szCs w:val="18"/>
              </w:rPr>
              <w:t xml:space="preserve"> při nákupu pro všechny pověřující zadavatele.  </w:t>
            </w:r>
          </w:p>
        </w:tc>
      </w:tr>
      <w:tr w:rsidTr="0069291F">
        <w:tblPrEx>
          <w:tblW w:w="4131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978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87AF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GFŘ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87AF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87AF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Bez určení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87AFC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Drobné textové úpravy vztahující se k informacím o Českomoravské komoditní burze Kladno.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3E0FED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Akceptováno, text byl upraven.</w:t>
            </w:r>
          </w:p>
        </w:tc>
      </w:tr>
      <w:tr w:rsidTr="0069291F">
        <w:tblPrEx>
          <w:tblW w:w="4131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1331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87AF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GFŘ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87AF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87AF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Bez určení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RPr="00F5610C" w:rsidP="00887AFC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F5610C">
              <w:rPr>
                <w:rFonts w:ascii="Tahoma" w:eastAsia="Times New Roman" w:hAnsi="Tahoma" w:cs="Tahoma"/>
                <w:sz w:val="18"/>
                <w:szCs w:val="18"/>
              </w:rPr>
              <w:t>Nastavení obchodních podmínek v závěrkových listech (splatnost faktur, způsob fakturace, podmínky samoodečtů, změny odběrných míst apod.)</w:t>
            </w:r>
          </w:p>
          <w:p w:rsidR="0069291F" w:rsidRPr="00F5610C" w:rsidP="00887AFC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RPr="00F5610C" w:rsidP="00D8033E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F5610C">
              <w:rPr>
                <w:rFonts w:ascii="Tahoma" w:eastAsia="Times New Roman" w:hAnsi="Tahoma" w:cs="Tahoma"/>
                <w:sz w:val="18"/>
                <w:szCs w:val="18"/>
              </w:rPr>
              <w:t xml:space="preserve">Akceptováno. V případě zájmu můžou jednotliví odběratelé zpracovat upřesňující obchodní podmínky, které budou součástí Závěrkových listů jako jejich příloha.  </w:t>
            </w:r>
          </w:p>
        </w:tc>
      </w:tr>
      <w:tr w:rsidTr="0069291F">
        <w:tblPrEx>
          <w:tblW w:w="4131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87AF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GFŘ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87AF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87AF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Bez určení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87AFC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Upřesnění informací o objemu provedených obchodních transakcí na Energetické burze.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D8033E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Akceptováno, stávající informace z dokumentu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MPO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byly nahrazeny informacemi o uzavřených obchodech přímo ze statistik komoditních burz.  </w:t>
            </w:r>
          </w:p>
        </w:tc>
      </w:tr>
      <w:tr w:rsidTr="0069291F">
        <w:tblPrEx>
          <w:tblW w:w="4131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2800"/>
        </w:trPr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87AF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GFŘ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87AF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887AFC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Bez určení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7A2CC7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Není možné porovnávat náklady za Dohodce mezi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ČMKBK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PXE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, neboť na straně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PXE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nejsou tyto náklady účtovány externím dodavatelem, Dohodci jsou přímo zaměstnanci burzy.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677AA8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Neakceptováno. Ačkoliv jsou Dohodci burzy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PXE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přímo zaměstnanci burzy, náklady za zprostředkování obchodu vznikají, a jsou zohledněny ve výši nákladů za provedenou transakci. Při obchodování na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ČMKBK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se zvlášť účtují poplatky Dohodců a burzovní poplatky, při obchodování na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PXE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jsou náklady Dohodců a burzovní poplatky zahrnuty do celkových nákladů. </w:t>
            </w:r>
          </w:p>
        </w:tc>
      </w:tr>
      <w:tr w:rsidTr="0069291F">
        <w:tblPrEx>
          <w:tblW w:w="4131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1A0FEE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GFŘ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1A0FEE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1A0FEE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Bez určení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1E2BE2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A2548C">
              <w:rPr>
                <w:rFonts w:ascii="Tahoma" w:eastAsia="Times New Roman" w:hAnsi="Tahoma" w:cs="Tahoma"/>
                <w:sz w:val="18"/>
                <w:szCs w:val="18"/>
              </w:rPr>
              <w:t>Důležitou roli (</w:t>
            </w:r>
            <w:r w:rsidRPr="00A2548C">
              <w:rPr>
                <w:rFonts w:ascii="Tahoma" w:eastAsia="Times New Roman" w:hAnsi="Tahoma" w:cs="Tahoma"/>
                <w:sz w:val="18"/>
                <w:szCs w:val="18"/>
              </w:rPr>
              <w:t>né-li</w:t>
            </w:r>
            <w:r w:rsidRPr="00A2548C">
              <w:rPr>
                <w:rFonts w:ascii="Tahoma" w:eastAsia="Times New Roman" w:hAnsi="Tahoma" w:cs="Tahoma"/>
                <w:sz w:val="18"/>
                <w:szCs w:val="18"/>
              </w:rPr>
              <w:t xml:space="preserve"> nejdůležitější) při výběru burzy by měly hrát burzovní poplatky a případně poplatky za zprostředkování nákupu dohodci.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RPr="008121E8" w:rsidP="008121E8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8121E8">
              <w:rPr>
                <w:rFonts w:ascii="Tahoma" w:eastAsia="Times New Roman" w:hAnsi="Tahoma" w:cs="Tahoma"/>
                <w:sz w:val="18"/>
                <w:szCs w:val="18"/>
              </w:rPr>
              <w:t>Neakceptováno. Při výběru konkrétní burzy je nezbytné zohledňovat nejen burzovní poplatky a náklady za zprostředkování burzy, ale též rozsah služeb poskytnutých konkrétní burzou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a dohodcem</w:t>
            </w:r>
            <w:r w:rsidRPr="008121E8">
              <w:rPr>
                <w:rFonts w:ascii="Tahoma" w:eastAsia="Times New Roman" w:hAnsi="Tahoma" w:cs="Tahoma"/>
                <w:sz w:val="18"/>
                <w:szCs w:val="18"/>
              </w:rPr>
              <w:t xml:space="preserve"> v souvislosti s přípravou podkladů pro obchodování na burze, a zejména </w:t>
            </w:r>
            <w:r w:rsidRPr="008121E8">
              <w:rPr>
                <w:rFonts w:ascii="Tahoma" w:hAnsi="Tahoma" w:cs="Tahoma"/>
                <w:sz w:val="18"/>
                <w:szCs w:val="18"/>
              </w:rPr>
              <w:t>funkčnost obchodování na konkrétní komoditní burze (např. četnost obchodování, objemy obchodovaných komodit, atd.).</w:t>
            </w:r>
            <w:r w:rsidRPr="008121E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  <w:p w:rsidR="0069291F" w:rsidRPr="008121E8" w:rsidP="008121E8">
            <w:pPr>
              <w:jc w:val="both"/>
              <w:rPr>
                <w:rFonts w:ascii="Tahoma" w:eastAsia="Times New Roman" w:hAnsi="Tahoma" w:cs="Tahoma"/>
                <w:color w:val="FF0000"/>
                <w:sz w:val="18"/>
                <w:szCs w:val="18"/>
              </w:rPr>
            </w:pPr>
            <w:r w:rsidRPr="008121E8">
              <w:rPr>
                <w:rFonts w:ascii="Tahoma" w:eastAsia="Times New Roman" w:hAnsi="Tahoma" w:cs="Tahoma"/>
                <w:sz w:val="18"/>
                <w:szCs w:val="18"/>
              </w:rPr>
              <w:t xml:space="preserve">Pro výběr konkrétní burzy byly čerpány informace z dokumentu </w:t>
            </w:r>
            <w:r w:rsidRPr="008121E8">
              <w:rPr>
                <w:rFonts w:ascii="Tahoma" w:eastAsia="Times New Roman" w:hAnsi="Tahoma" w:cs="Tahoma"/>
                <w:sz w:val="18"/>
                <w:szCs w:val="18"/>
              </w:rPr>
              <w:t>MPO</w:t>
            </w:r>
            <w:r w:rsidRPr="008121E8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8121E8">
              <w:rPr>
                <w:rFonts w:ascii="Tahoma" w:hAnsi="Tahoma" w:cs="Tahoma"/>
                <w:sz w:val="18"/>
                <w:szCs w:val="18"/>
              </w:rPr>
              <w:t xml:space="preserve">o vývoji komoditního trhu a činnosti komoditních burz v působnosti Ministerstva průmyslu a obchodu za </w:t>
            </w:r>
            <w:r w:rsidRPr="008121E8">
              <w:rPr>
                <w:rFonts w:ascii="Tahoma" w:hAnsi="Tahoma" w:cs="Tahoma"/>
                <w:sz w:val="18"/>
                <w:szCs w:val="18"/>
              </w:rPr>
              <w:t>rok 2017, statistik uvedených na internetových stránkách jednotlivých komoditních burz</w:t>
            </w:r>
            <w:r>
              <w:rPr>
                <w:rFonts w:ascii="Tahoma" w:hAnsi="Tahoma" w:cs="Tahoma"/>
                <w:sz w:val="18"/>
                <w:szCs w:val="18"/>
              </w:rPr>
              <w:t>, burzovních pravidel pro trh s komoditami pro konečné zákazníky</w:t>
            </w:r>
            <w:r w:rsidRPr="008121E8">
              <w:rPr>
                <w:rFonts w:ascii="Tahoma" w:hAnsi="Tahoma" w:cs="Tahoma"/>
                <w:sz w:val="18"/>
                <w:szCs w:val="18"/>
              </w:rPr>
              <w:t xml:space="preserve"> a průzkumu trhu pro stanovení celkových nákladů za přípravu a realizaci nákupu energií na burze.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Tr="0069291F">
        <w:tblPrEx>
          <w:tblW w:w="4131" w:type="pct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1A0FEE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GFŘ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1A0FEE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P="001A0FEE">
            <w:pPr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Bez určení</w:t>
            </w:r>
          </w:p>
        </w:tc>
        <w:tc>
          <w:tcPr>
            <w:tcW w:w="3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RPr="00F5610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 w:rsidRPr="00F5610C">
              <w:rPr>
                <w:rFonts w:ascii="Tahoma" w:eastAsia="Times New Roman" w:hAnsi="Tahoma" w:cs="Tahoma"/>
                <w:sz w:val="18"/>
                <w:szCs w:val="18"/>
              </w:rPr>
              <w:t>Požadavek na garanci, že „</w:t>
            </w:r>
            <w:r w:rsidRPr="00F5610C">
              <w:rPr>
                <w:rFonts w:ascii="Tahoma" w:eastAsia="Times New Roman" w:hAnsi="Tahoma" w:cs="Tahoma"/>
                <w:sz w:val="18"/>
                <w:szCs w:val="18"/>
              </w:rPr>
              <w:t>vysoutěžený</w:t>
            </w:r>
            <w:r w:rsidRPr="00F5610C">
              <w:rPr>
                <w:rFonts w:ascii="Tahoma" w:eastAsia="Times New Roman" w:hAnsi="Tahoma" w:cs="Tahoma"/>
                <w:sz w:val="18"/>
                <w:szCs w:val="18"/>
              </w:rPr>
              <w:t xml:space="preserve">“ dodavatel skutečně dodrží celé smluvní období dodávek energií, abychom snížili riziko na straně úpadku dodavatele např. z důvodu cenové spekulace – viz případ úpadku dodavatele </w:t>
            </w:r>
            <w:r w:rsidRPr="00F5610C">
              <w:rPr>
                <w:rFonts w:ascii="Tahoma" w:eastAsia="Times New Roman" w:hAnsi="Tahoma" w:cs="Tahoma"/>
                <w:sz w:val="18"/>
                <w:szCs w:val="18"/>
              </w:rPr>
              <w:t>ONE</w:t>
            </w:r>
            <w:r w:rsidRPr="00F5610C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Pr="00F5610C">
              <w:rPr>
                <w:rFonts w:ascii="Tahoma" w:eastAsia="Times New Roman" w:hAnsi="Tahoma" w:cs="Tahoma"/>
                <w:sz w:val="18"/>
                <w:szCs w:val="18"/>
              </w:rPr>
              <w:t>ENERGY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9291F" w:rsidRPr="00F5610C" w:rsidP="00D8033E">
            <w:pPr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 w:rsidRPr="00F5610C">
              <w:rPr>
                <w:rFonts w:ascii="Tahoma" w:eastAsia="Times New Roman" w:hAnsi="Tahoma" w:cs="Tahoma"/>
                <w:sz w:val="18"/>
                <w:szCs w:val="18"/>
              </w:rPr>
              <w:t>Neakceptováno. Žádná burza nemůže předjímat úpadek registrovaného dodavatele. Při vstupu na burzu musí všichni dodavatelé splňovat stejné podmínky a kvalifikaci. Pokud dodavatel tyto podmínky splňuje, není důvod pochybovat jeho způsobilosti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pro budoucí čas</w:t>
            </w:r>
            <w:r w:rsidRPr="00F5610C">
              <w:rPr>
                <w:rFonts w:ascii="Tahoma" w:eastAsia="Times New Roman" w:hAnsi="Tahoma" w:cs="Tahoma"/>
                <w:sz w:val="18"/>
                <w:szCs w:val="18"/>
              </w:rPr>
              <w:t>.</w:t>
            </w:r>
          </w:p>
        </w:tc>
      </w:tr>
    </w:tbl>
    <w:p w:rsidR="00264386">
      <w:pPr>
        <w:pStyle w:val="NormalWeb"/>
        <w:spacing w:before="150" w:beforeAutospacing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Vytiskl: </w:t>
      </w:r>
      <w:r>
        <w:rPr>
          <w:rFonts w:ascii="Tahoma" w:hAnsi="Tahoma" w:cs="Tahoma"/>
          <w:sz w:val="18"/>
          <w:szCs w:val="18"/>
        </w:rPr>
        <w:t>Hynčíková</w:t>
      </w:r>
      <w:r>
        <w:rPr>
          <w:rFonts w:ascii="Tahoma" w:hAnsi="Tahoma" w:cs="Tahoma"/>
          <w:sz w:val="18"/>
          <w:szCs w:val="18"/>
        </w:rPr>
        <w:t xml:space="preserve"> Blanka, Ing., </w:t>
      </w:r>
      <w:r w:rsidR="00677AA8">
        <w:rPr>
          <w:rFonts w:ascii="Tahoma" w:hAnsi="Tahoma" w:cs="Tahoma"/>
          <w:sz w:val="18"/>
          <w:szCs w:val="18"/>
        </w:rPr>
        <w:t>15</w:t>
      </w:r>
      <w:r>
        <w:rPr>
          <w:rFonts w:ascii="Tahoma" w:hAnsi="Tahoma" w:cs="Tahoma"/>
          <w:sz w:val="18"/>
          <w:szCs w:val="18"/>
        </w:rPr>
        <w:t>.08.2018 08:48:41</w:t>
      </w:r>
      <w:r>
        <w:rPr>
          <w:rFonts w:ascii="Tahoma" w:hAnsi="Tahoma" w:cs="Tahoma"/>
          <w:sz w:val="18"/>
          <w:szCs w:val="18"/>
        </w:rPr>
        <w:br/>
        <w:t xml:space="preserve">Celkem vytištěno </w:t>
      </w:r>
      <w:r w:rsidR="00677AA8">
        <w:rPr>
          <w:rFonts w:ascii="Tahoma" w:hAnsi="Tahoma" w:cs="Tahoma"/>
          <w:sz w:val="18"/>
          <w:szCs w:val="18"/>
        </w:rPr>
        <w:t>8</w:t>
      </w:r>
      <w:r>
        <w:rPr>
          <w:rFonts w:ascii="Tahoma" w:hAnsi="Tahoma" w:cs="Tahoma"/>
          <w:sz w:val="18"/>
          <w:szCs w:val="18"/>
        </w:rPr>
        <w:t xml:space="preserve"> záznamů.</w:t>
      </w:r>
      <w:r>
        <w:rPr>
          <w:rFonts w:ascii="Tahoma" w:hAnsi="Tahoma" w:cs="Tahoma"/>
          <w:sz w:val="18"/>
          <w:szCs w:val="18"/>
        </w:rPr>
        <w:br/>
        <w:t>Převzal:</w:t>
      </w:r>
    </w:p>
    <w:sectPr>
      <w:headerReference w:type="default" r:id="rId4"/>
      <w:footerReference w:type="default" r:id="rId5"/>
      <w:pgSz w:w="11907" w:h="16840"/>
      <w:pgMar w:top="567" w:right="567" w:bottom="567" w:left="567" w:header="450" w:footer="45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386">
    <w:pPr>
      <w:jc w:val="right"/>
      <w:rPr>
        <w:rFonts w:ascii="Tahoma" w:eastAsia="Times New Roman" w:hAnsi="Tahoma" w:cs="Tahoma"/>
        <w:sz w:val="18"/>
        <w:szCs w:val="18"/>
      </w:rPr>
    </w:pPr>
    <w:r>
      <w:rPr>
        <w:rFonts w:ascii="Tahoma" w:eastAsia="Times New Roman" w:hAnsi="Tahoma" w:cs="Tahoma"/>
        <w:sz w:val="18"/>
        <w:szCs w:val="18"/>
      </w:rPr>
      <w:t xml:space="preserve">Strana </w:t>
    </w:r>
    <w:r>
      <w:rPr>
        <w:rFonts w:ascii="Tahoma" w:eastAsia="Times New Roman" w:hAnsi="Tahoma" w:cs="Tahoma"/>
        <w:sz w:val="18"/>
        <w:szCs w:val="18"/>
      </w:rPr>
      <w:fldChar w:fldCharType="begin"/>
    </w:r>
    <w:r>
      <w:rPr>
        <w:rFonts w:ascii="Tahoma" w:eastAsia="Times New Roman" w:hAnsi="Tahoma" w:cs="Tahoma"/>
        <w:sz w:val="18"/>
        <w:szCs w:val="18"/>
      </w:rPr>
      <w:instrText xml:space="preserve"> PAGE </w:instrText>
    </w:r>
    <w:r>
      <w:rPr>
        <w:rFonts w:ascii="Tahoma" w:eastAsia="Times New Roman" w:hAnsi="Tahoma" w:cs="Tahoma"/>
        <w:sz w:val="18"/>
        <w:szCs w:val="18"/>
      </w:rPr>
      <w:fldChar w:fldCharType="separate"/>
    </w:r>
    <w:r w:rsidR="0069291F">
      <w:rPr>
        <w:rFonts w:ascii="Tahoma" w:eastAsia="Times New Roman" w:hAnsi="Tahoma" w:cs="Tahoma"/>
        <w:noProof/>
        <w:sz w:val="18"/>
        <w:szCs w:val="18"/>
      </w:rPr>
      <w:t>1</w:t>
    </w:r>
    <w:r>
      <w:rPr>
        <w:rFonts w:ascii="Tahoma" w:eastAsia="Times New Roman" w:hAnsi="Tahoma" w:cs="Tahoma"/>
        <w:sz w:val="18"/>
        <w:szCs w:val="18"/>
      </w:rPr>
      <w:fldChar w:fldCharType="end"/>
    </w:r>
    <w:r>
      <w:rPr>
        <w:rFonts w:ascii="Tahoma" w:eastAsia="Times New Roman" w:hAnsi="Tahoma" w:cs="Tahoma"/>
        <w:sz w:val="18"/>
        <w:szCs w:val="18"/>
      </w:rPr>
      <w:t xml:space="preserve"> z </w:t>
    </w:r>
    <w:r>
      <w:rPr>
        <w:rFonts w:ascii="Tahoma" w:eastAsia="Times New Roman" w:hAnsi="Tahoma" w:cs="Tahoma"/>
        <w:sz w:val="18"/>
        <w:szCs w:val="18"/>
      </w:rPr>
      <w:fldChar w:fldCharType="begin"/>
    </w:r>
    <w:r>
      <w:rPr>
        <w:rFonts w:ascii="Tahoma" w:eastAsia="Times New Roman" w:hAnsi="Tahoma" w:cs="Tahoma"/>
        <w:sz w:val="18"/>
        <w:szCs w:val="18"/>
      </w:rPr>
      <w:instrText xml:space="preserve"> NUMPAGES </w:instrText>
    </w:r>
    <w:r>
      <w:rPr>
        <w:rFonts w:ascii="Tahoma" w:eastAsia="Times New Roman" w:hAnsi="Tahoma" w:cs="Tahoma"/>
        <w:sz w:val="18"/>
        <w:szCs w:val="18"/>
      </w:rPr>
      <w:fldChar w:fldCharType="separate"/>
    </w:r>
    <w:r w:rsidR="0069291F">
      <w:rPr>
        <w:rFonts w:ascii="Tahoma" w:eastAsia="Times New Roman" w:hAnsi="Tahoma" w:cs="Tahoma"/>
        <w:noProof/>
        <w:sz w:val="18"/>
        <w:szCs w:val="18"/>
      </w:rPr>
      <w:t>2</w:t>
    </w:r>
    <w:r>
      <w:rPr>
        <w:rFonts w:ascii="Tahoma" w:eastAsia="Times New Roman" w:hAnsi="Tahoma" w:cs="Tahoma"/>
        <w:sz w:val="18"/>
        <w:szCs w:val="18"/>
      </w:rPr>
      <w:fldChar w:fldCharType="end"/>
    </w:r>
    <w:r>
      <w:rPr>
        <w:rFonts w:ascii="Tahoma" w:eastAsia="Times New Roman" w:hAnsi="Tahoma" w:cs="Tahoma"/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4386">
    <w:pPr>
      <w:divId w:val="1112550249"/>
      <w:rPr>
        <w:rFonts w:ascii="Tahoma" w:eastAsia="Times New Roman" w:hAnsi="Tahoma" w:cs="Tahoma"/>
        <w:b/>
        <w:bCs/>
        <w:sz w:val="23"/>
        <w:szCs w:val="23"/>
      </w:rPr>
    </w:pPr>
    <w:r>
      <w:rPr>
        <w:rFonts w:ascii="Tahoma" w:eastAsia="Times New Roman" w:hAnsi="Tahoma" w:cs="Tahoma"/>
        <w:b/>
        <w:bCs/>
        <w:sz w:val="23"/>
        <w:szCs w:val="23"/>
      </w:rPr>
      <w:t xml:space="preserve">Seznam připomínek </w:t>
    </w:r>
    <w:r w:rsidR="007B3F83">
      <w:rPr>
        <w:rFonts w:ascii="Tahoma" w:eastAsia="Times New Roman" w:hAnsi="Tahoma" w:cs="Tahoma"/>
        <w:b/>
        <w:bCs/>
        <w:sz w:val="23"/>
        <w:szCs w:val="23"/>
      </w:rPr>
      <w:t>–</w:t>
    </w:r>
    <w:r>
      <w:rPr>
        <w:rFonts w:ascii="Tahoma" w:eastAsia="Times New Roman" w:hAnsi="Tahoma" w:cs="Tahoma"/>
        <w:b/>
        <w:bCs/>
        <w:sz w:val="23"/>
        <w:szCs w:val="23"/>
      </w:rPr>
      <w:t xml:space="preserve"> </w:t>
    </w:r>
    <w:r w:rsidR="007B3F83">
      <w:rPr>
        <w:rFonts w:ascii="Tahoma" w:eastAsia="Times New Roman" w:hAnsi="Tahoma" w:cs="Tahoma"/>
        <w:b/>
        <w:bCs/>
        <w:sz w:val="23"/>
        <w:szCs w:val="23"/>
      </w:rPr>
      <w:t>resortní organizace MF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00"/>
      <w:u w:val="none"/>
      <w:effect w:val="none"/>
    </w:rPr>
  </w:style>
  <w:style w:type="paragraph" w:customStyle="1" w:styleId="portrait">
    <w:name w:val="portrait"/>
    <w:basedOn w:val="Normal"/>
    <w:pPr>
      <w:spacing w:before="100" w:beforeAutospacing="1" w:after="100" w:afterAutospacing="1"/>
    </w:pPr>
  </w:style>
  <w:style w:type="paragraph" w:customStyle="1" w:styleId="landscape">
    <w:name w:val="landscape"/>
    <w:basedOn w:val="Normal"/>
    <w:pPr>
      <w:spacing w:before="100" w:beforeAutospacing="1" w:after="100" w:afterAutospacing="1"/>
    </w:p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customStyle="1" w:styleId="Titulek1">
    <w:name w:val="Titulek1"/>
    <w:basedOn w:val="Normal"/>
    <w:pPr>
      <w:spacing w:before="100" w:beforeAutospacing="1" w:after="100" w:afterAutospacing="1"/>
    </w:pPr>
    <w:rPr>
      <w:b/>
      <w:bCs/>
      <w:sz w:val="31"/>
      <w:szCs w:val="31"/>
    </w:rPr>
  </w:style>
  <w:style w:type="paragraph" w:customStyle="1" w:styleId="center">
    <w:name w:val="center"/>
    <w:basedOn w:val="Normal"/>
    <w:pPr>
      <w:spacing w:before="100" w:beforeAutospacing="1" w:after="100" w:afterAutospacing="1"/>
      <w:jc w:val="center"/>
    </w:pPr>
  </w:style>
  <w:style w:type="paragraph" w:customStyle="1" w:styleId="tableheader">
    <w:name w:val="tableheader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CCCCC"/>
      <w:spacing w:before="100" w:beforeAutospacing="1" w:after="100" w:afterAutospacing="1"/>
      <w:jc w:val="center"/>
    </w:pPr>
    <w:rPr>
      <w:b/>
      <w:bCs/>
    </w:rPr>
  </w:style>
  <w:style w:type="paragraph" w:styleId="Header">
    <w:name w:val="header"/>
    <w:basedOn w:val="Normal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DefaultParagraphFont"/>
    <w:link w:val="Footer"/>
    <w:uiPriority w:val="99"/>
    <w:rPr>
      <w:rFonts w:eastAsiaTheme="minorEastAsia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87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1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529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EPD - Tiskový výstup</vt:lpstr>
    </vt:vector>
  </TitlesOfParts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2018-09-04T07:08:00Z</dcterms:created>
</cp:coreProperties>
</file>