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rPr>
          <w:rFonts w:ascii="Segoe UI Light" w:hAnsi="Segoe UI Light" w:cs="Segoe UI Light"/>
          <w:color w:val="A7A7A7"/>
          <w:sz w:val="36"/>
          <w:szCs w:val="36"/>
          <w:lang w:eastAsia="cs-CZ"/>
        </w:rPr>
        <w:id w:val="1193654923"/>
        <w:docPartObj>
          <w:docPartGallery w:val="Cover Pages"/>
          <w:docPartUnique/>
        </w:docPartObj>
      </w:sdtPr>
      <w:sdtEndPr>
        <w:rPr>
          <w:rFonts w:ascii="Cambria" w:hAnsi="Cambria" w:cs="Tahoma"/>
          <w:color w:val="auto"/>
          <w:sz w:val="24"/>
          <w:szCs w:val="20"/>
          <w:lang w:eastAsia="en-US"/>
        </w:rPr>
      </w:sdtEndPr>
      <w:sdtContent>
        <w:p w:rsidR="00880254" w:rsidP="00880254">
          <w:r w:rsidRPr="00D4592A">
            <w:rPr>
              <w:noProof/>
              <w:lang w:eastAsia="cs-CZ"/>
            </w:rPr>
            <w:drawing>
              <wp:anchor distT="0" distB="0" distL="114300" distR="114300" simplePos="0" relativeHeight="251660288" behindDoc="0" locked="0" layoutInCell="1" allowOverlap="1">
                <wp:simplePos x="0" y="0"/>
                <wp:positionH relativeFrom="column">
                  <wp:posOffset>4859020</wp:posOffset>
                </wp:positionH>
                <wp:positionV relativeFrom="paragraph">
                  <wp:posOffset>-361950</wp:posOffset>
                </wp:positionV>
                <wp:extent cx="647700" cy="740410"/>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74041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553F97">
            <w:rPr>
              <w:rFonts w:ascii="Segoe UI Light" w:hAnsi="Segoe UI Light" w:cs="Segoe UI Light"/>
              <w:color w:val="A7A7A7"/>
              <w:sz w:val="36"/>
              <w:szCs w:val="36"/>
              <w:lang w:eastAsia="cs-CZ"/>
            </w:rPr>
            <w:t>Metodický pokyn CHJ č. 11</w:t>
          </w:r>
        </w:p>
        <w:p w:rsidR="00880254" w:rsidRPr="00C0421C" w:rsidP="00880254">
          <w:pPr>
            <w:sectPr w:rsidSect="00880254">
              <w:footerReference w:type="default" r:id="rId7"/>
              <w:footerReference w:type="first" r:id="rId8"/>
              <w:pgSz w:w="11906" w:h="16838"/>
              <w:pgMar w:top="1417" w:right="1417" w:bottom="1417" w:left="1417" w:header="708" w:footer="708" w:gutter="0"/>
              <w:pgNumType w:start="0"/>
              <w:cols w:space="708"/>
              <w:titlePg/>
              <w:docGrid w:linePitch="360"/>
            </w:sectPr>
          </w:pPr>
          <w:r>
            <w:rPr>
              <w:noProof/>
              <w:lang w:eastAsia="cs-CZ"/>
            </w:rPr>
            <mc:AlternateContent>
              <mc:Choice Requires="wps">
                <w:drawing>
                  <wp:anchor distT="45720" distB="45720" distL="114300" distR="114300" simplePos="0" relativeHeight="251664384" behindDoc="0" locked="0" layoutInCell="1" allowOverlap="1">
                    <wp:simplePos x="0" y="0"/>
                    <wp:positionH relativeFrom="column">
                      <wp:posOffset>-404495</wp:posOffset>
                    </wp:positionH>
                    <wp:positionV relativeFrom="paragraph">
                      <wp:posOffset>7862570</wp:posOffset>
                    </wp:positionV>
                    <wp:extent cx="2028825" cy="628650"/>
                    <wp:effectExtent l="0" t="0" r="0" b="0"/>
                    <wp:wrapSquare wrapText="bothSides"/>
                    <wp:docPr id="21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8825" cy="628650"/>
                            </a:xfrm>
                            <a:prstGeom prst="rect">
                              <a:avLst/>
                            </a:prstGeom>
                            <a:noFill/>
                            <a:ln w="9525">
                              <a:noFill/>
                              <a:miter lim="800000"/>
                              <a:headEnd/>
                              <a:tailEnd/>
                            </a:ln>
                          </wps:spPr>
                          <wps:txbx>
                            <w:txbxContent>
                              <w:p w:rsidR="00496013" w:rsidRPr="005366F2" w:rsidP="00880254">
                                <w:pPr>
                                  <w:spacing w:after="0"/>
                                  <w:rPr>
                                    <w:rFonts w:asciiTheme="minorHAnsi" w:hAnsiTheme="minorHAnsi"/>
                                  </w:rPr>
                                </w:pPr>
                                <w:r w:rsidRPr="005366F2">
                                  <w:rPr>
                                    <w:rFonts w:asciiTheme="minorHAnsi" w:hAnsiTheme="minorHAnsi"/>
                                  </w:rPr>
                                  <w:t>Verze 1.0</w:t>
                                </w:r>
                              </w:p>
                              <w:p w:rsidR="00496013" w:rsidRPr="005366F2" w:rsidP="00880254">
                                <w:pPr>
                                  <w:spacing w:after="0"/>
                                  <w:rPr>
                                    <w:rFonts w:asciiTheme="minorHAnsi" w:hAnsiTheme="minorHAnsi"/>
                                  </w:rPr>
                                </w:pPr>
                                <w:r w:rsidRPr="005366F2">
                                  <w:rPr>
                                    <w:rFonts w:asciiTheme="minorHAnsi" w:hAnsiTheme="minorHAnsi"/>
                                  </w:rPr>
                                  <w:t>Právní stav k 31. 3. 2020</w:t>
                                </w:r>
                              </w:p>
                              <w:p w:rsidR="00496013" w:rsidRPr="005366F2">
                                <w:pPr>
                                  <w:rPr>
                                    <w:rFonts w:asciiTheme="minorHAnsi" w:hAnsiTheme="minorHAnsi"/>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5" type="#_x0000_t202" style="height:49.5pt;margin-left:-31.85pt;margin-top:619.1pt;mso-height-percent:0;mso-height-relative:margin;mso-width-percent:0;mso-width-relative:margin;mso-wrap-distance-bottom:3.6pt;mso-wrap-distance-left:9pt;mso-wrap-distance-right:9pt;mso-wrap-distance-top:3.6pt;mso-wrap-style:square;position:absolute;v-text-anchor:top;visibility:visible;width:159.75pt;z-index:251665408" filled="f" stroked="f">
                    <v:textbox>
                      <w:txbxContent>
                        <w:p w:rsidR="00496013" w:rsidRPr="005366F2" w:rsidP="00880254">
                          <w:pPr>
                            <w:spacing w:after="0"/>
                            <w:rPr>
                              <w:rFonts w:asciiTheme="minorHAnsi" w:hAnsiTheme="minorHAnsi"/>
                            </w:rPr>
                          </w:pPr>
                          <w:r w:rsidRPr="005366F2">
                            <w:rPr>
                              <w:rFonts w:asciiTheme="minorHAnsi" w:hAnsiTheme="minorHAnsi"/>
                            </w:rPr>
                            <w:t>Verze 1.0</w:t>
                          </w:r>
                        </w:p>
                        <w:p w:rsidR="00496013" w:rsidRPr="005366F2" w:rsidP="00880254">
                          <w:pPr>
                            <w:spacing w:after="0"/>
                            <w:rPr>
                              <w:rFonts w:asciiTheme="minorHAnsi" w:hAnsiTheme="minorHAnsi"/>
                            </w:rPr>
                          </w:pPr>
                          <w:r w:rsidRPr="005366F2">
                            <w:rPr>
                              <w:rFonts w:asciiTheme="minorHAnsi" w:hAnsiTheme="minorHAnsi"/>
                            </w:rPr>
                            <w:t>Právní stav k 31. 3. 2020</w:t>
                          </w:r>
                        </w:p>
                        <w:p w:rsidR="00496013" w:rsidRPr="005366F2">
                          <w:pPr>
                            <w:rPr>
                              <w:rFonts w:asciiTheme="minorHAnsi" w:hAnsiTheme="minorHAnsi"/>
                            </w:rPr>
                          </w:pPr>
                        </w:p>
                      </w:txbxContent>
                    </v:textbox>
                    <w10:wrap type="square"/>
                  </v:shape>
                </w:pict>
              </mc:Fallback>
            </mc:AlternateContent>
          </w:r>
          <w:r>
            <w:rPr>
              <w:noProof/>
              <w:lang w:eastAsia="cs-CZ"/>
            </w:rPr>
            <mc:AlternateContent>
              <mc:Choice Requires="wps">
                <w:drawing>
                  <wp:anchor distT="0" distB="0" distL="114300" distR="114300" simplePos="0" relativeHeight="251666432" behindDoc="0" locked="0" layoutInCell="1" allowOverlap="1">
                    <wp:simplePos x="0" y="0"/>
                    <wp:positionH relativeFrom="column">
                      <wp:posOffset>-234777</wp:posOffset>
                    </wp:positionH>
                    <wp:positionV relativeFrom="paragraph">
                      <wp:posOffset>4382852</wp:posOffset>
                    </wp:positionV>
                    <wp:extent cx="4690753" cy="2458193"/>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90753" cy="2458193"/>
                            </a:xfrm>
                            <a:prstGeom prst="rect">
                              <a:avLst/>
                            </a:prstGeom>
                            <a:noFill/>
                            <a:ln w="9525">
                              <a:noFill/>
                              <a:miter lim="800000"/>
                              <a:headEnd/>
                              <a:tailEnd/>
                            </a:ln>
                          </wps:spPr>
                          <wps:txbx>
                            <w:txbxContent>
                              <w:p w:rsidR="00496013"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 xml:space="preserve">VZOROVÁ SMĚRNICE </w:t>
                                </w:r>
                              </w:p>
                              <w:p w:rsidR="00496013"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 xml:space="preserve">O ŘÍZENÍ RIZIK </w:t>
                                </w:r>
                              </w:p>
                              <w:p w:rsidR="00496013" w:rsidRPr="00484599"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VE VEŘEJNÉ SPRÁVĚ</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height:193.55pt;margin-left:-18.5pt;margin-top:345.1pt;mso-height-percent:0;mso-height-relative:margin;mso-width-percent:0;mso-width-relative:margin;mso-wrap-distance-bottom:0;mso-wrap-distance-left:9pt;mso-wrap-distance-right:9pt;mso-wrap-distance-top:0;mso-wrap-style:square;position:absolute;v-text-anchor:top;visibility:visible;width:369.35pt;z-index:251667456" filled="f" stroked="f">
                    <v:textbox>
                      <w:txbxContent>
                        <w:p w:rsidR="00496013"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 xml:space="preserve">VZOROVÁ SMĚRNICE </w:t>
                          </w:r>
                        </w:p>
                        <w:p w:rsidR="00496013"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 xml:space="preserve">O ŘÍZENÍ RIZIK </w:t>
                          </w:r>
                        </w:p>
                        <w:p w:rsidR="00496013" w:rsidRPr="00484599" w:rsidP="00484599">
                          <w:pPr>
                            <w:spacing w:after="0"/>
                            <w:rPr>
                              <w:rFonts w:ascii="Segoe UI" w:hAnsi="Segoe UI" w:cs="Segoe UI"/>
                              <w:color w:val="124062" w:themeColor="accent1" w:themeShade="80"/>
                              <w:sz w:val="60"/>
                              <w:szCs w:val="60"/>
                            </w:rPr>
                          </w:pPr>
                          <w:r w:rsidRPr="00484599">
                            <w:rPr>
                              <w:rFonts w:ascii="Segoe UI" w:hAnsi="Segoe UI" w:cs="Segoe UI"/>
                              <w:color w:val="124062" w:themeColor="accent1" w:themeShade="80"/>
                              <w:sz w:val="60"/>
                              <w:szCs w:val="60"/>
                            </w:rPr>
                            <w:t>VE VEŘEJNÉ SPRÁVĚ</w:t>
                          </w:r>
                        </w:p>
                      </w:txbxContent>
                    </v:textbox>
                  </v:shape>
                </w:pict>
              </mc:Fallback>
            </mc:AlternateContent>
          </w:r>
          <w:r w:rsidRPr="00D4592A" w:rsidR="007F0902">
            <w:rPr>
              <w:noProof/>
              <w:lang w:eastAsia="cs-CZ"/>
            </w:rPr>
            <mc:AlternateContent>
              <mc:Choice Requires="wps">
                <w:drawing>
                  <wp:anchor distT="0" distB="0" distL="114300" distR="114300" simplePos="0" relativeHeight="251661312" behindDoc="1" locked="0" layoutInCell="1" allowOverlap="1">
                    <wp:simplePos x="0" y="0"/>
                    <wp:positionH relativeFrom="page">
                      <wp:posOffset>-1343342</wp:posOffset>
                    </wp:positionH>
                    <wp:positionV relativeFrom="page">
                      <wp:posOffset>2112962</wp:posOffset>
                    </wp:positionV>
                    <wp:extent cx="9996170" cy="6443345"/>
                    <wp:effectExtent l="4762" t="0" r="0" b="0"/>
                    <wp:wrapNone/>
                    <wp:docPr id="98"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996170" cy="644334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Vývojový diagram: ruční vstup 98" o:spid="_x0000_s1027" style="height:507.35pt;margin-left:-105.75pt;margin-top:166.35pt;mso-height-percent:0;mso-height-relative:page;mso-position-horizontal-relative:page;mso-position-vertical-relative:page;mso-width-percent:0;mso-width-relative:page;mso-wrap-distance-bottom:0;mso-wrap-distance-left:9pt;mso-wrap-distance-right:9pt;mso-wrap-distance-top:0;mso-wrap-style:square;position:absolute;rotation:90;v-text-anchor:middle;visibility:visible;width:787.1pt;z-index:-251654144" coordsize="10000,10843" path="m,4809l10000,l10000,10843l,10843,,4809xe" fillcolor="#f2f2f2" stroked="f" strokeweight="2pt">
                    <v:path arrowok="t"/>
                  </v:shape>
                </w:pict>
              </mc:Fallback>
            </mc:AlternateContent>
          </w:r>
          <w:r w:rsidRPr="00D4592A" w:rsidR="00880254">
            <w:rPr>
              <w:noProof/>
              <w:lang w:eastAsia="cs-CZ"/>
            </w:rPr>
            <w:drawing>
              <wp:anchor distT="0" distB="0" distL="114300" distR="114300" simplePos="0" relativeHeight="251663360" behindDoc="1" locked="0" layoutInCell="1" allowOverlap="1">
                <wp:simplePos x="0" y="0"/>
                <wp:positionH relativeFrom="column">
                  <wp:posOffset>1364615</wp:posOffset>
                </wp:positionH>
                <wp:positionV relativeFrom="paragraph">
                  <wp:posOffset>11430</wp:posOffset>
                </wp:positionV>
                <wp:extent cx="3357880" cy="335788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7880" cy="335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92A" w:rsidR="00880254">
            <w:rPr>
              <w:noProof/>
              <w:lang w:eastAsia="cs-CZ"/>
            </w:rPr>
            <mc:AlternateContent>
              <mc:Choice Requires="wps">
                <w:drawing>
                  <wp:anchor distT="0" distB="0" distL="114300" distR="114300" simplePos="0" relativeHeight="251658240" behindDoc="0" locked="0" layoutInCell="1" allowOverlap="1">
                    <wp:simplePos x="0" y="0"/>
                    <wp:positionH relativeFrom="column">
                      <wp:posOffset>3943350</wp:posOffset>
                    </wp:positionH>
                    <wp:positionV relativeFrom="paragraph">
                      <wp:posOffset>54610</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6013" w:rsidRPr="005366F2" w:rsidP="00880254">
                                <w:pPr>
                                  <w:jc w:val="center"/>
                                  <w:rPr>
                                    <w:rFonts w:asciiTheme="minorHAnsi" w:hAnsiTheme="minorHAnsi" w:cstheme="majorHAnsi"/>
                                    <w:color w:val="A6A6A6" w:themeColor="background1" w:themeShade="A6"/>
                                    <w:szCs w:val="24"/>
                                  </w:rPr>
                                </w:pPr>
                                <w:r w:rsidRPr="005366F2">
                                  <w:rPr>
                                    <w:rFonts w:asciiTheme="minorHAnsi" w:hAnsiTheme="minorHAnsi" w:cstheme="majorHAnsi"/>
                                    <w:color w:val="A6A6A6" w:themeColor="background1" w:themeShade="A6"/>
                                    <w:szCs w:val="24"/>
                                  </w:rPr>
                                  <w:t>Centrální harmonizační jednotka</w:t>
                                </w:r>
                              </w:p>
                              <w:p w:rsidR="00496013" w:rsidRPr="005366F2" w:rsidP="00880254">
                                <w:pPr>
                                  <w:jc w:val="center"/>
                                  <w:rPr>
                                    <w:rFonts w:asciiTheme="minorHAnsi" w:hAnsiTheme="minorHAnsi" w:cstheme="majorHAnsi"/>
                                    <w:color w:val="A6A6A6" w:themeColor="background1" w:themeShade="A6"/>
                                    <w:szCs w:val="24"/>
                                  </w:rPr>
                                </w:pPr>
                                <w:r w:rsidRPr="005366F2">
                                  <w:rPr>
                                    <w:rFonts w:asciiTheme="minorHAnsi" w:hAnsiTheme="minorHAnsi" w:cstheme="majorHAnsi"/>
                                    <w:color w:val="A6A6A6" w:themeColor="background1" w:themeShade="A6"/>
                                    <w:szCs w:val="24"/>
                                  </w:rPr>
                                  <w:t>Ministerstvo financí ČR</w:t>
                                </w:r>
                              </w:p>
                              <w:p w:rsidR="00496013" w:rsidRPr="008F40FB" w:rsidP="00880254">
                                <w:pPr>
                                  <w:jc w:val="center"/>
                                  <w:rPr>
                                    <w:rFonts w:ascii="Segoe UI Light" w:hAnsi="Segoe UI Light" w:cs="Segoe UI"/>
                                    <w:color w:val="A6A6A6" w:themeColor="background1" w:themeShade="A6"/>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ové pole 106" o:spid="_x0000_s1028" type="#_x0000_t202" style="height:51.9pt;margin-left:310.5pt;margin-top:4.3pt;mso-width-percent:0;mso-width-relative:margin;mso-wrap-distance-bottom:0;mso-wrap-distance-left:9pt;mso-wrap-distance-right:9pt;mso-wrap-distance-top:0;mso-wrap-style:square;position:absolute;v-text-anchor:top;visibility:visible;width:192.85pt;z-index:251659264" filled="f" stroked="f" strokeweight="0.5pt">
                    <v:textbox>
                      <w:txbxContent>
                        <w:p w:rsidR="00496013" w:rsidRPr="005366F2" w:rsidP="00880254">
                          <w:pPr>
                            <w:jc w:val="center"/>
                            <w:rPr>
                              <w:rFonts w:asciiTheme="minorHAnsi" w:hAnsiTheme="minorHAnsi" w:cstheme="majorHAnsi"/>
                              <w:color w:val="A6A6A6" w:themeColor="background1" w:themeShade="A6"/>
                              <w:szCs w:val="24"/>
                            </w:rPr>
                          </w:pPr>
                          <w:r w:rsidRPr="005366F2">
                            <w:rPr>
                              <w:rFonts w:asciiTheme="minorHAnsi" w:hAnsiTheme="minorHAnsi" w:cstheme="majorHAnsi"/>
                              <w:color w:val="A6A6A6" w:themeColor="background1" w:themeShade="A6"/>
                              <w:szCs w:val="24"/>
                            </w:rPr>
                            <w:t>Centrální harmonizační jednotka</w:t>
                          </w:r>
                        </w:p>
                        <w:p w:rsidR="00496013" w:rsidRPr="005366F2" w:rsidP="00880254">
                          <w:pPr>
                            <w:jc w:val="center"/>
                            <w:rPr>
                              <w:rFonts w:asciiTheme="minorHAnsi" w:hAnsiTheme="minorHAnsi" w:cstheme="majorHAnsi"/>
                              <w:color w:val="A6A6A6" w:themeColor="background1" w:themeShade="A6"/>
                              <w:szCs w:val="24"/>
                            </w:rPr>
                          </w:pPr>
                          <w:r w:rsidRPr="005366F2">
                            <w:rPr>
                              <w:rFonts w:asciiTheme="minorHAnsi" w:hAnsiTheme="minorHAnsi" w:cstheme="majorHAnsi"/>
                              <w:color w:val="A6A6A6" w:themeColor="background1" w:themeShade="A6"/>
                              <w:szCs w:val="24"/>
                            </w:rPr>
                            <w:t>Ministerstvo financí ČR</w:t>
                          </w:r>
                        </w:p>
                        <w:p w:rsidR="00496013" w:rsidRPr="008F40FB" w:rsidP="00880254">
                          <w:pPr>
                            <w:jc w:val="center"/>
                            <w:rPr>
                              <w:rFonts w:ascii="Segoe UI Light" w:hAnsi="Segoe UI Light" w:cs="Segoe UI"/>
                              <w:color w:val="A6A6A6" w:themeColor="background1" w:themeShade="A6"/>
                              <w:szCs w:val="24"/>
                            </w:rPr>
                          </w:pPr>
                        </w:p>
                      </w:txbxContent>
                    </v:textbox>
                  </v:shape>
                </w:pict>
              </mc:Fallback>
            </mc:AlternateContent>
          </w:r>
          <w:r w:rsidR="00C775C4">
            <w:t xml:space="preserve"> </w:t>
          </w:r>
          <w:r w:rsidRPr="00C0421C" w:rsidR="00880254">
            <w:br w:type="page"/>
          </w:r>
        </w:p>
      </w:sdtContent>
    </w:sdt>
    <w:p w:rsidR="00880254" w:rsidRPr="003F599C" w:rsidP="00880254">
      <w:pPr>
        <w:pStyle w:val="Kapitolavodn"/>
        <w:jc w:val="left"/>
        <w:rPr>
          <w:rFonts w:ascii="Segoe UI" w:hAnsi="Segoe UI" w:cs="Segoe UI"/>
          <w:b w:val="0"/>
          <w:color w:val="1B6092" w:themeColor="text2" w:themeShade="BF"/>
          <w:sz w:val="36"/>
          <w:szCs w:val="36"/>
        </w:rPr>
      </w:pPr>
      <w:bookmarkStart w:id="0" w:name="_Toc474845223"/>
      <w:bookmarkStart w:id="1" w:name="_Toc474854592"/>
      <w:bookmarkStart w:id="2" w:name="_Toc479597686"/>
      <w:r w:rsidRPr="003F599C">
        <w:rPr>
          <w:rFonts w:ascii="Segoe UI" w:hAnsi="Segoe UI" w:cs="Segoe UI"/>
          <w:b w:val="0"/>
          <w:color w:val="1B6092" w:themeColor="text2" w:themeShade="BF"/>
          <w:sz w:val="36"/>
          <w:szCs w:val="36"/>
        </w:rPr>
        <w:t>Úvodem</w:t>
      </w:r>
      <w:bookmarkEnd w:id="0"/>
      <w:bookmarkEnd w:id="1"/>
      <w:bookmarkEnd w:id="2"/>
    </w:p>
    <w:p w:rsidR="005366F2" w:rsidRPr="005366F2" w:rsidP="005366F2">
      <w:r w:rsidRPr="005366F2">
        <w:t xml:space="preserve">Před Vámi je metodická </w:t>
      </w:r>
      <w:r w:rsidR="00FC6C37">
        <w:t>příručka, kterou vydává m</w:t>
      </w:r>
      <w:r w:rsidRPr="005366F2">
        <w:t xml:space="preserve">inisterstvo financí – odbor 47 Centrální harmonizační jednotka jako </w:t>
      </w:r>
      <w:r w:rsidRPr="005366F2">
        <w:rPr>
          <w:b/>
        </w:rPr>
        <w:t>doporučující vzor</w:t>
      </w:r>
      <w:r w:rsidRPr="005366F2">
        <w:t xml:space="preserve"> </w:t>
      </w:r>
      <w:r w:rsidR="00236733">
        <w:t xml:space="preserve">vnitřní </w:t>
      </w:r>
      <w:r w:rsidR="008F16FE">
        <w:t>směrnice k</w:t>
      </w:r>
      <w:r w:rsidRPr="005366F2">
        <w:t xml:space="preserve"> </w:t>
      </w:r>
      <w:r w:rsidRPr="005366F2" w:rsidR="007F0902">
        <w:t>na</w:t>
      </w:r>
      <w:r w:rsidRPr="005366F2" w:rsidR="00FB6F34">
        <w:t>stavení systému řízení rizik u orgánu veřejné správy</w:t>
      </w:r>
      <w:r w:rsidR="00236733">
        <w:t xml:space="preserve"> a vnitřní metodiky k této směrnici</w:t>
      </w:r>
      <w:r w:rsidRPr="005366F2">
        <w:t xml:space="preserve">. Směrnice je určena pro </w:t>
      </w:r>
      <w:r w:rsidRPr="005366F2" w:rsidR="007F0902">
        <w:t>orgány veřejné správy</w:t>
      </w:r>
      <w:r w:rsidRPr="005366F2" w:rsidR="00FB6F34">
        <w:t xml:space="preserve">, které mají rozvětvenou organizační strukturu </w:t>
      </w:r>
      <w:r>
        <w:t>do</w:t>
      </w:r>
      <w:r w:rsidRPr="005366F2" w:rsidR="00FB6F34">
        <w:t xml:space="preserve"> více útvarů.</w:t>
      </w:r>
    </w:p>
    <w:p w:rsidR="008C7E3B" w:rsidP="005366F2">
      <w:r w:rsidRPr="005366F2">
        <w:t>Cílem této metodické příručky je poskytnout pomoc při nastavení systému řízení rizik uvnitř orgánu veřejné správy</w:t>
      </w:r>
      <w:r w:rsidRPr="005366F2" w:rsidR="005366F2">
        <w:t>.</w:t>
      </w:r>
      <w:bookmarkStart w:id="3" w:name="_Toc534291739"/>
      <w:r w:rsidR="005366F2">
        <w:t xml:space="preserve"> </w:t>
      </w:r>
      <w:r>
        <w:t xml:space="preserve">Vnitřní směrnicí může orgán veřejné správy konkretizovat povinnosti </w:t>
      </w:r>
      <w:r w:rsidR="00236733">
        <w:t>a </w:t>
      </w:r>
      <w:r>
        <w:t xml:space="preserve">odpovědnosti svých zaměstnanců v procesu </w:t>
      </w:r>
      <w:r w:rsidR="00236733">
        <w:t xml:space="preserve">řízení rizik. </w:t>
      </w:r>
      <w:r w:rsidR="00AE5CC8">
        <w:t>Je </w:t>
      </w:r>
      <w:r>
        <w:t>nutno mít ale na p</w:t>
      </w:r>
      <w:r w:rsidR="00236733">
        <w:t>aměti, že </w:t>
      </w:r>
      <w:r>
        <w:t>zavedení vnitřní směrnice je pouze prvním krokem k funkčnímu systému řízení rizik. Řízení rizik je soustavnou činností a musí být integrální součást</w:t>
      </w:r>
      <w:r w:rsidR="00F603D8">
        <w:t>í</w:t>
      </w:r>
      <w:r>
        <w:t xml:space="preserve"> každého rozhodování v organizaci. </w:t>
      </w:r>
    </w:p>
    <w:p w:rsidR="008C7E3B" w:rsidP="005366F2">
      <w:r>
        <w:t xml:space="preserve">Pro </w:t>
      </w:r>
      <w:r w:rsidR="00092D56">
        <w:t>lepší pochopení je vzorová směrnice o řízení rizik doplněna vnitřní metodikou, která přibližuje zaměstnancům orgánu veřejné správy na konkrétních příkladech jak dle směrnice postupovat.</w:t>
      </w:r>
    </w:p>
    <w:p w:rsidR="00FC6C37" w:rsidP="00FC6C37">
      <w:r>
        <w:t xml:space="preserve">Centrální harmonizační jednotka vydala také metodickou příručku, která konkrétně </w:t>
      </w:r>
      <w:r w:rsidR="00AE5CC8">
        <w:t>a </w:t>
      </w:r>
      <w:r>
        <w:t xml:space="preserve">prakticky vysvětluje, co to riziko je a jak by mělo jeho řízení probíhat. Metodický pokyn CHJ č. 2 – Metodiku řízení rizik ve veřejné správě </w:t>
      </w:r>
      <w:r w:rsidR="00AE5CC8">
        <w:t>nalezne</w:t>
      </w:r>
      <w:r w:rsidR="007643DC">
        <w:t>te</w:t>
      </w:r>
      <w:r w:rsidR="00AE5CC8">
        <w:t xml:space="preserve"> na </w:t>
      </w:r>
      <w:r>
        <w:fldChar w:fldCharType="begin"/>
      </w:r>
      <w:r>
        <w:instrText xml:space="preserve"> HYPERLINK "https://www.mfcr.cz/cs/legislativa/metodiky/2016/metodicky-pokyn-chj-c-2--metodika-rizeni-24501" </w:instrText>
      </w:r>
      <w:r>
        <w:fldChar w:fldCharType="separate"/>
      </w:r>
      <w:r w:rsidRPr="00FC6C37">
        <w:rPr>
          <w:rStyle w:val="Hyperlink"/>
        </w:rPr>
        <w:t>internetových stránkách</w:t>
      </w:r>
      <w:r>
        <w:fldChar w:fldCharType="end"/>
      </w:r>
      <w:r>
        <w:t xml:space="preserve"> ministerstva financí. </w:t>
      </w:r>
    </w:p>
    <w:p w:rsidR="00FC6C37" w:rsidP="005366F2"/>
    <w:p w:rsidR="00092D56" w:rsidP="005366F2"/>
    <w:p w:rsidR="00092D56" w:rsidP="005366F2"/>
    <w:p w:rsidR="00092D56" w:rsidP="005366F2"/>
    <w:p w:rsidR="00092D56" w:rsidP="005366F2"/>
    <w:p w:rsidR="00092D56" w:rsidP="005366F2"/>
    <w:p w:rsidR="00092D56" w:rsidP="005366F2"/>
    <w:p w:rsidR="00092D56" w:rsidP="005366F2"/>
    <w:p w:rsidR="00092D56" w:rsidP="005366F2"/>
    <w:p w:rsidR="00092D56" w:rsidP="005366F2"/>
    <w:p w:rsidR="00092D56" w:rsidP="005366F2"/>
    <w:p w:rsidR="00875A33">
      <w:pPr>
        <w:rPr>
          <w:sz w:val="52"/>
        </w:rPr>
      </w:pPr>
    </w:p>
    <w:p w:rsidR="00875A33" w:rsidRPr="003F599C" w:rsidP="00875A33">
      <w:pPr>
        <w:pStyle w:val="Kapitolavodn"/>
        <w:jc w:val="left"/>
        <w:rPr>
          <w:rFonts w:ascii="Segoe UI" w:hAnsi="Segoe UI" w:cs="Segoe UI"/>
          <w:b w:val="0"/>
          <w:color w:val="1B6092" w:themeColor="text2" w:themeShade="BF"/>
          <w:sz w:val="36"/>
          <w:szCs w:val="36"/>
        </w:rPr>
      </w:pPr>
      <w:r>
        <w:rPr>
          <w:rFonts w:ascii="Segoe UI" w:hAnsi="Segoe UI" w:cs="Segoe UI"/>
          <w:b w:val="0"/>
          <w:color w:val="1B6092" w:themeColor="text2" w:themeShade="BF"/>
          <w:sz w:val="36"/>
          <w:szCs w:val="36"/>
        </w:rPr>
        <w:t>jak s metodickou přáručkou pracovat?</w:t>
      </w:r>
    </w:p>
    <w:p w:rsidR="00B07C72" w:rsidP="00491321">
      <w:pPr>
        <w:widowControl w:val="0"/>
        <w:autoSpaceDE w:val="0"/>
        <w:autoSpaceDN w:val="0"/>
        <w:adjustRightInd w:val="0"/>
        <w:spacing w:before="240" w:after="0"/>
      </w:pPr>
      <w:r>
        <w:t>V úvodu</w:t>
      </w:r>
      <w:r w:rsidR="009D4CCB">
        <w:t xml:space="preserve"> metodické příručky naleznete stručné shrnutí legislativních požadavků k nastavení systému řízení rizik, které vyplývají ze zákona č. 320/2001 Sb., o finanční kontrole ve veřejné správě a o změně některých zákonů (zákon o finanční kontrole), ve znění pozdějších předpisů (dále jen „zákon o finanční kontrole“) a prováděcí vyhlášky č. 416/2004 Sb., </w:t>
      </w:r>
      <w:r w:rsidRPr="009D4CCB" w:rsidR="009D4CCB">
        <w:t xml:space="preserve">kterou se provádí zákon č. </w:t>
      </w:r>
      <w:r>
        <w:fldChar w:fldCharType="begin"/>
      </w:r>
      <w:r>
        <w:instrText xml:space="preserve"> HYPERLINK "aspi://module='ASPI'&amp;link='320/2001%20Sb.%2523'&amp;ucin-k-dni='30.12.9999'" </w:instrText>
      </w:r>
      <w:r>
        <w:fldChar w:fldCharType="separate"/>
      </w:r>
      <w:r w:rsidRPr="009D4CCB" w:rsidR="009D4CCB">
        <w:t>320/2001 Sb.</w:t>
      </w:r>
      <w:r>
        <w:fldChar w:fldCharType="end"/>
      </w:r>
      <w:r w:rsidRPr="009D4CCB" w:rsidR="009D4CCB">
        <w:t>, o finanční kontrole ve veřejné správě a o změně některých zákonů (</w:t>
      </w:r>
      <w:r>
        <w:fldChar w:fldCharType="begin"/>
      </w:r>
      <w:r>
        <w:instrText xml:space="preserve"> HYPERLINK "aspi://module='ASPI'&amp;link='320/2001%20Sb.%2523'&amp;ucin-k-dni='30.12.9999'" </w:instrText>
      </w:r>
      <w:r>
        <w:fldChar w:fldCharType="separate"/>
      </w:r>
      <w:r w:rsidRPr="009D4CCB" w:rsidR="009D4CCB">
        <w:t>zákon o finanční kontrole</w:t>
      </w:r>
      <w:r>
        <w:fldChar w:fldCharType="end"/>
      </w:r>
      <w:r w:rsidR="009D4CCB">
        <w:t>), ve znění zákona č. </w:t>
      </w:r>
      <w:r>
        <w:fldChar w:fldCharType="begin"/>
      </w:r>
      <w:r>
        <w:instrText xml:space="preserve"> HYPERLINK "aspi://module='ASPI'&amp;link='309/2002%20Sb.%2523'&amp;ucin-k-dni='30.12.9999'" </w:instrText>
      </w:r>
      <w:r>
        <w:fldChar w:fldCharType="separate"/>
      </w:r>
      <w:r w:rsidRPr="009D4CCB" w:rsidR="009D4CCB">
        <w:t>309/2002 Sb.</w:t>
      </w:r>
      <w:r>
        <w:fldChar w:fldCharType="end"/>
      </w:r>
      <w:r w:rsidRPr="009D4CCB" w:rsidR="009D4CCB">
        <w:t xml:space="preserve">, zákona č. 320/2002 Sb. a zákona č. </w:t>
      </w:r>
      <w:r>
        <w:fldChar w:fldCharType="begin"/>
      </w:r>
      <w:r>
        <w:instrText xml:space="preserve"> HYPERLINK "aspi://module='ASPI'&amp;link='123/2003%20Sb.%2523'&amp;ucin-k-dni='30.12.9999'" </w:instrText>
      </w:r>
      <w:r>
        <w:fldChar w:fldCharType="separate"/>
      </w:r>
      <w:bookmarkStart w:id="4" w:name="_GoBack"/>
      <w:r w:rsidRPr="009D4CCB" w:rsidR="009D4CCB">
        <w:t>12</w:t>
      </w:r>
      <w:bookmarkEnd w:id="4"/>
      <w:r w:rsidRPr="009D4CCB" w:rsidR="009D4CCB">
        <w:t>3/2003 Sb.</w:t>
      </w:r>
      <w:r>
        <w:fldChar w:fldCharType="end"/>
      </w:r>
      <w:r>
        <w:t xml:space="preserve">, ve znění vyhlášky č. 274/2018 a vyhlášky č. 24/2020 Sb. (dále jen „vyhláška č. 416/2004 Sb.). </w:t>
      </w:r>
    </w:p>
    <w:p w:rsidR="0032469B" w:rsidP="00491321">
      <w:pPr>
        <w:widowControl w:val="0"/>
        <w:autoSpaceDE w:val="0"/>
        <w:autoSpaceDN w:val="0"/>
        <w:adjustRightInd w:val="0"/>
        <w:spacing w:before="240" w:after="0"/>
      </w:pPr>
      <w:r>
        <w:t>Dále naleznete v metodické příručce 3 dokumenty:</w:t>
      </w:r>
    </w:p>
    <w:p w:rsidR="0032469B" w:rsidP="00491321">
      <w:pPr>
        <w:pStyle w:val="ListParagraph"/>
        <w:widowControl w:val="0"/>
        <w:numPr>
          <w:ilvl w:val="0"/>
          <w:numId w:val="20"/>
        </w:numPr>
        <w:autoSpaceDE w:val="0"/>
        <w:autoSpaceDN w:val="0"/>
        <w:adjustRightInd w:val="0"/>
        <w:spacing w:before="240" w:after="0" w:line="276" w:lineRule="auto"/>
      </w:pPr>
      <w:r>
        <w:t>vzorovou směrnici o řízení rizik,</w:t>
      </w:r>
    </w:p>
    <w:p w:rsidR="0032469B" w:rsidP="00491321">
      <w:pPr>
        <w:pStyle w:val="ListParagraph"/>
        <w:widowControl w:val="0"/>
        <w:numPr>
          <w:ilvl w:val="0"/>
          <w:numId w:val="20"/>
        </w:numPr>
        <w:autoSpaceDE w:val="0"/>
        <w:autoSpaceDN w:val="0"/>
        <w:adjustRightInd w:val="0"/>
        <w:spacing w:after="0" w:line="276" w:lineRule="auto"/>
      </w:pPr>
      <w:r>
        <w:t>přílohu – karta rizika a</w:t>
      </w:r>
    </w:p>
    <w:p w:rsidR="0032469B" w:rsidP="00491321">
      <w:pPr>
        <w:pStyle w:val="ListParagraph"/>
        <w:widowControl w:val="0"/>
        <w:numPr>
          <w:ilvl w:val="0"/>
          <w:numId w:val="20"/>
        </w:numPr>
        <w:autoSpaceDE w:val="0"/>
        <w:autoSpaceDN w:val="0"/>
        <w:adjustRightInd w:val="0"/>
        <w:spacing w:after="0" w:line="276" w:lineRule="auto"/>
      </w:pPr>
      <w:r>
        <w:t>metodi</w:t>
      </w:r>
      <w:r w:rsidR="00863862">
        <w:t>c</w:t>
      </w:r>
      <w:r>
        <w:t>kou příručku ke vzorové směrnici o řízení rizik.</w:t>
      </w:r>
    </w:p>
    <w:p w:rsidR="00861F07" w:rsidP="00491321">
      <w:pPr>
        <w:widowControl w:val="0"/>
        <w:autoSpaceDE w:val="0"/>
        <w:autoSpaceDN w:val="0"/>
        <w:adjustRightInd w:val="0"/>
        <w:spacing w:before="240" w:after="0"/>
      </w:pPr>
      <w:r w:rsidRPr="00863862">
        <w:rPr>
          <w:b/>
        </w:rPr>
        <w:t>Vzorov</w:t>
      </w:r>
      <w:r w:rsidRPr="00863862" w:rsidR="005B716A">
        <w:rPr>
          <w:b/>
        </w:rPr>
        <w:t xml:space="preserve">ou </w:t>
      </w:r>
      <w:r w:rsidRPr="00863862" w:rsidR="00715F2F">
        <w:rPr>
          <w:b/>
        </w:rPr>
        <w:t>směrnic</w:t>
      </w:r>
      <w:r w:rsidR="00715F2F">
        <w:rPr>
          <w:b/>
        </w:rPr>
        <w:t>í</w:t>
      </w:r>
      <w:r w:rsidRPr="00863862" w:rsidR="00715F2F">
        <w:rPr>
          <w:b/>
        </w:rPr>
        <w:t xml:space="preserve"> </w:t>
      </w:r>
      <w:r w:rsidRPr="00863862" w:rsidR="005B716A">
        <w:rPr>
          <w:b/>
        </w:rPr>
        <w:t>o řízení rizik</w:t>
      </w:r>
      <w:r w:rsidR="005B716A">
        <w:t xml:space="preserve"> se můžete inspirovat při přípravě vlastní vnitřní</w:t>
      </w:r>
      <w:r w:rsidR="009214F4">
        <w:t xml:space="preserve"> směrnice. </w:t>
      </w:r>
      <w:r w:rsidR="001D2BEB">
        <w:t>S</w:t>
      </w:r>
      <w:r w:rsidR="009214F4">
        <w:t xml:space="preserve">ystém řízení rizik </w:t>
      </w:r>
      <w:r w:rsidR="001D2BEB">
        <w:t xml:space="preserve">je </w:t>
      </w:r>
      <w:r w:rsidR="0091721F">
        <w:t xml:space="preserve">zde </w:t>
      </w:r>
      <w:r w:rsidR="001D2BEB">
        <w:t xml:space="preserve">nastaven </w:t>
      </w:r>
      <w:r w:rsidR="00E8362C">
        <w:t>podle tzv. decentralizovaného modelu</w:t>
      </w:r>
      <w:r w:rsidR="001312C4">
        <w:t>, v</w:t>
      </w:r>
      <w:r w:rsidR="00066011">
        <w:t> </w:t>
      </w:r>
      <w:r w:rsidR="001312C4">
        <w:t>němž</w:t>
      </w:r>
      <w:r w:rsidR="00E8362C">
        <w:t xml:space="preserve"> je řízení rizik integrální součástí každého rozhodnutí orgánu veřejné správy.</w:t>
      </w:r>
      <w:r w:rsidR="001312C4">
        <w:t xml:space="preserve"> </w:t>
      </w:r>
      <w:r w:rsidR="001D2BEB">
        <w:t xml:space="preserve"> </w:t>
      </w:r>
      <w:r w:rsidR="0091721F">
        <w:t xml:space="preserve">Pokud se rozhodnete využít vzorovou směrnici k nastavení systému řízení rizik </w:t>
      </w:r>
      <w:r w:rsidR="00B15211">
        <w:t>u </w:t>
      </w:r>
      <w:r w:rsidR="0091721F">
        <w:t>Vašeho orgánu veřejné správy, je nutné j</w:t>
      </w:r>
      <w:r w:rsidR="00C80FED">
        <w:t xml:space="preserve">i přizpůsobit. Vzorová směrnice </w:t>
      </w:r>
      <w:r w:rsidR="00B15211">
        <w:t>používá obecné pojmy jako orgán veřejné správy, vedoucí orgánu veřejné správy, odpovědný útvar</w:t>
      </w:r>
      <w:r w:rsidR="00EC3985">
        <w:t>, auditní stopa</w:t>
      </w:r>
      <w:r w:rsidR="00B15211">
        <w:t xml:space="preserve"> apod. Doporučujeme ve směrnici používat termíny, které bu</w:t>
      </w:r>
      <w:r w:rsidR="00EC3985">
        <w:t>dou pro </w:t>
      </w:r>
      <w:r w:rsidR="00E85AE2">
        <w:t>zaměstnance jednoznačné, jako například ředitel,</w:t>
      </w:r>
      <w:r>
        <w:t xml:space="preserve"> název konkrétního útvaru či </w:t>
      </w:r>
      <w:r w:rsidR="00EC3985">
        <w:t>referátník.</w:t>
      </w:r>
      <w:r w:rsidR="00E85AE2">
        <w:t xml:space="preserve"> Obzvláště, když </w:t>
      </w:r>
      <w:r w:rsidR="00B15211">
        <w:t>směrnic</w:t>
      </w:r>
      <w:r w:rsidR="00E85AE2">
        <w:t xml:space="preserve">e </w:t>
      </w:r>
      <w:r w:rsidR="00B15211">
        <w:t>stanovuje konkrétní povinnost</w:t>
      </w:r>
      <w:r w:rsidR="00E85AE2">
        <w:t xml:space="preserve">i a </w:t>
      </w:r>
      <w:r>
        <w:t>odpovědnosti</w:t>
      </w:r>
      <w:r w:rsidR="00715F2F">
        <w:t>,</w:t>
      </w:r>
      <w:r>
        <w:t xml:space="preserve"> je </w:t>
      </w:r>
      <w:r w:rsidR="00E85AE2">
        <w:t xml:space="preserve">potřebné přesně definovat </w:t>
      </w:r>
      <w:r w:rsidR="00715F2F">
        <w:t xml:space="preserve">jejich </w:t>
      </w:r>
      <w:r w:rsidR="00E85AE2">
        <w:t>adresáta.</w:t>
      </w:r>
      <w:r w:rsidR="00B15211">
        <w:t xml:space="preserve"> Vzorová směrnice představuje dle našeho názoru příklad dobré praxe, to ale neznamená, že pro účely Vašeho orgánu veřejné správy nebude více </w:t>
      </w:r>
      <w:r w:rsidR="00715F2F">
        <w:t xml:space="preserve">vyhovovat </w:t>
      </w:r>
      <w:r w:rsidR="00E85AE2">
        <w:t>nastavení jednoduší, náročnější nebo úplně</w:t>
      </w:r>
      <w:r w:rsidR="009C1451">
        <w:t xml:space="preserve"> jiné. Není </w:t>
      </w:r>
      <w:r w:rsidR="00EC3985">
        <w:t xml:space="preserve">tudíž vyloučeno </w:t>
      </w:r>
      <w:r w:rsidR="00715F2F">
        <w:t xml:space="preserve">některá </w:t>
      </w:r>
      <w:r w:rsidR="00EC3985">
        <w:t>ustanovení vyjmout nebo naopak stanovit</w:t>
      </w:r>
      <w:r>
        <w:t xml:space="preserve"> další povinnosti nad rámec vzorové směrnice.</w:t>
      </w:r>
    </w:p>
    <w:p w:rsidR="00BD3AE9" w:rsidP="00491321">
      <w:pPr>
        <w:widowControl w:val="0"/>
        <w:autoSpaceDE w:val="0"/>
        <w:autoSpaceDN w:val="0"/>
        <w:adjustRightInd w:val="0"/>
        <w:spacing w:before="240"/>
      </w:pPr>
      <w:r>
        <w:t xml:space="preserve">Součástí vzorové směrnice je doporučená auditní stopa k rizikům, </w:t>
      </w:r>
      <w:r>
        <w:t>která mají dopad na </w:t>
      </w:r>
      <w:r w:rsidRPr="002677F1">
        <w:t>plnění zásadních úkolů</w:t>
      </w:r>
      <w:r>
        <w:t xml:space="preserve"> – </w:t>
      </w:r>
      <w:r w:rsidRPr="00863862">
        <w:rPr>
          <w:b/>
        </w:rPr>
        <w:t>Karta rizika</w:t>
      </w:r>
      <w:r>
        <w:t>. Pokud</w:t>
      </w:r>
      <w:r>
        <w:t xml:space="preserve"> již obdobnou auditní stopu k řízení rizik používáte, </w:t>
      </w:r>
      <w:r w:rsidR="00F92EA8">
        <w:t xml:space="preserve">můžete </w:t>
      </w:r>
      <w:r>
        <w:t>ji ponechat. Důležité je prostřednictvím vzorové auditní stopy zajistit jednotnost postupu</w:t>
      </w:r>
      <w:r>
        <w:t xml:space="preserve"> </w:t>
      </w:r>
      <w:r>
        <w:t>všech povinných osob.</w:t>
      </w:r>
    </w:p>
    <w:p w:rsidR="00875A33" w:rsidP="00491321">
      <w:pPr>
        <w:widowControl w:val="0"/>
        <w:autoSpaceDE w:val="0"/>
        <w:autoSpaceDN w:val="0"/>
        <w:adjustRightInd w:val="0"/>
        <w:spacing w:after="0"/>
      </w:pPr>
      <w:r>
        <w:t xml:space="preserve">Třetím dokumentem je </w:t>
      </w:r>
      <w:r w:rsidRPr="00863862">
        <w:rPr>
          <w:b/>
        </w:rPr>
        <w:t xml:space="preserve">metodická příručka ke </w:t>
      </w:r>
      <w:r w:rsidR="00C27093">
        <w:rPr>
          <w:b/>
        </w:rPr>
        <w:t>vzorové směrnici o řízení rizik</w:t>
      </w:r>
      <w:r w:rsidR="00491321">
        <w:rPr>
          <w:b/>
        </w:rPr>
        <w:t xml:space="preserve">. </w:t>
      </w:r>
      <w:r w:rsidR="00C27093">
        <w:t>Doporučujeme, aby metodická příručka doprovázela vnitřní směrnici</w:t>
      </w:r>
      <w:r w:rsidR="00993D9F">
        <w:t>.</w:t>
      </w:r>
      <w:r w:rsidR="00297116">
        <w:t xml:space="preserve"> Jedná se </w:t>
      </w:r>
      <w:r w:rsidR="00491321">
        <w:t xml:space="preserve"> o </w:t>
      </w:r>
      <w:r w:rsidR="008D1E26">
        <w:t>vzorovou vnitřní metodiku</w:t>
      </w:r>
      <w:r w:rsidR="00993D9F">
        <w:t>, která vysvětluje konkrétní postupy a smysl řízení rizik. Součástí metodiky jsou také příklady z praxe.</w:t>
      </w:r>
      <w:r w:rsidR="00AE3F17">
        <w:t xml:space="preserve"> </w:t>
      </w:r>
      <w:r w:rsidR="008D1E26">
        <w:t>O</w:t>
      </w:r>
      <w:r w:rsidR="00775D74">
        <w:t>bdobně jak</w:t>
      </w:r>
      <w:r w:rsidR="00715F2F">
        <w:t>o</w:t>
      </w:r>
      <w:r w:rsidR="00775D74">
        <w:t xml:space="preserve"> u vzorové směrnice </w:t>
      </w:r>
      <w:r w:rsidR="009C1451">
        <w:t>je </w:t>
      </w:r>
      <w:r w:rsidR="00775D74">
        <w:t>i </w:t>
      </w:r>
      <w:r w:rsidR="008D1E26">
        <w:t>v metodice nutné nahradit obecné po</w:t>
      </w:r>
      <w:r w:rsidR="00775D74">
        <w:t>jmy konkrétními termíny, které se u Vašeho orgánu veřejné správy používají. Také doporučujeme doplnit příklady z praxe</w:t>
      </w:r>
      <w:r w:rsidR="00297116">
        <w:t>, které se </w:t>
      </w:r>
      <w:r w:rsidR="00775D74">
        <w:t>vztahují k úkolům Vašich zaměstnanců.</w:t>
      </w:r>
      <w:r w:rsidR="00E85AE2">
        <w:t xml:space="preserve"> </w:t>
      </w:r>
    </w:p>
    <w:p w:rsidR="00880254" w:rsidRPr="003F599C" w:rsidP="00297116">
      <w:pPr>
        <w:pStyle w:val="Kapitolavodn"/>
        <w:jc w:val="left"/>
        <w:rPr>
          <w:rFonts w:ascii="Segoe UI" w:hAnsi="Segoe UI" w:cs="Segoe UI"/>
          <w:b w:val="0"/>
          <w:color w:val="1B6092" w:themeColor="text2" w:themeShade="BF"/>
          <w:sz w:val="36"/>
          <w:szCs w:val="36"/>
        </w:rPr>
      </w:pPr>
      <w:r w:rsidRPr="00297116">
        <w:rPr>
          <w:rFonts w:ascii="Segoe UI" w:hAnsi="Segoe UI" w:cs="Segoe UI"/>
          <w:b w:val="0"/>
          <w:color w:val="1B6092" w:themeColor="text2" w:themeShade="BF"/>
          <w:sz w:val="36"/>
          <w:szCs w:val="36"/>
        </w:rPr>
        <w:t>P</w:t>
      </w:r>
      <w:r w:rsidRPr="003F599C" w:rsidR="00092D56">
        <w:rPr>
          <w:rFonts w:ascii="Segoe UI" w:hAnsi="Segoe UI" w:cs="Segoe UI"/>
          <w:b w:val="0"/>
          <w:color w:val="1B6092" w:themeColor="text2" w:themeShade="BF"/>
          <w:sz w:val="36"/>
          <w:szCs w:val="36"/>
        </w:rPr>
        <w:t>ovinnosti vyplývající ze zákona</w:t>
      </w:r>
      <w:r w:rsidRPr="003F599C">
        <w:rPr>
          <w:rFonts w:ascii="Segoe UI" w:hAnsi="Segoe UI" w:cs="Segoe UI"/>
          <w:b w:val="0"/>
          <w:color w:val="1B6092" w:themeColor="text2" w:themeShade="BF"/>
          <w:sz w:val="36"/>
          <w:szCs w:val="36"/>
        </w:rPr>
        <w:t> </w:t>
      </w:r>
      <w:r w:rsidR="00C20836">
        <w:rPr>
          <w:rFonts w:ascii="Segoe UI" w:hAnsi="Segoe UI" w:cs="Segoe UI"/>
          <w:b w:val="0"/>
          <w:color w:val="1B6092" w:themeColor="text2" w:themeShade="BF"/>
          <w:sz w:val="36"/>
          <w:szCs w:val="36"/>
        </w:rPr>
        <w:t xml:space="preserve">o </w:t>
      </w:r>
      <w:r w:rsidRPr="003F599C">
        <w:rPr>
          <w:rFonts w:ascii="Segoe UI" w:hAnsi="Segoe UI" w:cs="Segoe UI"/>
          <w:b w:val="0"/>
          <w:color w:val="1B6092" w:themeColor="text2" w:themeShade="BF"/>
          <w:sz w:val="36"/>
          <w:szCs w:val="36"/>
        </w:rPr>
        <w:t>finanční kontrole</w:t>
      </w:r>
      <w:bookmarkEnd w:id="3"/>
    </w:p>
    <w:p w:rsidR="00880254" w:rsidP="00880254">
      <w:pPr>
        <w:pStyle w:val="Heading2"/>
        <w:spacing w:after="0"/>
        <w:rPr>
          <w:color w:val="1B6092" w:themeColor="text2" w:themeShade="BF"/>
          <w:sz w:val="24"/>
        </w:rPr>
      </w:pPr>
      <w:bookmarkStart w:id="5" w:name="_Toc534291618"/>
      <w:bookmarkStart w:id="6" w:name="_Toc534291742"/>
      <w:bookmarkStart w:id="7" w:name="_Toc534291617"/>
      <w:bookmarkStart w:id="8" w:name="_Toc534291741"/>
      <w:r>
        <w:rPr>
          <w:color w:val="C00000"/>
          <w:sz w:val="24"/>
        </w:rPr>
        <w:t>§ 4</w:t>
      </w:r>
      <w:r w:rsidR="007D0491">
        <w:rPr>
          <w:color w:val="C00000"/>
          <w:sz w:val="24"/>
        </w:rPr>
        <w:t xml:space="preserve"> odst. 1</w:t>
      </w:r>
      <w:r w:rsidRPr="0076414E">
        <w:rPr>
          <w:color w:val="C00000"/>
          <w:sz w:val="24"/>
        </w:rPr>
        <w:t xml:space="preserve"> zákona </w:t>
      </w:r>
      <w:r>
        <w:rPr>
          <w:color w:val="C00000"/>
          <w:sz w:val="24"/>
        </w:rPr>
        <w:t>o finanční kontrole</w:t>
      </w:r>
      <w:r>
        <w:rPr>
          <w:color w:val="1B6092" w:themeColor="text2" w:themeShade="BF"/>
          <w:sz w:val="24"/>
        </w:rPr>
        <w:t xml:space="preserve"> </w:t>
      </w:r>
    </w:p>
    <w:p w:rsidR="00880254" w:rsidRPr="00C0421C" w:rsidP="00880254">
      <w:pPr>
        <w:pStyle w:val="Heading2"/>
        <w:spacing w:before="0"/>
        <w:rPr>
          <w:color w:val="1B6092" w:themeColor="text2" w:themeShade="BF"/>
          <w:sz w:val="24"/>
        </w:rPr>
      </w:pPr>
      <w:r>
        <w:rPr>
          <w:color w:val="1B6092" w:themeColor="text2" w:themeShade="BF"/>
          <w:sz w:val="24"/>
        </w:rPr>
        <w:t>cíl finanční kontroly</w:t>
      </w:r>
    </w:p>
    <w:p w:rsidR="00BD15C2" w:rsidRPr="008D00F2" w:rsidP="006D19A2">
      <w:pPr>
        <w:rPr>
          <w:sz w:val="22"/>
        </w:rPr>
      </w:pPr>
      <w:r>
        <w:t>Mezi hlavní cíle systému finanční kontroly je</w:t>
      </w:r>
      <w:r w:rsidRPr="008D00F2" w:rsidR="007D0491">
        <w:t xml:space="preserve"> zařazeno zajištění ochrany veřejných prostředků proti rizikům, nesrovnalostem nebo jiným nedostatkům způsobeným zejména porušením právních předp</w:t>
      </w:r>
      <w:r w:rsidRPr="008D00F2" w:rsidR="00AE5CC8">
        <w:t>isů, nehospodárným, neúčelným a </w:t>
      </w:r>
      <w:r w:rsidRPr="008D00F2" w:rsidR="007D0491">
        <w:t>neefektivním nakládáním s veřejnými prostředky nebo trestnou činností.</w:t>
      </w:r>
      <w:r w:rsidRPr="008D00F2" w:rsidR="006D19A2">
        <w:t xml:space="preserve"> </w:t>
      </w:r>
      <w:r>
        <w:t>Systém řízení rizik je </w:t>
      </w:r>
      <w:r w:rsidRPr="008D00F2" w:rsidR="008D00F2">
        <w:t>součástí vnitřního kontrolního systému. Tento ří</w:t>
      </w:r>
      <w:r>
        <w:t>dicí a kontrolní mechanismus má </w:t>
      </w:r>
      <w:r w:rsidRPr="008D00F2" w:rsidR="008D00F2">
        <w:t>orgán veřejné správy povinnost zavést k ošetření ri</w:t>
      </w:r>
      <w:r w:rsidR="00491321">
        <w:t>zik, kter</w:t>
      </w:r>
      <w:r w:rsidR="00C20836">
        <w:t>á</w:t>
      </w:r>
      <w:r w:rsidR="00491321">
        <w:t xml:space="preserve"> ohrožují plnění jeho </w:t>
      </w:r>
      <w:r w:rsidRPr="008D00F2" w:rsidR="008D00F2">
        <w:t xml:space="preserve">úkolů, a </w:t>
      </w:r>
      <w:r w:rsidR="008D00F2">
        <w:t xml:space="preserve">k </w:t>
      </w:r>
      <w:r w:rsidRPr="008D00F2" w:rsidR="008D00F2">
        <w:t xml:space="preserve">poskytnutí přiměřeného ujištění, že je s veřejnými prostředky nakládáno účelně, hospodárně a efektivně.  </w:t>
      </w:r>
    </w:p>
    <w:p w:rsidR="00E97E4E" w:rsidP="00E97E4E">
      <w:pPr>
        <w:pStyle w:val="Heading2"/>
        <w:spacing w:after="0"/>
        <w:rPr>
          <w:color w:val="1B6092" w:themeColor="text2" w:themeShade="BF"/>
          <w:sz w:val="24"/>
        </w:rPr>
      </w:pPr>
      <w:r>
        <w:rPr>
          <w:color w:val="C00000"/>
          <w:sz w:val="24"/>
        </w:rPr>
        <w:t>§ 25</w:t>
      </w:r>
      <w:r>
        <w:rPr>
          <w:color w:val="C00000"/>
          <w:sz w:val="24"/>
        </w:rPr>
        <w:t xml:space="preserve"> odst. 1</w:t>
      </w:r>
      <w:r w:rsidRPr="0076414E">
        <w:rPr>
          <w:color w:val="C00000"/>
          <w:sz w:val="24"/>
        </w:rPr>
        <w:t xml:space="preserve"> zákona </w:t>
      </w:r>
      <w:r>
        <w:rPr>
          <w:color w:val="C00000"/>
          <w:sz w:val="24"/>
        </w:rPr>
        <w:t>o finanční kontrole</w:t>
      </w:r>
      <w:r>
        <w:rPr>
          <w:color w:val="1B6092" w:themeColor="text2" w:themeShade="BF"/>
          <w:sz w:val="24"/>
        </w:rPr>
        <w:t xml:space="preserve"> </w:t>
      </w:r>
    </w:p>
    <w:p w:rsidR="00E97E4E" w:rsidP="00E97E4E">
      <w:pPr>
        <w:pStyle w:val="Heading2"/>
        <w:spacing w:before="0"/>
        <w:rPr>
          <w:color w:val="1B6092" w:themeColor="text2" w:themeShade="BF"/>
          <w:sz w:val="24"/>
        </w:rPr>
      </w:pPr>
      <w:r>
        <w:rPr>
          <w:color w:val="1B6092" w:themeColor="text2" w:themeShade="BF"/>
          <w:sz w:val="24"/>
        </w:rPr>
        <w:t>odpovědnost vedoucího orgánu veřejné správy</w:t>
      </w:r>
    </w:p>
    <w:p w:rsidR="008D00F2" w:rsidP="00E97E4E">
      <w:r w:rsidRPr="008D00F2">
        <w:t xml:space="preserve">Vedoucí orgánu veřejné správy je v rámci své odpovědnosti povinen v tomto orgánu zavést a udržovat vnitřní kontrolní systém, který je způsobilý včas zjišťovat, vyhodnocovat a minimalizovat rizika vznikající v souvislosti s plněním schválených záměrů a cílů orgánu veřejné správy. </w:t>
      </w:r>
      <w:r>
        <w:t>Odpovědnost za zavedení systému řízení rizik</w:t>
      </w:r>
      <w:r w:rsidR="00F80541">
        <w:t xml:space="preserve"> ukládá zákon o finanční kontrole vedoucímu org</w:t>
      </w:r>
      <w:r w:rsidR="00F603D8">
        <w:t>ánu veřejné správy. V rámci své </w:t>
      </w:r>
      <w:r w:rsidR="00F80541">
        <w:t xml:space="preserve">odpovědnosti vedoucí orgánu veřejné správy zajistí stanovení odpovídajících pravomocí a odpovědností vedoucích a ostatních zaměstnanců, například prostřednictvím vnitřní směrnice o řízení rizik. V případě nefunkčnosti systému řízení rizik je vedoucí orgánu veřejné správy povinen přijmout nezbytná nápravná opatření. </w:t>
      </w:r>
    </w:p>
    <w:p w:rsidR="00970BDA" w:rsidRPr="00970BDA" w:rsidP="00970BDA">
      <w:pPr>
        <w:pStyle w:val="Heading2"/>
        <w:spacing w:after="0"/>
        <w:rPr>
          <w:color w:val="C00000"/>
          <w:sz w:val="24"/>
        </w:rPr>
      </w:pPr>
      <w:r w:rsidRPr="00970BDA">
        <w:rPr>
          <w:color w:val="C00000"/>
          <w:sz w:val="24"/>
        </w:rPr>
        <w:t xml:space="preserve">§ 28, odst. 2 a 3 </w:t>
      </w:r>
      <w:r w:rsidRPr="0076414E">
        <w:rPr>
          <w:color w:val="C00000"/>
          <w:sz w:val="24"/>
        </w:rPr>
        <w:t>zákona č. 320/2001 Sb.</w:t>
      </w:r>
    </w:p>
    <w:p w:rsidR="00E97E4E" w:rsidP="00970BDA">
      <w:pPr>
        <w:pStyle w:val="Heading2"/>
        <w:spacing w:before="0"/>
        <w:rPr>
          <w:color w:val="1B6092" w:themeColor="text2" w:themeShade="BF"/>
          <w:sz w:val="24"/>
        </w:rPr>
      </w:pPr>
      <w:r w:rsidRPr="00E97E4E">
        <w:rPr>
          <w:rFonts w:ascii="Cambria" w:hAnsi="Cambria" w:cs="Tahoma"/>
          <w:sz w:val="24"/>
          <w:szCs w:val="20"/>
        </w:rPr>
        <w:t xml:space="preserve"> </w:t>
      </w:r>
      <w:r w:rsidRPr="00970BDA" w:rsidR="00970BDA">
        <w:rPr>
          <w:color w:val="1B6092" w:themeColor="text2" w:themeShade="BF"/>
          <w:sz w:val="24"/>
        </w:rPr>
        <w:t>odpovědnost interního auditu</w:t>
      </w:r>
    </w:p>
    <w:p w:rsidR="00970BDA" w:rsidP="00970BDA">
      <w:r>
        <w:t>Útvar interního auditu</w:t>
      </w:r>
      <w:r>
        <w:t xml:space="preserve"> </w:t>
      </w:r>
      <w:r w:rsidR="00F603D8">
        <w:t xml:space="preserve">nebo pověřený interní auditor </w:t>
      </w:r>
      <w:r>
        <w:t xml:space="preserve">provádí mimo jiné </w:t>
      </w:r>
      <w:r w:rsidR="0068718A">
        <w:t>nezávislé a </w:t>
      </w:r>
      <w:r w:rsidRPr="00F603D8">
        <w:t>objektivní</w:t>
      </w:r>
      <w:r w:rsidRPr="00970BDA">
        <w:t xml:space="preserve"> přezkoumávání, zda rizika vztahující se k činnosti orgánu veřejné správy jsou včas rozpoznávána a zda jsou přijímána odpovídající opatření k</w:t>
      </w:r>
      <w:r>
        <w:t xml:space="preserve"> jejich vyloučení nebo zmírnění. </w:t>
      </w:r>
      <w:r w:rsidRPr="00980661">
        <w:t xml:space="preserve">Na základě svých zjištění předkládá </w:t>
      </w:r>
      <w:r>
        <w:t>útvar interního auditu</w:t>
      </w:r>
      <w:r w:rsidRPr="00980661">
        <w:t xml:space="preserve"> vedoucímu orgánu veřejné správy doporučení </w:t>
      </w:r>
      <w:r>
        <w:t>k </w:t>
      </w:r>
      <w:r w:rsidRPr="00980661">
        <w:t>předcházení nebo ke zmírnění rizik</w:t>
      </w:r>
      <w:r>
        <w:t xml:space="preserve">. </w:t>
      </w:r>
    </w:p>
    <w:p w:rsidR="00806AC2" w:rsidP="00970BDA">
      <w:r>
        <w:t xml:space="preserve">Interní audit </w:t>
      </w:r>
      <w:r w:rsidR="0068718A">
        <w:t>je nástrojem pro ověření funkčnosti systému řízení rizik</w:t>
      </w:r>
      <w:r w:rsidR="00717285">
        <w:t>. To znamená, že </w:t>
      </w:r>
      <w:r w:rsidR="0068718A">
        <w:t xml:space="preserve">nemůže být aktivně zapojen do vytváření a nastavování systému řízení rizik. </w:t>
      </w:r>
      <w:r w:rsidR="00717285">
        <w:t>V opačném případě by jeho ověření nebylo nezávislé. Interní auditor vytváří vlastní mapu rizik orgánu veřejné správy</w:t>
      </w:r>
      <w:r w:rsidR="006429C7">
        <w:t>, která slouží k vytváření plánu interního auditu.</w:t>
      </w:r>
    </w:p>
    <w:p w:rsidR="006429C7" w:rsidRPr="006429C7" w:rsidP="006429C7">
      <w:pPr>
        <w:pStyle w:val="Heading2"/>
        <w:spacing w:after="0"/>
        <w:rPr>
          <w:color w:val="C00000"/>
          <w:sz w:val="24"/>
        </w:rPr>
      </w:pPr>
      <w:r w:rsidRPr="006429C7">
        <w:rPr>
          <w:color w:val="C00000"/>
          <w:sz w:val="24"/>
        </w:rPr>
        <w:t>§ 10 a násl. vyhlášky č. 416/2004 Sb.</w:t>
      </w:r>
    </w:p>
    <w:p w:rsidR="006429C7" w:rsidP="006429C7">
      <w:pPr>
        <w:pStyle w:val="Heading2"/>
        <w:spacing w:before="0"/>
        <w:rPr>
          <w:color w:val="1B6092" w:themeColor="text2" w:themeShade="BF"/>
          <w:sz w:val="24"/>
        </w:rPr>
      </w:pPr>
      <w:r w:rsidRPr="006429C7">
        <w:rPr>
          <w:color w:val="1B6092" w:themeColor="text2" w:themeShade="BF"/>
          <w:sz w:val="24"/>
        </w:rPr>
        <w:t>odpovědnost příkazce operace, správce rozpočtu a hlavní účetní</w:t>
      </w:r>
    </w:p>
    <w:p w:rsidR="006429C7" w:rsidP="006429C7">
      <w:r>
        <w:t>Při schvalování výdajových a příjmových operací orgánu veřejné správy ověřuje související rizika příkazce operace, správce rozpočtu a hlavní účetní</w:t>
      </w:r>
      <w:r w:rsidR="003F60F9">
        <w:t>.</w:t>
      </w:r>
    </w:p>
    <w:p w:rsidR="00D876AD" w:rsidP="006429C7">
      <w:r w:rsidRPr="003F60F9">
        <w:rPr>
          <w:b/>
        </w:rPr>
        <w:t>Příkazce operace</w:t>
      </w:r>
      <w:r>
        <w:t xml:space="preserve"> v rámci své odpovědnosti </w:t>
      </w:r>
      <w:r w:rsidR="003F60F9">
        <w:t>ověřuje rizika</w:t>
      </w:r>
      <w:r>
        <w:t>, která se při uskutečňování připravované operace mohou vyskytnout</w:t>
      </w:r>
      <w:r w:rsidR="003F60F9">
        <w:t xml:space="preserve">. </w:t>
      </w:r>
      <w:r>
        <w:t>N</w:t>
      </w:r>
      <w:r w:rsidR="003F60F9">
        <w:t>avrhuje opatření ke zmírnění t</w:t>
      </w:r>
      <w:r>
        <w:t>ěchto</w:t>
      </w:r>
      <w:r w:rsidR="008546EA">
        <w:t xml:space="preserve"> rizik a </w:t>
      </w:r>
      <w:r>
        <w:t>upozorňuje</w:t>
      </w:r>
      <w:r w:rsidR="008546EA">
        <w:t xml:space="preserve"> na ně</w:t>
      </w:r>
      <w:r>
        <w:t xml:space="preserve"> osobu nebo orgán, který o operaci rozhoduje.</w:t>
      </w:r>
    </w:p>
    <w:p w:rsidR="00D876AD" w:rsidP="00D876AD">
      <w:r w:rsidRPr="00D876AD">
        <w:rPr>
          <w:b/>
        </w:rPr>
        <w:t>Správce rozpočtu</w:t>
      </w:r>
      <w:r>
        <w:t xml:space="preserve"> v rámci své odpovědnosti ověřuje rozpočtová rizik</w:t>
      </w:r>
      <w:r w:rsidR="00491321">
        <w:t>a, která </w:t>
      </w:r>
      <w:r w:rsidR="008546EA">
        <w:t>se při </w:t>
      </w:r>
      <w:r>
        <w:t xml:space="preserve">uskutečnění operace mohou vyskytnout. </w:t>
      </w:r>
    </w:p>
    <w:p w:rsidR="00806AC2" w:rsidRPr="00033421" w:rsidP="00970BDA">
      <w:pPr>
        <w:rPr>
          <w:b/>
        </w:rPr>
      </w:pPr>
      <w:r w:rsidRPr="008546EA">
        <w:rPr>
          <w:b/>
        </w:rPr>
        <w:t>Hlavní účetní</w:t>
      </w:r>
      <w:r>
        <w:rPr>
          <w:b/>
        </w:rPr>
        <w:t xml:space="preserve"> </w:t>
      </w:r>
      <w:r>
        <w:t xml:space="preserve">v rámci své odpovědnosti ověřuje účetní rizika, která se při uskutečnění operace mohou vyskytnout. </w:t>
      </w:r>
    </w:p>
    <w:p w:rsidR="00806AC2" w:rsidRPr="006429C7" w:rsidP="006429C7">
      <w:pPr>
        <w:pStyle w:val="Heading2"/>
        <w:spacing w:after="0"/>
        <w:rPr>
          <w:color w:val="C00000"/>
          <w:sz w:val="24"/>
        </w:rPr>
      </w:pPr>
      <w:r w:rsidRPr="006429C7">
        <w:rPr>
          <w:color w:val="C00000"/>
          <w:sz w:val="24"/>
        </w:rPr>
        <w:t>Shrnutí</w:t>
      </w:r>
    </w:p>
    <w:p w:rsidR="00806AC2" w:rsidRPr="00D876AD" w:rsidP="00603F53">
      <w:pPr>
        <w:pStyle w:val="ListParagraph"/>
        <w:numPr>
          <w:ilvl w:val="0"/>
          <w:numId w:val="6"/>
        </w:numPr>
        <w:spacing w:line="276" w:lineRule="auto"/>
        <w:rPr>
          <w:sz w:val="24"/>
          <w:szCs w:val="24"/>
        </w:rPr>
      </w:pPr>
      <w:r>
        <w:rPr>
          <w:sz w:val="24"/>
          <w:szCs w:val="24"/>
        </w:rPr>
        <w:t>O</w:t>
      </w:r>
      <w:r w:rsidRPr="00D876AD">
        <w:rPr>
          <w:sz w:val="24"/>
          <w:szCs w:val="24"/>
        </w:rPr>
        <w:t>rgán veřejné správy má povinnost nastavit systém řízení rizik</w:t>
      </w:r>
      <w:r>
        <w:rPr>
          <w:sz w:val="24"/>
          <w:szCs w:val="24"/>
        </w:rPr>
        <w:t>.</w:t>
      </w:r>
    </w:p>
    <w:p w:rsidR="00806AC2" w:rsidRPr="00D876AD" w:rsidP="00603F53">
      <w:pPr>
        <w:pStyle w:val="ListParagraph"/>
        <w:numPr>
          <w:ilvl w:val="0"/>
          <w:numId w:val="6"/>
        </w:numPr>
        <w:spacing w:line="276" w:lineRule="auto"/>
        <w:rPr>
          <w:sz w:val="24"/>
          <w:szCs w:val="24"/>
        </w:rPr>
      </w:pPr>
      <w:r>
        <w:rPr>
          <w:sz w:val="24"/>
          <w:szCs w:val="24"/>
        </w:rPr>
        <w:t>S</w:t>
      </w:r>
      <w:r w:rsidRPr="00D876AD">
        <w:rPr>
          <w:sz w:val="24"/>
          <w:szCs w:val="24"/>
        </w:rPr>
        <w:t>ystém řízení rizik poskytuje orgánu veřejné správy uj</w:t>
      </w:r>
      <w:r w:rsidRPr="00D876AD" w:rsidR="00717285">
        <w:rPr>
          <w:sz w:val="24"/>
          <w:szCs w:val="24"/>
        </w:rPr>
        <w:t>ištění o účelném, hospodárném a </w:t>
      </w:r>
      <w:r w:rsidRPr="00D876AD">
        <w:rPr>
          <w:sz w:val="24"/>
          <w:szCs w:val="24"/>
        </w:rPr>
        <w:t>efektivním nakládání s veřejnými prostředky</w:t>
      </w:r>
      <w:r>
        <w:rPr>
          <w:sz w:val="24"/>
          <w:szCs w:val="24"/>
        </w:rPr>
        <w:t>.</w:t>
      </w:r>
    </w:p>
    <w:p w:rsidR="00806AC2" w:rsidRPr="00D876AD" w:rsidP="00603F53">
      <w:pPr>
        <w:pStyle w:val="ListParagraph"/>
        <w:numPr>
          <w:ilvl w:val="0"/>
          <w:numId w:val="6"/>
        </w:numPr>
        <w:spacing w:line="276" w:lineRule="auto"/>
        <w:rPr>
          <w:sz w:val="24"/>
          <w:szCs w:val="24"/>
        </w:rPr>
      </w:pPr>
      <w:r>
        <w:rPr>
          <w:sz w:val="24"/>
          <w:szCs w:val="24"/>
        </w:rPr>
        <w:t>Z</w:t>
      </w:r>
      <w:r w:rsidRPr="00D876AD">
        <w:rPr>
          <w:sz w:val="24"/>
          <w:szCs w:val="24"/>
        </w:rPr>
        <w:t xml:space="preserve">ákon nestanoví </w:t>
      </w:r>
      <w:r w:rsidRPr="00D876AD" w:rsidR="00227B03">
        <w:rPr>
          <w:sz w:val="24"/>
          <w:szCs w:val="24"/>
        </w:rPr>
        <w:t xml:space="preserve">formální </w:t>
      </w:r>
      <w:r w:rsidRPr="00D876AD">
        <w:rPr>
          <w:sz w:val="24"/>
          <w:szCs w:val="24"/>
        </w:rPr>
        <w:t xml:space="preserve">požadavky na </w:t>
      </w:r>
      <w:r w:rsidRPr="00D876AD" w:rsidR="00227B03">
        <w:rPr>
          <w:sz w:val="24"/>
          <w:szCs w:val="24"/>
        </w:rPr>
        <w:t xml:space="preserve">fungování </w:t>
      </w:r>
      <w:r w:rsidRPr="00D876AD">
        <w:rPr>
          <w:sz w:val="24"/>
          <w:szCs w:val="24"/>
        </w:rPr>
        <w:t>syst</w:t>
      </w:r>
      <w:r w:rsidRPr="00D876AD" w:rsidR="00227B03">
        <w:rPr>
          <w:sz w:val="24"/>
          <w:szCs w:val="24"/>
        </w:rPr>
        <w:t>ému řízení rizik</w:t>
      </w:r>
      <w:r>
        <w:rPr>
          <w:sz w:val="24"/>
          <w:szCs w:val="24"/>
        </w:rPr>
        <w:t>.</w:t>
      </w:r>
      <w:r w:rsidRPr="00D876AD">
        <w:rPr>
          <w:sz w:val="24"/>
          <w:szCs w:val="24"/>
        </w:rPr>
        <w:t xml:space="preserve"> </w:t>
      </w:r>
    </w:p>
    <w:p w:rsidR="00806AC2" w:rsidRPr="00D876AD" w:rsidP="00603F53">
      <w:pPr>
        <w:pStyle w:val="ListParagraph"/>
        <w:numPr>
          <w:ilvl w:val="0"/>
          <w:numId w:val="6"/>
        </w:numPr>
        <w:spacing w:line="276" w:lineRule="auto"/>
        <w:rPr>
          <w:sz w:val="24"/>
          <w:szCs w:val="24"/>
        </w:rPr>
      </w:pPr>
      <w:r>
        <w:rPr>
          <w:sz w:val="24"/>
          <w:szCs w:val="24"/>
        </w:rPr>
        <w:t>O</w:t>
      </w:r>
      <w:r w:rsidRPr="00D876AD">
        <w:rPr>
          <w:sz w:val="24"/>
          <w:szCs w:val="24"/>
        </w:rPr>
        <w:t xml:space="preserve">rgán veřejné správy přizpůsobí </w:t>
      </w:r>
      <w:r w:rsidRPr="00D876AD" w:rsidR="00227B03">
        <w:rPr>
          <w:sz w:val="24"/>
          <w:szCs w:val="24"/>
        </w:rPr>
        <w:t xml:space="preserve">systém řízení rizik </w:t>
      </w:r>
      <w:r w:rsidRPr="00D876AD" w:rsidR="00717285">
        <w:rPr>
          <w:sz w:val="24"/>
          <w:szCs w:val="24"/>
        </w:rPr>
        <w:t>činnosti, kterou vykonává a </w:t>
      </w:r>
      <w:r w:rsidR="00F77EC7">
        <w:rPr>
          <w:sz w:val="24"/>
          <w:szCs w:val="24"/>
        </w:rPr>
        <w:t xml:space="preserve">své </w:t>
      </w:r>
      <w:r w:rsidRPr="00D876AD" w:rsidR="00717285">
        <w:rPr>
          <w:sz w:val="24"/>
          <w:szCs w:val="24"/>
        </w:rPr>
        <w:t>organizační struktuře</w:t>
      </w:r>
      <w:r>
        <w:rPr>
          <w:sz w:val="24"/>
          <w:szCs w:val="24"/>
        </w:rPr>
        <w:t>.</w:t>
      </w:r>
    </w:p>
    <w:p w:rsidR="00806AC2" w:rsidRPr="00D876AD" w:rsidP="00603F53">
      <w:pPr>
        <w:pStyle w:val="ListParagraph"/>
        <w:numPr>
          <w:ilvl w:val="0"/>
          <w:numId w:val="6"/>
        </w:numPr>
        <w:spacing w:line="276" w:lineRule="auto"/>
        <w:rPr>
          <w:sz w:val="24"/>
          <w:szCs w:val="24"/>
        </w:rPr>
      </w:pPr>
      <w:r>
        <w:rPr>
          <w:sz w:val="24"/>
          <w:szCs w:val="24"/>
        </w:rPr>
        <w:t>O</w:t>
      </w:r>
      <w:r w:rsidRPr="00D876AD">
        <w:rPr>
          <w:sz w:val="24"/>
          <w:szCs w:val="24"/>
        </w:rPr>
        <w:t>dpovědnost za nastave</w:t>
      </w:r>
      <w:r w:rsidRPr="00D876AD" w:rsidR="00227B03">
        <w:rPr>
          <w:sz w:val="24"/>
          <w:szCs w:val="24"/>
        </w:rPr>
        <w:t>ní systému řízení rizik nese vedoucí orgánu veřejné správy</w:t>
      </w:r>
      <w:r>
        <w:rPr>
          <w:sz w:val="24"/>
          <w:szCs w:val="24"/>
        </w:rPr>
        <w:t>.</w:t>
      </w:r>
    </w:p>
    <w:p w:rsidR="00227B03" w:rsidRPr="00D876AD" w:rsidP="00603F53">
      <w:pPr>
        <w:pStyle w:val="ListParagraph"/>
        <w:numPr>
          <w:ilvl w:val="0"/>
          <w:numId w:val="6"/>
        </w:numPr>
        <w:spacing w:line="276" w:lineRule="auto"/>
        <w:rPr>
          <w:sz w:val="24"/>
          <w:szCs w:val="24"/>
        </w:rPr>
      </w:pPr>
      <w:r>
        <w:rPr>
          <w:sz w:val="24"/>
          <w:szCs w:val="24"/>
        </w:rPr>
        <w:t>V</w:t>
      </w:r>
      <w:r w:rsidRPr="00D876AD">
        <w:rPr>
          <w:sz w:val="24"/>
          <w:szCs w:val="24"/>
        </w:rPr>
        <w:t>edoucí orgánu veřejné správy na</w:t>
      </w:r>
      <w:r w:rsidRPr="00D876AD" w:rsidR="00717285">
        <w:rPr>
          <w:sz w:val="24"/>
          <w:szCs w:val="24"/>
        </w:rPr>
        <w:t>staví pravomoci</w:t>
      </w:r>
      <w:r w:rsidRPr="00D876AD" w:rsidR="006429C7">
        <w:rPr>
          <w:sz w:val="24"/>
          <w:szCs w:val="24"/>
        </w:rPr>
        <w:t xml:space="preserve"> a </w:t>
      </w:r>
      <w:r w:rsidRPr="00D876AD" w:rsidR="00717285">
        <w:rPr>
          <w:sz w:val="24"/>
          <w:szCs w:val="24"/>
        </w:rPr>
        <w:t>odpovědnosti zaměstnanců při řízení rizik</w:t>
      </w:r>
      <w:r>
        <w:rPr>
          <w:sz w:val="24"/>
          <w:szCs w:val="24"/>
        </w:rPr>
        <w:t>.</w:t>
      </w:r>
      <w:r w:rsidRPr="00D876AD">
        <w:rPr>
          <w:sz w:val="24"/>
          <w:szCs w:val="24"/>
        </w:rPr>
        <w:t> </w:t>
      </w:r>
    </w:p>
    <w:p w:rsidR="00227B03" w:rsidP="00603F53">
      <w:pPr>
        <w:pStyle w:val="ListParagraph"/>
        <w:numPr>
          <w:ilvl w:val="0"/>
          <w:numId w:val="6"/>
        </w:numPr>
        <w:spacing w:line="276" w:lineRule="auto"/>
        <w:rPr>
          <w:sz w:val="24"/>
          <w:szCs w:val="24"/>
        </w:rPr>
      </w:pPr>
      <w:r>
        <w:rPr>
          <w:sz w:val="24"/>
          <w:szCs w:val="24"/>
        </w:rPr>
        <w:t>S</w:t>
      </w:r>
      <w:r w:rsidRPr="00D876AD">
        <w:rPr>
          <w:sz w:val="24"/>
          <w:szCs w:val="24"/>
        </w:rPr>
        <w:t>ystém řízení rizik nesmí nastavovat interní auditor</w:t>
      </w:r>
      <w:r>
        <w:rPr>
          <w:sz w:val="24"/>
          <w:szCs w:val="24"/>
        </w:rPr>
        <w:t>.</w:t>
      </w:r>
    </w:p>
    <w:p w:rsidR="00033421" w:rsidRPr="00D876AD" w:rsidP="00603F53">
      <w:pPr>
        <w:pStyle w:val="ListParagraph"/>
        <w:numPr>
          <w:ilvl w:val="0"/>
          <w:numId w:val="6"/>
        </w:numPr>
        <w:spacing w:line="276" w:lineRule="auto"/>
        <w:rPr>
          <w:sz w:val="24"/>
          <w:szCs w:val="24"/>
        </w:rPr>
      </w:pPr>
      <w:r>
        <w:rPr>
          <w:sz w:val="24"/>
          <w:szCs w:val="24"/>
        </w:rPr>
        <w:t xml:space="preserve">Řízení rizik souvisejících s konkrétní operací se ověřuje v rámci schvalovacích procesů řídicí kontroly k této operaci. </w:t>
      </w:r>
    </w:p>
    <w:p w:rsidR="00227B03" w:rsidRPr="00970BDA" w:rsidP="00970BDA"/>
    <w:p w:rsidR="00970BDA" w:rsidRPr="00970BDA" w:rsidP="00970BDA"/>
    <w:p w:rsidR="00E97E4E" w:rsidRPr="00E97E4E" w:rsidP="00E97E4E"/>
    <w:p w:rsidR="00E97E4E" w:rsidRPr="00E97E4E" w:rsidP="00E97E4E"/>
    <w:p w:rsidR="00E97E4E" w:rsidRPr="006D19A2" w:rsidP="006D19A2"/>
    <w:p w:rsidR="006D19A2" w:rsidP="00AE5CC8"/>
    <w:p w:rsidR="006D19A2" w:rsidP="00AE5CC8"/>
    <w:p w:rsidR="00B7799D">
      <w:pPr>
        <w:rPr>
          <w:b/>
        </w:rPr>
      </w:pPr>
      <w:r>
        <w:t xml:space="preserve"> </w:t>
      </w:r>
      <w:bookmarkEnd w:id="5"/>
      <w:bookmarkEnd w:id="6"/>
      <w:bookmarkEnd w:id="7"/>
      <w:bookmarkEnd w:id="8"/>
      <w:r w:rsidRPr="00C0421C" w:rsidR="00880254">
        <w:rPr>
          <w:b/>
        </w:rPr>
        <w:br w:type="page"/>
      </w:r>
    </w:p>
    <w:p w:rsidR="00B7799D" w:rsidRPr="00B7799D">
      <w:pPr>
        <w:rPr>
          <w:b/>
        </w:rPr>
      </w:pPr>
    </w:p>
    <w:p w:rsidR="00033421" w:rsidRPr="00A514FE" w:rsidP="00B7799D">
      <w:pPr>
        <w:pStyle w:val="Kapitolavodn"/>
        <w:numPr>
          <w:ilvl w:val="0"/>
          <w:numId w:val="9"/>
        </w:numPr>
        <w:spacing w:before="6400"/>
        <w:ind w:left="1077"/>
        <w:jc w:val="left"/>
        <w:rPr>
          <w:rFonts w:ascii="Segoe UI" w:hAnsi="Segoe UI" w:cs="Segoe UI"/>
          <w:b w:val="0"/>
          <w:color w:val="1B6092" w:themeColor="text2" w:themeShade="BF"/>
          <w:sz w:val="48"/>
          <w:szCs w:val="48"/>
        </w:rPr>
      </w:pPr>
      <w:r w:rsidRPr="00A514FE">
        <w:rPr>
          <w:rFonts w:ascii="Segoe UI" w:hAnsi="Segoe UI" w:cs="Segoe UI"/>
          <w:b w:val="0"/>
          <w:color w:val="1B6092" w:themeColor="text2" w:themeShade="BF"/>
          <w:sz w:val="48"/>
          <w:szCs w:val="48"/>
        </w:rPr>
        <w:t>Vzorová směrnice o řízení rizik</w:t>
      </w:r>
    </w:p>
    <w:p w:rsidR="00D91E7C">
      <w:pPr>
        <w:jc w:val="left"/>
      </w:pPr>
      <w:r>
        <w:br w:type="page"/>
      </w:r>
    </w:p>
    <w:p w:rsidR="007D0491" w:rsidRPr="001F1C7E" w:rsidP="007D0491">
      <w:pPr>
        <w:keepNext/>
        <w:keepLines/>
        <w:spacing w:after="120"/>
        <w:jc w:val="center"/>
        <w:rPr>
          <w:b/>
          <w:bCs/>
          <w:iCs/>
          <w:szCs w:val="24"/>
        </w:rPr>
      </w:pPr>
      <w:r w:rsidRPr="001F1C7E">
        <w:rPr>
          <w:b/>
          <w:bCs/>
          <w:iCs/>
          <w:szCs w:val="24"/>
        </w:rPr>
        <w:t>Čl. 1</w:t>
      </w:r>
      <w:r w:rsidRPr="001F1C7E">
        <w:rPr>
          <w:b/>
          <w:bCs/>
          <w:iCs/>
          <w:szCs w:val="24"/>
        </w:rPr>
        <w:br/>
        <w:t>Předmět úpravy</w:t>
      </w:r>
    </w:p>
    <w:p w:rsidR="007D0491" w:rsidRPr="00E377A9" w:rsidP="00EB79E4">
      <w:pPr>
        <w:spacing w:after="120"/>
        <w:rPr>
          <w:szCs w:val="24"/>
        </w:rPr>
      </w:pPr>
      <w:r w:rsidRPr="00E377A9">
        <w:rPr>
          <w:szCs w:val="24"/>
        </w:rPr>
        <w:t>Tat</w:t>
      </w:r>
      <w:r>
        <w:rPr>
          <w:szCs w:val="24"/>
        </w:rPr>
        <w:t>o</w:t>
      </w:r>
      <w:r w:rsidRPr="00E377A9">
        <w:rPr>
          <w:szCs w:val="24"/>
        </w:rPr>
        <w:t xml:space="preserve"> směrnice, v souladu s požadavky zákona č. 320/2</w:t>
      </w:r>
      <w:r w:rsidR="00AE5CC8">
        <w:rPr>
          <w:szCs w:val="24"/>
        </w:rPr>
        <w:t>001 Sb., o finanční kontrole ve </w:t>
      </w:r>
      <w:r w:rsidRPr="00E377A9">
        <w:rPr>
          <w:szCs w:val="24"/>
        </w:rPr>
        <w:t>veřejné správě a o změně některých zákonů (zákon o finanční kontrole), ve znění pozdějších předpisů,</w:t>
      </w:r>
      <w:r>
        <w:rPr>
          <w:szCs w:val="24"/>
        </w:rPr>
        <w:t xml:space="preserve"> vyhlášky č. 416/2004 Sb., </w:t>
      </w:r>
      <w:r w:rsidRPr="00C169B2">
        <w:rPr>
          <w:szCs w:val="24"/>
        </w:rPr>
        <w:t>kterou se provádí zákon č. 320/2001 Sb., o finanční kontrole ve veřejné správě a o změně některých zákonů (zákon o finanční kontrole), ve znění zákona č.</w:t>
      </w:r>
      <w:r>
        <w:rPr>
          <w:szCs w:val="24"/>
        </w:rPr>
        <w:t> </w:t>
      </w:r>
      <w:r w:rsidRPr="00C169B2">
        <w:rPr>
          <w:szCs w:val="24"/>
        </w:rPr>
        <w:t>309/2002 Sb., zák</w:t>
      </w:r>
      <w:r>
        <w:rPr>
          <w:szCs w:val="24"/>
        </w:rPr>
        <w:t>ona č. 320/2002 Sb. a zákona č. </w:t>
      </w:r>
      <w:r w:rsidRPr="00C169B2">
        <w:rPr>
          <w:szCs w:val="24"/>
        </w:rPr>
        <w:t>123/2003 Sb.</w:t>
      </w:r>
      <w:r>
        <w:rPr>
          <w:szCs w:val="24"/>
        </w:rPr>
        <w:t xml:space="preserve">, ve znění vyhlášky č. 247/2018 Sb. a vyhlášky č. 24/2020 Sb., a v souladu s ustanovením § 101 a násl. zákona č. 262/2006 Sb., zákoník práce, ve znění pozdějších předpisů, </w:t>
      </w:r>
      <w:r w:rsidRPr="00E377A9">
        <w:rPr>
          <w:szCs w:val="24"/>
        </w:rPr>
        <w:t xml:space="preserve">stanoví </w:t>
      </w:r>
      <w:r>
        <w:rPr>
          <w:szCs w:val="24"/>
        </w:rPr>
        <w:t>postupy</w:t>
      </w:r>
      <w:r w:rsidRPr="00E377A9">
        <w:rPr>
          <w:szCs w:val="24"/>
        </w:rPr>
        <w:t xml:space="preserve"> pro řízení rizik </w:t>
      </w:r>
      <w:r w:rsidRPr="00AE5CC8" w:rsidR="00AE5CC8">
        <w:rPr>
          <w:i/>
          <w:szCs w:val="24"/>
        </w:rPr>
        <w:t>orgánu veřejné správy</w:t>
      </w:r>
      <w:r w:rsidRPr="00E377A9">
        <w:rPr>
          <w:szCs w:val="24"/>
        </w:rPr>
        <w:t xml:space="preserve">. </w:t>
      </w:r>
      <w:r w:rsidR="00AE5CC8">
        <w:rPr>
          <w:szCs w:val="24"/>
        </w:rPr>
        <w:t>Směrnice se </w:t>
      </w:r>
      <w:r>
        <w:rPr>
          <w:szCs w:val="24"/>
        </w:rPr>
        <w:t xml:space="preserve">použije na všechna rizika ohrožující naplňování úkolů </w:t>
      </w:r>
      <w:r w:rsidRPr="00AE5CC8" w:rsidR="00AE5CC8">
        <w:rPr>
          <w:i/>
          <w:szCs w:val="24"/>
        </w:rPr>
        <w:t>orgánu veřejné správy</w:t>
      </w:r>
      <w:r>
        <w:rPr>
          <w:szCs w:val="24"/>
        </w:rPr>
        <w:t>, zejména na rizika provozní, finanční, personální, právní</w:t>
      </w:r>
      <w:r w:rsidR="00F92EA8">
        <w:rPr>
          <w:szCs w:val="24"/>
        </w:rPr>
        <w:t xml:space="preserve"> a</w:t>
      </w:r>
      <w:r>
        <w:rPr>
          <w:szCs w:val="24"/>
        </w:rPr>
        <w:t xml:space="preserve"> korupční.   </w:t>
      </w:r>
    </w:p>
    <w:p w:rsidR="007D0491" w:rsidRPr="001F1C7E" w:rsidP="00EB79E4">
      <w:pPr>
        <w:keepNext/>
        <w:keepLines/>
        <w:jc w:val="center"/>
        <w:rPr>
          <w:b/>
          <w:bCs/>
          <w:iCs/>
          <w:szCs w:val="24"/>
        </w:rPr>
      </w:pPr>
      <w:r w:rsidRPr="001F1C7E">
        <w:rPr>
          <w:b/>
          <w:bCs/>
          <w:iCs/>
          <w:szCs w:val="24"/>
        </w:rPr>
        <w:t>Čl. 2</w:t>
      </w:r>
      <w:r w:rsidRPr="001F1C7E">
        <w:rPr>
          <w:b/>
          <w:bCs/>
          <w:iCs/>
          <w:szCs w:val="24"/>
        </w:rPr>
        <w:br/>
        <w:t>Vymezení pojmů</w:t>
      </w:r>
    </w:p>
    <w:p w:rsidR="007D0491" w:rsidRPr="001F1C7E" w:rsidP="00EB79E4">
      <w:pPr>
        <w:keepNext/>
        <w:keepLines/>
        <w:rPr>
          <w:szCs w:val="24"/>
        </w:rPr>
      </w:pPr>
      <w:r w:rsidRPr="001F1C7E">
        <w:rPr>
          <w:szCs w:val="24"/>
        </w:rPr>
        <w:t>Pro účely této směrnice se rozumí</w:t>
      </w:r>
    </w:p>
    <w:p w:rsidR="007D0491" w:rsidRPr="001F1C7E" w:rsidP="00EB79E4">
      <w:pPr>
        <w:numPr>
          <w:ilvl w:val="0"/>
          <w:numId w:val="3"/>
        </w:numPr>
        <w:suppressAutoHyphens/>
        <w:spacing w:after="120"/>
        <w:rPr>
          <w:szCs w:val="24"/>
        </w:rPr>
      </w:pPr>
      <w:r w:rsidRPr="001F1C7E">
        <w:rPr>
          <w:szCs w:val="24"/>
        </w:rPr>
        <w:t>rizikem potenciální událost v</w:t>
      </w:r>
      <w:r>
        <w:rPr>
          <w:szCs w:val="24"/>
        </w:rPr>
        <w:t> </w:t>
      </w:r>
      <w:r w:rsidRPr="001F1C7E">
        <w:rPr>
          <w:szCs w:val="24"/>
        </w:rPr>
        <w:t>budoucnosti</w:t>
      </w:r>
      <w:r>
        <w:rPr>
          <w:szCs w:val="24"/>
        </w:rPr>
        <w:t>, která může ohrozit nebo negativně ovlivnit</w:t>
      </w:r>
      <w:r w:rsidRPr="001F1C7E">
        <w:rPr>
          <w:szCs w:val="24"/>
        </w:rPr>
        <w:t xml:space="preserve"> plnění úkolů</w:t>
      </w:r>
      <w:r>
        <w:rPr>
          <w:szCs w:val="24"/>
        </w:rPr>
        <w:t xml:space="preserve"> </w:t>
      </w:r>
      <w:r w:rsidRPr="00AE5CC8" w:rsidR="00ED03A6">
        <w:rPr>
          <w:i/>
          <w:szCs w:val="24"/>
        </w:rPr>
        <w:t>orgánu veřejné správy</w:t>
      </w:r>
      <w:r w:rsidRPr="001F1C7E">
        <w:rPr>
          <w:szCs w:val="24"/>
        </w:rPr>
        <w:t>,</w:t>
      </w:r>
    </w:p>
    <w:p w:rsidR="007D0491" w:rsidRPr="001F1C7E" w:rsidP="00EB79E4">
      <w:pPr>
        <w:numPr>
          <w:ilvl w:val="0"/>
          <w:numId w:val="3"/>
        </w:numPr>
        <w:suppressAutoHyphens/>
        <w:spacing w:after="120"/>
        <w:rPr>
          <w:szCs w:val="24"/>
        </w:rPr>
      </w:pPr>
      <w:r w:rsidRPr="001F1C7E">
        <w:rPr>
          <w:szCs w:val="24"/>
        </w:rPr>
        <w:t>pravděpodobností rizika míra pravděpodobno</w:t>
      </w:r>
      <w:r w:rsidR="00ED03A6">
        <w:rPr>
          <w:szCs w:val="24"/>
        </w:rPr>
        <w:t>sti výskytu rizikové události v </w:t>
      </w:r>
      <w:r w:rsidRPr="001F1C7E">
        <w:rPr>
          <w:szCs w:val="24"/>
        </w:rPr>
        <w:t>budoucnosti měřená na škále 1-5 (1 nejméně pravděpodobné, 5 nejvíce pravděpodobné),</w:t>
      </w:r>
    </w:p>
    <w:p w:rsidR="007D0491" w:rsidRPr="001F1C7E" w:rsidP="00EB79E4">
      <w:pPr>
        <w:numPr>
          <w:ilvl w:val="0"/>
          <w:numId w:val="3"/>
        </w:numPr>
        <w:suppressAutoHyphens/>
        <w:spacing w:after="120"/>
        <w:rPr>
          <w:szCs w:val="24"/>
        </w:rPr>
      </w:pPr>
      <w:r w:rsidRPr="001F1C7E">
        <w:rPr>
          <w:szCs w:val="24"/>
        </w:rPr>
        <w:t xml:space="preserve">dopadem rizika rozsah negativního dopadu či ztráty, která </w:t>
      </w:r>
      <w:r>
        <w:rPr>
          <w:szCs w:val="24"/>
        </w:rPr>
        <w:t xml:space="preserve">může </w:t>
      </w:r>
      <w:r w:rsidRPr="00AE5CC8" w:rsidR="00ED03A6">
        <w:rPr>
          <w:i/>
          <w:szCs w:val="24"/>
        </w:rPr>
        <w:t>orgánu veřejné správy</w:t>
      </w:r>
      <w:r w:rsidRPr="001F1C7E">
        <w:rPr>
          <w:szCs w:val="24"/>
        </w:rPr>
        <w:t xml:space="preserve"> vznik</w:t>
      </w:r>
      <w:r>
        <w:rPr>
          <w:szCs w:val="24"/>
        </w:rPr>
        <w:t>nout</w:t>
      </w:r>
      <w:r w:rsidRPr="001F1C7E">
        <w:rPr>
          <w:szCs w:val="24"/>
        </w:rPr>
        <w:t xml:space="preserve"> v</w:t>
      </w:r>
      <w:r>
        <w:rPr>
          <w:szCs w:val="24"/>
        </w:rPr>
        <w:t> </w:t>
      </w:r>
      <w:r w:rsidRPr="001F1C7E">
        <w:rPr>
          <w:szCs w:val="24"/>
        </w:rPr>
        <w:t>případě výskytu rizikové události</w:t>
      </w:r>
      <w:r>
        <w:rPr>
          <w:szCs w:val="24"/>
        </w:rPr>
        <w:t>;</w:t>
      </w:r>
      <w:r w:rsidRPr="001F1C7E">
        <w:rPr>
          <w:szCs w:val="24"/>
        </w:rPr>
        <w:t xml:space="preserve"> </w:t>
      </w:r>
      <w:r>
        <w:rPr>
          <w:szCs w:val="24"/>
        </w:rPr>
        <w:t>l</w:t>
      </w:r>
      <w:r w:rsidRPr="001F1C7E">
        <w:rPr>
          <w:szCs w:val="24"/>
        </w:rPr>
        <w:t xml:space="preserve">ze do něj zahrnout jak přímé finanční ztráty či dodatečné náklady, tak i dopady nefinančního </w:t>
      </w:r>
      <w:r w:rsidR="00ED03A6">
        <w:rPr>
          <w:szCs w:val="24"/>
        </w:rPr>
        <w:t>charakteru, např. </w:t>
      </w:r>
      <w:r w:rsidRPr="001F1C7E">
        <w:rPr>
          <w:szCs w:val="24"/>
        </w:rPr>
        <w:t>snížení kvality služeb pro občany atd.</w:t>
      </w:r>
      <w:r>
        <w:rPr>
          <w:szCs w:val="24"/>
        </w:rPr>
        <w:t>;</w:t>
      </w:r>
      <w:r w:rsidRPr="001F1C7E">
        <w:rPr>
          <w:szCs w:val="24"/>
        </w:rPr>
        <w:t xml:space="preserve"> </w:t>
      </w:r>
      <w:r>
        <w:rPr>
          <w:szCs w:val="24"/>
        </w:rPr>
        <w:t>d</w:t>
      </w:r>
      <w:r w:rsidRPr="001F1C7E">
        <w:rPr>
          <w:szCs w:val="24"/>
        </w:rPr>
        <w:t xml:space="preserve">opad rizika se měří na </w:t>
      </w:r>
      <w:r w:rsidR="00ED03A6">
        <w:rPr>
          <w:szCs w:val="24"/>
        </w:rPr>
        <w:t>škále 1-5 (1 </w:t>
      </w:r>
      <w:r w:rsidRPr="001F1C7E">
        <w:rPr>
          <w:szCs w:val="24"/>
        </w:rPr>
        <w:t>nejmenší negativní dopad, 5 největší negativní dopad)</w:t>
      </w:r>
      <w:r>
        <w:rPr>
          <w:szCs w:val="24"/>
        </w:rPr>
        <w:t>,</w:t>
      </w:r>
    </w:p>
    <w:p w:rsidR="00496013" w:rsidRPr="00A454F1" w:rsidP="00EB79E4">
      <w:pPr>
        <w:numPr>
          <w:ilvl w:val="0"/>
          <w:numId w:val="3"/>
        </w:numPr>
        <w:suppressAutoHyphens/>
        <w:spacing w:after="120"/>
        <w:rPr>
          <w:szCs w:val="24"/>
        </w:rPr>
      </w:pPr>
      <w:r w:rsidRPr="00A454F1">
        <w:rPr>
          <w:szCs w:val="24"/>
        </w:rPr>
        <w:t>významností rizika relativní důležitost rizika pro</w:t>
      </w:r>
      <w:r w:rsidRPr="00ED03A6">
        <w:rPr>
          <w:i/>
          <w:szCs w:val="24"/>
        </w:rPr>
        <w:t xml:space="preserve"> </w:t>
      </w:r>
      <w:r>
        <w:rPr>
          <w:i/>
          <w:szCs w:val="24"/>
        </w:rPr>
        <w:t>orgán</w:t>
      </w:r>
      <w:r w:rsidRPr="00AE5CC8">
        <w:rPr>
          <w:i/>
          <w:szCs w:val="24"/>
        </w:rPr>
        <w:t xml:space="preserve"> veřejné správy</w:t>
      </w:r>
      <w:r>
        <w:rPr>
          <w:szCs w:val="24"/>
        </w:rPr>
        <w:t>, která je </w:t>
      </w:r>
      <w:r w:rsidRPr="00A454F1">
        <w:rPr>
          <w:szCs w:val="24"/>
        </w:rPr>
        <w:t>vyjádřena součinem pravděpodobnosti rizika a dopadu rizika (1-8 nízká míra významnosti rizika, 9-14 střední míra významnosti rizika, 15-25 vysoká míra významnosti rizika),</w:t>
      </w:r>
    </w:p>
    <w:p w:rsidR="007D0491" w:rsidRPr="001F1C7E" w:rsidP="00EB79E4">
      <w:pPr>
        <w:numPr>
          <w:ilvl w:val="0"/>
          <w:numId w:val="3"/>
        </w:numPr>
        <w:suppressAutoHyphens/>
        <w:spacing w:after="120"/>
        <w:rPr>
          <w:szCs w:val="24"/>
        </w:rPr>
      </w:pPr>
      <w:r w:rsidRPr="001F1C7E">
        <w:rPr>
          <w:szCs w:val="24"/>
        </w:rPr>
        <w:t xml:space="preserve">řízením rizik </w:t>
      </w:r>
      <w:r>
        <w:rPr>
          <w:szCs w:val="24"/>
        </w:rPr>
        <w:t>s</w:t>
      </w:r>
      <w:r w:rsidRPr="001F1C7E">
        <w:rPr>
          <w:szCs w:val="24"/>
        </w:rPr>
        <w:t>oustavná činnost, jejímž cílem je omezit pravděpodobnost výskytu rizik nebo snížit jejich dopad</w:t>
      </w:r>
      <w:r>
        <w:rPr>
          <w:szCs w:val="24"/>
        </w:rPr>
        <w:t>;</w:t>
      </w:r>
      <w:r w:rsidRPr="001F1C7E">
        <w:rPr>
          <w:szCs w:val="24"/>
        </w:rPr>
        <w:t xml:space="preserve"> řízení rizik je </w:t>
      </w:r>
      <w:r>
        <w:rPr>
          <w:szCs w:val="24"/>
        </w:rPr>
        <w:t xml:space="preserve">nedílnou součástí každého rozhodování </w:t>
      </w:r>
      <w:r w:rsidR="00ED03A6">
        <w:rPr>
          <w:szCs w:val="24"/>
        </w:rPr>
        <w:t>v </w:t>
      </w:r>
      <w:r w:rsidRPr="00AE5CC8" w:rsidR="00ED03A6">
        <w:rPr>
          <w:i/>
          <w:szCs w:val="24"/>
        </w:rPr>
        <w:t>orgánu veřejné správy</w:t>
      </w:r>
      <w:r w:rsidRPr="001F1C7E">
        <w:rPr>
          <w:szCs w:val="24"/>
        </w:rPr>
        <w:t>.</w:t>
      </w:r>
    </w:p>
    <w:p w:rsidR="007D0491" w:rsidRPr="001F1C7E" w:rsidP="00EB79E4">
      <w:pPr>
        <w:keepNext/>
        <w:keepLines/>
        <w:spacing w:after="120"/>
        <w:jc w:val="center"/>
        <w:rPr>
          <w:b/>
          <w:bCs/>
          <w:iCs/>
          <w:szCs w:val="24"/>
        </w:rPr>
      </w:pPr>
      <w:r w:rsidRPr="001F1C7E">
        <w:rPr>
          <w:b/>
          <w:bCs/>
          <w:iCs/>
          <w:szCs w:val="24"/>
        </w:rPr>
        <w:t>Čl. 3</w:t>
      </w:r>
      <w:r w:rsidRPr="001F1C7E">
        <w:rPr>
          <w:b/>
          <w:bCs/>
          <w:iCs/>
          <w:szCs w:val="24"/>
        </w:rPr>
        <w:br/>
        <w:t>Úrovně řízení rizik</w:t>
      </w:r>
    </w:p>
    <w:p w:rsidR="007D0491" w:rsidRPr="001F1C7E" w:rsidP="00EB79E4">
      <w:pPr>
        <w:numPr>
          <w:ilvl w:val="0"/>
          <w:numId w:val="4"/>
        </w:numPr>
        <w:suppressAutoHyphens/>
        <w:spacing w:after="120"/>
        <w:rPr>
          <w:szCs w:val="24"/>
        </w:rPr>
      </w:pPr>
      <w:r w:rsidRPr="001F1C7E">
        <w:rPr>
          <w:szCs w:val="24"/>
        </w:rPr>
        <w:t xml:space="preserve">Vedoucí zaměstnanci </w:t>
      </w:r>
      <w:r>
        <w:rPr>
          <w:szCs w:val="24"/>
        </w:rPr>
        <w:t xml:space="preserve">podle čl. </w:t>
      </w:r>
      <w:r w:rsidRPr="00ED03A6" w:rsidR="00ED03A6">
        <w:rPr>
          <w:i/>
          <w:szCs w:val="24"/>
        </w:rPr>
        <w:t>X</w:t>
      </w:r>
      <w:r>
        <w:rPr>
          <w:szCs w:val="24"/>
        </w:rPr>
        <w:t xml:space="preserve"> </w:t>
      </w:r>
      <w:r w:rsidRPr="00496013">
        <w:rPr>
          <w:i/>
          <w:szCs w:val="24"/>
        </w:rPr>
        <w:t>Organizačního řádu</w:t>
      </w:r>
      <w:r w:rsidRPr="001F1C7E">
        <w:rPr>
          <w:szCs w:val="24"/>
        </w:rPr>
        <w:t xml:space="preserve"> (dále jen „vedoucí zaměstnanci“) mají povinnost identifikovat a vyhodno</w:t>
      </w:r>
      <w:r>
        <w:rPr>
          <w:szCs w:val="24"/>
        </w:rPr>
        <w:t>cova</w:t>
      </w:r>
      <w:r w:rsidRPr="001F1C7E">
        <w:rPr>
          <w:szCs w:val="24"/>
        </w:rPr>
        <w:t>t rizika související s úkoly, které jsou jim svěřeny</w:t>
      </w:r>
      <w:r w:rsidR="007F17BF">
        <w:rPr>
          <w:szCs w:val="24"/>
        </w:rPr>
        <w:t>,</w:t>
      </w:r>
      <w:r w:rsidRPr="001F1C7E">
        <w:rPr>
          <w:szCs w:val="24"/>
        </w:rPr>
        <w:t xml:space="preserve"> a přijímat opatření k jejich zm</w:t>
      </w:r>
      <w:r w:rsidR="00EB79E4">
        <w:rPr>
          <w:szCs w:val="24"/>
        </w:rPr>
        <w:t>írnění nebo vyloučení (dále  jen </w:t>
      </w:r>
      <w:r w:rsidRPr="001F1C7E">
        <w:rPr>
          <w:szCs w:val="24"/>
        </w:rPr>
        <w:t xml:space="preserve">„opatření“).  </w:t>
      </w:r>
    </w:p>
    <w:p w:rsidR="007D0491" w:rsidRPr="001F1C7E" w:rsidP="00EB79E4">
      <w:pPr>
        <w:numPr>
          <w:ilvl w:val="0"/>
          <w:numId w:val="4"/>
        </w:numPr>
        <w:suppressAutoHyphens/>
        <w:spacing w:after="120"/>
        <w:rPr>
          <w:szCs w:val="24"/>
        </w:rPr>
      </w:pPr>
      <w:r w:rsidRPr="001F1C7E">
        <w:rPr>
          <w:szCs w:val="24"/>
        </w:rPr>
        <w:t>V případě, že</w:t>
      </w:r>
      <w:r>
        <w:rPr>
          <w:szCs w:val="24"/>
        </w:rPr>
        <w:t xml:space="preserve"> vedoucí zaměstnanec na</w:t>
      </w:r>
      <w:r w:rsidRPr="001F1C7E">
        <w:rPr>
          <w:szCs w:val="24"/>
        </w:rPr>
        <w:t xml:space="preserve"> příslušn</w:t>
      </w:r>
      <w:r>
        <w:rPr>
          <w:szCs w:val="24"/>
        </w:rPr>
        <w:t>ém</w:t>
      </w:r>
      <w:r w:rsidRPr="001F1C7E">
        <w:rPr>
          <w:szCs w:val="24"/>
        </w:rPr>
        <w:t xml:space="preserve"> stup</w:t>
      </w:r>
      <w:r>
        <w:rPr>
          <w:szCs w:val="24"/>
        </w:rPr>
        <w:t>ni</w:t>
      </w:r>
      <w:r w:rsidRPr="001F1C7E">
        <w:rPr>
          <w:szCs w:val="24"/>
        </w:rPr>
        <w:t xml:space="preserve"> řízení nedisponuje nástroji a pravomocemi, které jsou nezbytné pro přijetí opatření, je</w:t>
      </w:r>
      <w:r w:rsidR="00ED03A6">
        <w:rPr>
          <w:szCs w:val="24"/>
        </w:rPr>
        <w:t> </w:t>
      </w:r>
      <w:r w:rsidRPr="001F1C7E">
        <w:rPr>
          <w:szCs w:val="24"/>
        </w:rPr>
        <w:t xml:space="preserve">příslušný vedoucí zaměstnanec povinen </w:t>
      </w:r>
      <w:r w:rsidR="007F17BF">
        <w:rPr>
          <w:szCs w:val="24"/>
        </w:rPr>
        <w:t xml:space="preserve">o tom </w:t>
      </w:r>
      <w:r>
        <w:rPr>
          <w:szCs w:val="24"/>
        </w:rPr>
        <w:t xml:space="preserve">prokazatelně </w:t>
      </w:r>
      <w:r w:rsidRPr="001F1C7E">
        <w:rPr>
          <w:szCs w:val="24"/>
        </w:rPr>
        <w:t>informovat svého přímého nadřízeného</w:t>
      </w:r>
      <w:r>
        <w:rPr>
          <w:szCs w:val="24"/>
        </w:rPr>
        <w:t xml:space="preserve"> vedoucího zaměstnance</w:t>
      </w:r>
      <w:r w:rsidRPr="001F1C7E">
        <w:rPr>
          <w:szCs w:val="24"/>
        </w:rPr>
        <w:t xml:space="preserve"> a navrhnout mu vhodná opatření. </w:t>
      </w:r>
    </w:p>
    <w:p w:rsidR="007D0491" w:rsidP="00EB79E4">
      <w:pPr>
        <w:numPr>
          <w:ilvl w:val="0"/>
          <w:numId w:val="4"/>
        </w:numPr>
        <w:suppressAutoHyphens/>
        <w:spacing w:after="120"/>
        <w:rPr>
          <w:szCs w:val="24"/>
        </w:rPr>
      </w:pPr>
      <w:r w:rsidRPr="00496013">
        <w:rPr>
          <w:i/>
          <w:szCs w:val="24"/>
        </w:rPr>
        <w:t>Vrcholové vedení</w:t>
      </w:r>
      <w:r>
        <w:rPr>
          <w:szCs w:val="24"/>
        </w:rPr>
        <w:t xml:space="preserve"> </w:t>
      </w:r>
      <w:r>
        <w:rPr>
          <w:i/>
          <w:szCs w:val="24"/>
        </w:rPr>
        <w:t>orgánu veřejné správy</w:t>
      </w:r>
      <w:r w:rsidRPr="00931B26">
        <w:rPr>
          <w:szCs w:val="24"/>
        </w:rPr>
        <w:t xml:space="preserve"> v přímé </w:t>
      </w:r>
      <w:r w:rsidRPr="00952558">
        <w:rPr>
          <w:szCs w:val="24"/>
        </w:rPr>
        <w:t xml:space="preserve">řídící působnosti </w:t>
      </w:r>
      <w:r w:rsidRPr="00D45EBD">
        <w:rPr>
          <w:i/>
          <w:szCs w:val="24"/>
        </w:rPr>
        <w:t>vedoucího orgánu veřejné správy</w:t>
      </w:r>
      <w:r w:rsidRPr="00952558">
        <w:rPr>
          <w:szCs w:val="24"/>
        </w:rPr>
        <w:t xml:space="preserve"> má povinnost </w:t>
      </w:r>
      <w:r>
        <w:rPr>
          <w:szCs w:val="24"/>
        </w:rPr>
        <w:t>neprodleně</w:t>
      </w:r>
    </w:p>
    <w:p w:rsidR="007D0491" w:rsidP="00EB79E4">
      <w:pPr>
        <w:pStyle w:val="ListParagraph"/>
        <w:numPr>
          <w:ilvl w:val="1"/>
          <w:numId w:val="4"/>
        </w:numPr>
        <w:suppressAutoHyphens/>
        <w:spacing w:line="276" w:lineRule="auto"/>
        <w:contextualSpacing w:val="0"/>
      </w:pPr>
      <w:r w:rsidRPr="00FD1D9A">
        <w:t xml:space="preserve">informovat </w:t>
      </w:r>
      <w:r w:rsidRPr="00D45EBD" w:rsidR="00D45EBD">
        <w:rPr>
          <w:i/>
        </w:rPr>
        <w:t>vedoucího orgánu veřejné správy</w:t>
      </w:r>
      <w:r w:rsidRPr="00FD1D9A">
        <w:t xml:space="preserve"> o</w:t>
      </w:r>
      <w:r w:rsidRPr="00A454F1">
        <w:t> </w:t>
      </w:r>
      <w:r w:rsidRPr="00FD1D9A">
        <w:t xml:space="preserve">rizicích, </w:t>
      </w:r>
      <w:r w:rsidRPr="00931B26">
        <w:t>kter</w:t>
      </w:r>
      <w:r w:rsidRPr="00952558">
        <w:t>á</w:t>
      </w:r>
      <w:r w:rsidRPr="00FD1D9A">
        <w:t xml:space="preserve"> mají dopad na </w:t>
      </w:r>
      <w:r w:rsidRPr="00952558">
        <w:t>plnění zásadních úkolů</w:t>
      </w:r>
      <w:r w:rsidRPr="00FD1D9A">
        <w:t xml:space="preserve"> </w:t>
      </w:r>
      <w:r w:rsidRPr="00D45EBD" w:rsidR="00D45EBD">
        <w:rPr>
          <w:i/>
        </w:rPr>
        <w:t>orgánu veřejné správy</w:t>
      </w:r>
      <w:r w:rsidRPr="00FD1D9A">
        <w:t xml:space="preserve"> a u nichž musí být přijímána opatření na úrovni </w:t>
      </w:r>
      <w:r w:rsidRPr="00D45EBD" w:rsidR="00D45EBD">
        <w:rPr>
          <w:i/>
        </w:rPr>
        <w:t>vedoucího orgánu veřejné správy</w:t>
      </w:r>
      <w:r w:rsidRPr="00FD1D9A">
        <w:t xml:space="preserve"> (dále jen „nejvýznamnější rizika</w:t>
      </w:r>
      <w:r w:rsidRPr="00952558">
        <w:t>“)</w:t>
      </w:r>
      <w:r>
        <w:t>,</w:t>
      </w:r>
      <w:r w:rsidRPr="00931B26">
        <w:t xml:space="preserve"> </w:t>
      </w:r>
    </w:p>
    <w:p w:rsidR="007D0491" w:rsidRPr="00A454F1" w:rsidP="00EB79E4">
      <w:pPr>
        <w:pStyle w:val="ListParagraph"/>
        <w:numPr>
          <w:ilvl w:val="1"/>
          <w:numId w:val="4"/>
        </w:numPr>
        <w:suppressAutoHyphens/>
        <w:spacing w:line="276" w:lineRule="auto"/>
        <w:contextualSpacing w:val="0"/>
      </w:pPr>
      <w:r w:rsidRPr="00FD1D9A">
        <w:t>navrhnout vhodná opatření a</w:t>
      </w:r>
    </w:p>
    <w:p w:rsidR="007D0491" w:rsidRPr="00A454F1" w:rsidP="00EB79E4">
      <w:pPr>
        <w:pStyle w:val="ListParagraph"/>
        <w:numPr>
          <w:ilvl w:val="1"/>
          <w:numId w:val="4"/>
        </w:numPr>
        <w:suppressAutoHyphens/>
        <w:spacing w:line="276" w:lineRule="auto"/>
        <w:contextualSpacing w:val="0"/>
      </w:pPr>
      <w:r w:rsidRPr="00FD1D9A">
        <w:t xml:space="preserve">informovat </w:t>
      </w:r>
      <w:r w:rsidRPr="00D45EBD" w:rsidR="00670054">
        <w:rPr>
          <w:i/>
        </w:rPr>
        <w:t>vedoucího orgánu veřejné správy</w:t>
      </w:r>
      <w:r w:rsidRPr="00FD1D9A" w:rsidR="00670054">
        <w:t xml:space="preserve"> </w:t>
      </w:r>
      <w:r w:rsidRPr="00FD1D9A">
        <w:t xml:space="preserve">o každé </w:t>
      </w:r>
      <w:r w:rsidR="00670054">
        <w:t>změně, která má zásadní vliv na </w:t>
      </w:r>
      <w:r w:rsidRPr="00FD1D9A">
        <w:t>významnost těchto rizik.</w:t>
      </w:r>
    </w:p>
    <w:p w:rsidR="007D0491" w:rsidP="00EB79E4">
      <w:pPr>
        <w:numPr>
          <w:ilvl w:val="0"/>
          <w:numId w:val="4"/>
        </w:numPr>
        <w:suppressAutoHyphens/>
        <w:spacing w:after="120"/>
        <w:rPr>
          <w:szCs w:val="24"/>
        </w:rPr>
      </w:pPr>
      <w:r w:rsidRPr="00496013">
        <w:rPr>
          <w:i/>
          <w:szCs w:val="24"/>
        </w:rPr>
        <w:t>Vrcholové vedení</w:t>
      </w:r>
      <w:r>
        <w:rPr>
          <w:szCs w:val="24"/>
        </w:rPr>
        <w:t xml:space="preserve"> </w:t>
      </w:r>
      <w:r>
        <w:rPr>
          <w:i/>
          <w:szCs w:val="24"/>
        </w:rPr>
        <w:t>orgánu veřejné správy</w:t>
      </w:r>
      <w:r w:rsidRPr="00931B26">
        <w:rPr>
          <w:szCs w:val="24"/>
        </w:rPr>
        <w:t xml:space="preserve"> v přímé </w:t>
      </w:r>
      <w:r w:rsidRPr="00952558">
        <w:rPr>
          <w:szCs w:val="24"/>
        </w:rPr>
        <w:t xml:space="preserve">řídící působnosti </w:t>
      </w:r>
      <w:r w:rsidRPr="00D45EBD">
        <w:rPr>
          <w:i/>
          <w:szCs w:val="24"/>
        </w:rPr>
        <w:t>vedoucího orgánu veřejné správy</w:t>
      </w:r>
      <w:r w:rsidRPr="00952558">
        <w:rPr>
          <w:szCs w:val="24"/>
        </w:rPr>
        <w:t xml:space="preserve"> </w:t>
      </w:r>
      <w:r>
        <w:rPr>
          <w:szCs w:val="24"/>
        </w:rPr>
        <w:t xml:space="preserve">předává </w:t>
      </w:r>
      <w:r w:rsidR="00AD7885">
        <w:rPr>
          <w:i/>
          <w:szCs w:val="24"/>
        </w:rPr>
        <w:t xml:space="preserve">vedoucímu orgánu veřejné správy </w:t>
      </w:r>
      <w:r>
        <w:rPr>
          <w:szCs w:val="24"/>
        </w:rPr>
        <w:t>informace podle odstavce 3 ve formě karty rizika</w:t>
      </w:r>
      <w:r w:rsidR="00AD7885">
        <w:rPr>
          <w:szCs w:val="24"/>
        </w:rPr>
        <w:t xml:space="preserve">, jejíž </w:t>
      </w:r>
      <w:r>
        <w:rPr>
          <w:szCs w:val="24"/>
        </w:rPr>
        <w:t xml:space="preserve">kopii předává </w:t>
      </w:r>
      <w:r w:rsidRPr="00670054">
        <w:rPr>
          <w:i/>
          <w:szCs w:val="24"/>
        </w:rPr>
        <w:t>útvar</w:t>
      </w:r>
      <w:r w:rsidR="00AD7885">
        <w:rPr>
          <w:i/>
          <w:szCs w:val="24"/>
        </w:rPr>
        <w:t>u</w:t>
      </w:r>
      <w:r w:rsidRPr="001E5EFA" w:rsidR="001E5EFA">
        <w:rPr>
          <w:i/>
          <w:szCs w:val="24"/>
        </w:rPr>
        <w:t xml:space="preserve"> </w:t>
      </w:r>
      <w:r w:rsidRPr="00670054" w:rsidR="001E5EFA">
        <w:rPr>
          <w:i/>
          <w:szCs w:val="24"/>
        </w:rPr>
        <w:t>odpovědn</w:t>
      </w:r>
      <w:r w:rsidR="001E5EFA">
        <w:rPr>
          <w:i/>
          <w:szCs w:val="24"/>
        </w:rPr>
        <w:t>ému za koordinaci řízení rizik (dále jen „odpovědný útvar“)</w:t>
      </w:r>
      <w:r>
        <w:rPr>
          <w:szCs w:val="24"/>
        </w:rPr>
        <w:t>.</w:t>
      </w:r>
      <w:r w:rsidRPr="003609B0">
        <w:rPr>
          <w:szCs w:val="24"/>
        </w:rPr>
        <w:t xml:space="preserve"> </w:t>
      </w:r>
      <w:r w:rsidRPr="001F1C7E">
        <w:rPr>
          <w:szCs w:val="24"/>
        </w:rPr>
        <w:t>Vzor karty ri</w:t>
      </w:r>
      <w:r w:rsidR="00EB79E4">
        <w:rPr>
          <w:szCs w:val="24"/>
        </w:rPr>
        <w:t>zika je uveden v příloze k této </w:t>
      </w:r>
      <w:r w:rsidRPr="001F1C7E">
        <w:rPr>
          <w:szCs w:val="24"/>
        </w:rPr>
        <w:t>směrnici.</w:t>
      </w:r>
    </w:p>
    <w:p w:rsidR="007D0491" w:rsidRPr="001F1C7E" w:rsidP="00EB79E4">
      <w:pPr>
        <w:numPr>
          <w:ilvl w:val="0"/>
          <w:numId w:val="4"/>
        </w:numPr>
        <w:suppressAutoHyphens/>
        <w:spacing w:after="120"/>
        <w:rPr>
          <w:szCs w:val="24"/>
        </w:rPr>
      </w:pPr>
      <w:r>
        <w:rPr>
          <w:i/>
          <w:szCs w:val="24"/>
        </w:rPr>
        <w:t>O</w:t>
      </w:r>
      <w:r w:rsidRPr="00670054">
        <w:rPr>
          <w:i/>
          <w:szCs w:val="24"/>
        </w:rPr>
        <w:t>dpovědný útvar</w:t>
      </w:r>
      <w:r w:rsidRPr="001F1C7E">
        <w:rPr>
          <w:szCs w:val="24"/>
        </w:rPr>
        <w:t xml:space="preserve"> </w:t>
      </w:r>
      <w:r>
        <w:rPr>
          <w:szCs w:val="24"/>
        </w:rPr>
        <w:t>vede</w:t>
      </w:r>
      <w:r w:rsidRPr="001F1C7E">
        <w:rPr>
          <w:szCs w:val="24"/>
        </w:rPr>
        <w:t xml:space="preserve"> </w:t>
      </w:r>
      <w:r>
        <w:rPr>
          <w:szCs w:val="24"/>
        </w:rPr>
        <w:t>na základě vyplněných karet rizik</w:t>
      </w:r>
      <w:r w:rsidRPr="001F1C7E">
        <w:rPr>
          <w:szCs w:val="24"/>
        </w:rPr>
        <w:t xml:space="preserve"> </w:t>
      </w:r>
      <w:r>
        <w:rPr>
          <w:szCs w:val="24"/>
        </w:rPr>
        <w:t>e</w:t>
      </w:r>
      <w:r w:rsidRPr="001F1C7E">
        <w:rPr>
          <w:szCs w:val="24"/>
        </w:rPr>
        <w:t>videnci nejvýznamnějších rizik</w:t>
      </w:r>
      <w:r>
        <w:rPr>
          <w:szCs w:val="24"/>
        </w:rPr>
        <w:t xml:space="preserve"> podle odstavce 3</w:t>
      </w:r>
      <w:r w:rsidRPr="001F1C7E">
        <w:rPr>
          <w:szCs w:val="24"/>
        </w:rPr>
        <w:t>.</w:t>
      </w:r>
    </w:p>
    <w:p w:rsidR="007D0491" w:rsidP="00EB79E4">
      <w:pPr>
        <w:numPr>
          <w:ilvl w:val="0"/>
          <w:numId w:val="4"/>
        </w:numPr>
        <w:suppressAutoHyphens/>
        <w:spacing w:after="120"/>
        <w:rPr>
          <w:szCs w:val="24"/>
        </w:rPr>
      </w:pPr>
      <w:r w:rsidRPr="00154AA5">
        <w:rPr>
          <w:i/>
          <w:szCs w:val="24"/>
        </w:rPr>
        <w:t>Odpovědný útvar</w:t>
      </w:r>
      <w:r w:rsidRPr="00B731AA">
        <w:rPr>
          <w:szCs w:val="24"/>
        </w:rPr>
        <w:t xml:space="preserve"> předkládá </w:t>
      </w:r>
      <w:r w:rsidRPr="00154AA5">
        <w:rPr>
          <w:i/>
          <w:szCs w:val="24"/>
        </w:rPr>
        <w:t>poradě vedení</w:t>
      </w:r>
      <w:r w:rsidRPr="00154AA5">
        <w:rPr>
          <w:i/>
          <w:szCs w:val="24"/>
        </w:rPr>
        <w:t>/vedoucímu orgánu veřejné správy</w:t>
      </w:r>
      <w:r w:rsidRPr="00154AA5">
        <w:rPr>
          <w:i/>
          <w:szCs w:val="24"/>
        </w:rPr>
        <w:t xml:space="preserve"> </w:t>
      </w:r>
      <w:r>
        <w:rPr>
          <w:szCs w:val="24"/>
        </w:rPr>
        <w:t>vždy</w:t>
      </w:r>
      <w:r w:rsidRPr="00B731AA">
        <w:rPr>
          <w:szCs w:val="24"/>
        </w:rPr>
        <w:t xml:space="preserve"> </w:t>
      </w:r>
      <w:r>
        <w:rPr>
          <w:szCs w:val="24"/>
        </w:rPr>
        <w:t>k 30. 6. a 31. 12. p</w:t>
      </w:r>
      <w:r>
        <w:rPr>
          <w:szCs w:val="24"/>
        </w:rPr>
        <w:t>říslušného kalendářního roku</w:t>
      </w:r>
      <w:r w:rsidRPr="00B731AA">
        <w:rPr>
          <w:szCs w:val="24"/>
        </w:rPr>
        <w:t xml:space="preserve"> s</w:t>
      </w:r>
      <w:r>
        <w:rPr>
          <w:szCs w:val="24"/>
        </w:rPr>
        <w:t>ouhrnnou informaci o </w:t>
      </w:r>
      <w:r w:rsidRPr="00B731AA">
        <w:rPr>
          <w:szCs w:val="24"/>
        </w:rPr>
        <w:t>nejvýznamnějších rizicích</w:t>
      </w:r>
      <w:r w:rsidRPr="00036859">
        <w:rPr>
          <w:szCs w:val="24"/>
        </w:rPr>
        <w:t xml:space="preserve"> podle odstavce 3. Souhrnnou informaci pro </w:t>
      </w:r>
      <w:r w:rsidRPr="00C04444">
        <w:rPr>
          <w:i/>
          <w:szCs w:val="24"/>
        </w:rPr>
        <w:t>poradu vedení</w:t>
      </w:r>
      <w:r w:rsidRPr="00C04444" w:rsidR="00C04444">
        <w:rPr>
          <w:i/>
          <w:szCs w:val="24"/>
        </w:rPr>
        <w:t>/vedoucího orgánu veřejné správy</w:t>
      </w:r>
      <w:r w:rsidRPr="00C04444">
        <w:rPr>
          <w:i/>
          <w:szCs w:val="24"/>
        </w:rPr>
        <w:t xml:space="preserve"> </w:t>
      </w:r>
      <w:r w:rsidRPr="00036859">
        <w:rPr>
          <w:szCs w:val="24"/>
        </w:rPr>
        <w:t xml:space="preserve">připraví </w:t>
      </w:r>
      <w:r w:rsidRPr="00154AA5">
        <w:rPr>
          <w:i/>
          <w:szCs w:val="24"/>
        </w:rPr>
        <w:t>odpovědný útvar</w:t>
      </w:r>
      <w:r w:rsidRPr="00036859">
        <w:rPr>
          <w:szCs w:val="24"/>
        </w:rPr>
        <w:t xml:space="preserve"> na základě aktualizovaných karet rizik </w:t>
      </w:r>
      <w:r w:rsidRPr="00B731AA">
        <w:rPr>
          <w:szCs w:val="24"/>
        </w:rPr>
        <w:t xml:space="preserve">zaslaných </w:t>
      </w:r>
      <w:r w:rsidRPr="00496013">
        <w:rPr>
          <w:i/>
          <w:szCs w:val="24"/>
        </w:rPr>
        <w:t>vrcholovým vedením</w:t>
      </w:r>
      <w:r>
        <w:rPr>
          <w:szCs w:val="24"/>
        </w:rPr>
        <w:t xml:space="preserve"> </w:t>
      </w:r>
      <w:r>
        <w:rPr>
          <w:i/>
          <w:szCs w:val="24"/>
        </w:rPr>
        <w:t>orgánu veřejné správy</w:t>
      </w:r>
      <w:r w:rsidRPr="00931B26">
        <w:rPr>
          <w:szCs w:val="24"/>
        </w:rPr>
        <w:t xml:space="preserve"> v přímé </w:t>
      </w:r>
      <w:r w:rsidRPr="00952558">
        <w:rPr>
          <w:szCs w:val="24"/>
        </w:rPr>
        <w:t xml:space="preserve">řídící působnosti </w:t>
      </w:r>
      <w:r w:rsidRPr="00D45EBD">
        <w:rPr>
          <w:i/>
          <w:szCs w:val="24"/>
        </w:rPr>
        <w:t>vedoucího orgánu veřejné správy</w:t>
      </w:r>
      <w:r>
        <w:rPr>
          <w:szCs w:val="24"/>
        </w:rPr>
        <w:t xml:space="preserve"> na základě žádosti </w:t>
      </w:r>
      <w:r w:rsidRPr="00154AA5">
        <w:rPr>
          <w:i/>
          <w:szCs w:val="24"/>
        </w:rPr>
        <w:t>odpovědného útvaru</w:t>
      </w:r>
      <w:r w:rsidRPr="00154AA5">
        <w:rPr>
          <w:i/>
          <w:szCs w:val="24"/>
        </w:rPr>
        <w:t>.</w:t>
      </w:r>
      <w:r w:rsidRPr="00036859">
        <w:rPr>
          <w:szCs w:val="24"/>
        </w:rPr>
        <w:t xml:space="preserve">  </w:t>
      </w:r>
    </w:p>
    <w:p w:rsidR="007D0491" w:rsidRPr="00036859" w:rsidP="00EB79E4">
      <w:pPr>
        <w:numPr>
          <w:ilvl w:val="0"/>
          <w:numId w:val="4"/>
        </w:numPr>
        <w:suppressAutoHyphens/>
        <w:spacing w:after="120"/>
        <w:rPr>
          <w:szCs w:val="24"/>
        </w:rPr>
      </w:pPr>
      <w:r w:rsidRPr="00C04444">
        <w:rPr>
          <w:i/>
          <w:szCs w:val="24"/>
        </w:rPr>
        <w:t>Odpovědný útvar</w:t>
      </w:r>
      <w:r>
        <w:rPr>
          <w:szCs w:val="24"/>
        </w:rPr>
        <w:t xml:space="preserve"> zajistí identifikaci a hodnocení rizik, které vyplývají ze společných činností útvarů </w:t>
      </w:r>
      <w:r w:rsidRPr="00C04444">
        <w:rPr>
          <w:i/>
          <w:szCs w:val="24"/>
        </w:rPr>
        <w:t>orgánu veřejné správy</w:t>
      </w:r>
      <w:r>
        <w:rPr>
          <w:szCs w:val="24"/>
        </w:rPr>
        <w:t xml:space="preserve"> vymezených v Organizačním</w:t>
      </w:r>
      <w:r>
        <w:rPr>
          <w:szCs w:val="24"/>
        </w:rPr>
        <w:t xml:space="preserve"> řádu</w:t>
      </w:r>
      <w:r>
        <w:rPr>
          <w:rStyle w:val="FootnoteReference"/>
          <w:szCs w:val="24"/>
        </w:rPr>
        <w:footnoteReference w:id="2"/>
      </w:r>
      <w:r w:rsidR="00381A24">
        <w:rPr>
          <w:szCs w:val="24"/>
        </w:rPr>
        <w:t>, a vede jejich evidenci</w:t>
      </w:r>
      <w:r>
        <w:rPr>
          <w:szCs w:val="24"/>
        </w:rPr>
        <w:t>. Tím není dotčena povinnost vedoucích zaměstnanců přijmout opatření</w:t>
      </w:r>
      <w:r w:rsidRPr="00C946C5">
        <w:rPr>
          <w:szCs w:val="24"/>
        </w:rPr>
        <w:t xml:space="preserve"> </w:t>
      </w:r>
      <w:r w:rsidRPr="001F1C7E">
        <w:rPr>
          <w:szCs w:val="24"/>
        </w:rPr>
        <w:t>k</w:t>
      </w:r>
      <w:r>
        <w:rPr>
          <w:szCs w:val="24"/>
        </w:rPr>
        <w:t xml:space="preserve"> jejich</w:t>
      </w:r>
      <w:r w:rsidRPr="001F1C7E">
        <w:rPr>
          <w:szCs w:val="24"/>
        </w:rPr>
        <w:t> zmírnění nebo vyloučení</w:t>
      </w:r>
      <w:r>
        <w:rPr>
          <w:szCs w:val="24"/>
        </w:rPr>
        <w:t xml:space="preserve">. </w:t>
      </w:r>
    </w:p>
    <w:p w:rsidR="007D0491" w:rsidP="00EB79E4">
      <w:pPr>
        <w:jc w:val="center"/>
        <w:rPr>
          <w:b/>
          <w:bCs/>
          <w:iCs/>
          <w:szCs w:val="24"/>
        </w:rPr>
      </w:pPr>
      <w:r w:rsidRPr="001F1C7E">
        <w:rPr>
          <w:b/>
          <w:bCs/>
          <w:iCs/>
          <w:szCs w:val="24"/>
        </w:rPr>
        <w:t>Čl. 4</w:t>
      </w:r>
    </w:p>
    <w:p w:rsidR="007D0491" w:rsidRPr="001F1C7E" w:rsidP="00EB79E4">
      <w:pPr>
        <w:spacing w:after="120"/>
        <w:jc w:val="center"/>
        <w:rPr>
          <w:b/>
          <w:bCs/>
          <w:iCs/>
          <w:szCs w:val="24"/>
        </w:rPr>
      </w:pPr>
      <w:r w:rsidRPr="001F1C7E">
        <w:rPr>
          <w:b/>
          <w:bCs/>
          <w:iCs/>
          <w:szCs w:val="24"/>
        </w:rPr>
        <w:t>Auditní stopa</w:t>
      </w:r>
    </w:p>
    <w:p w:rsidR="007D0491" w:rsidRPr="001F1C7E" w:rsidP="00EB79E4">
      <w:pPr>
        <w:numPr>
          <w:ilvl w:val="0"/>
          <w:numId w:val="5"/>
        </w:numPr>
        <w:suppressAutoHyphens/>
        <w:spacing w:after="120"/>
        <w:rPr>
          <w:szCs w:val="24"/>
        </w:rPr>
      </w:pPr>
      <w:r>
        <w:rPr>
          <w:szCs w:val="24"/>
        </w:rPr>
        <w:t xml:space="preserve">U zásadních úkolů </w:t>
      </w:r>
      <w:r w:rsidRPr="00C04444">
        <w:rPr>
          <w:i/>
          <w:szCs w:val="24"/>
        </w:rPr>
        <w:t>orgánu veřejné správy</w:t>
      </w:r>
      <w:r>
        <w:rPr>
          <w:szCs w:val="24"/>
        </w:rPr>
        <w:t xml:space="preserve"> a u úkolů s vysokou mírou významnosti rizika mají v</w:t>
      </w:r>
      <w:r w:rsidRPr="001F1C7E">
        <w:rPr>
          <w:szCs w:val="24"/>
        </w:rPr>
        <w:t>edoucí zaměstnanci povinnost zaznamenávat o</w:t>
      </w:r>
      <w:r>
        <w:rPr>
          <w:szCs w:val="24"/>
        </w:rPr>
        <w:t> identifikaci a hodnocení</w:t>
      </w:r>
      <w:r w:rsidRPr="001F1C7E">
        <w:rPr>
          <w:szCs w:val="24"/>
        </w:rPr>
        <w:t xml:space="preserve"> </w:t>
      </w:r>
      <w:r>
        <w:rPr>
          <w:szCs w:val="24"/>
        </w:rPr>
        <w:t>rizik a o přijímaných opatřeních</w:t>
      </w:r>
      <w:r w:rsidRPr="00AD7885" w:rsidR="00AD7885">
        <w:rPr>
          <w:szCs w:val="24"/>
        </w:rPr>
        <w:t xml:space="preserve"> </w:t>
      </w:r>
      <w:r w:rsidRPr="001F1C7E" w:rsidR="00AD7885">
        <w:rPr>
          <w:szCs w:val="24"/>
        </w:rPr>
        <w:t>přiměřenou auditní stopu</w:t>
      </w:r>
      <w:r>
        <w:rPr>
          <w:szCs w:val="24"/>
        </w:rPr>
        <w:t>. O tom</w:t>
      </w:r>
      <w:r w:rsidR="00AD7885">
        <w:rPr>
          <w:szCs w:val="24"/>
        </w:rPr>
        <w:t>,</w:t>
      </w:r>
      <w:r>
        <w:rPr>
          <w:szCs w:val="24"/>
        </w:rPr>
        <w:t xml:space="preserve"> zda a v jaké formě bude auditní stopa zaznamenána, rozhoduje příslušný vedoucí zaměstnanec. </w:t>
      </w:r>
    </w:p>
    <w:p w:rsidR="007D0491" w:rsidRPr="001F1C7E" w:rsidP="00EB79E4">
      <w:pPr>
        <w:numPr>
          <w:ilvl w:val="0"/>
          <w:numId w:val="5"/>
        </w:numPr>
        <w:suppressAutoHyphens/>
        <w:spacing w:after="120"/>
        <w:rPr>
          <w:szCs w:val="24"/>
        </w:rPr>
      </w:pPr>
      <w:r>
        <w:rPr>
          <w:szCs w:val="24"/>
        </w:rPr>
        <w:t>A</w:t>
      </w:r>
      <w:r>
        <w:rPr>
          <w:szCs w:val="24"/>
        </w:rPr>
        <w:t xml:space="preserve">uditní stopa podle odstavce 1 </w:t>
      </w:r>
      <w:r>
        <w:rPr>
          <w:szCs w:val="24"/>
        </w:rPr>
        <w:t>může být součástí</w:t>
      </w:r>
      <w:r w:rsidR="00B20EE0">
        <w:rPr>
          <w:szCs w:val="24"/>
        </w:rPr>
        <w:t xml:space="preserve"> materiálů, které se vytváří v souvislosti s plněním úkolů</w:t>
      </w:r>
      <w:r>
        <w:rPr>
          <w:szCs w:val="24"/>
        </w:rPr>
        <w:t xml:space="preserve">. </w:t>
      </w:r>
      <w:r w:rsidRPr="00E938B6">
        <w:rPr>
          <w:szCs w:val="24"/>
        </w:rPr>
        <w:t>U srovnatelných a opakujících se úkolů a materiálů lze auditní stopu zaznamenat jedním společným souhrnným záznamem.</w:t>
      </w:r>
      <w:r>
        <w:rPr>
          <w:szCs w:val="24"/>
        </w:rPr>
        <w:t xml:space="preserve">  </w:t>
      </w:r>
    </w:p>
    <w:p w:rsidR="007D0491" w:rsidP="00EB79E4">
      <w:pPr>
        <w:numPr>
          <w:ilvl w:val="0"/>
          <w:numId w:val="5"/>
        </w:numPr>
        <w:suppressAutoHyphens/>
        <w:spacing w:after="120"/>
        <w:rPr>
          <w:szCs w:val="24"/>
        </w:rPr>
      </w:pPr>
      <w:r>
        <w:rPr>
          <w:szCs w:val="24"/>
        </w:rPr>
        <w:t xml:space="preserve">V případě, že vedoucí zaměstnanec identifikuje riziko, jehož pravděpodobným následkem </w:t>
      </w:r>
      <w:r w:rsidRPr="00026E8A">
        <w:rPr>
          <w:szCs w:val="24"/>
        </w:rPr>
        <w:t xml:space="preserve">je významné zvýšení nákladů </w:t>
      </w:r>
      <w:r w:rsidRPr="00944123" w:rsidR="00B20EE0">
        <w:rPr>
          <w:i/>
          <w:szCs w:val="24"/>
        </w:rPr>
        <w:t>orgánu veřejné správy</w:t>
      </w:r>
      <w:r w:rsidRPr="00026E8A">
        <w:rPr>
          <w:szCs w:val="24"/>
        </w:rPr>
        <w:t xml:space="preserve"> v budoucích účetních obdobích</w:t>
      </w:r>
      <w:r>
        <w:rPr>
          <w:szCs w:val="24"/>
        </w:rPr>
        <w:t xml:space="preserve">, nad rámec výše uvedených povinností, informuje vedoucí zaměstnanec </w:t>
      </w:r>
      <w:r w:rsidRPr="00944123" w:rsidR="00944123">
        <w:rPr>
          <w:i/>
          <w:szCs w:val="24"/>
        </w:rPr>
        <w:t>ekonomický útvar</w:t>
      </w:r>
      <w:r w:rsidRPr="00944123">
        <w:rPr>
          <w:i/>
          <w:szCs w:val="24"/>
        </w:rPr>
        <w:t>.</w:t>
      </w:r>
      <w:r>
        <w:rPr>
          <w:szCs w:val="24"/>
        </w:rPr>
        <w:t xml:space="preserve"> </w:t>
      </w:r>
    </w:p>
    <w:p w:rsidR="007D0491" w:rsidRPr="001F1C7E" w:rsidP="00EB79E4">
      <w:pPr>
        <w:spacing w:after="120"/>
        <w:jc w:val="center"/>
        <w:rPr>
          <w:b/>
          <w:bCs/>
          <w:iCs/>
          <w:szCs w:val="24"/>
        </w:rPr>
      </w:pPr>
      <w:r w:rsidRPr="001F1C7E">
        <w:rPr>
          <w:b/>
          <w:bCs/>
          <w:iCs/>
          <w:szCs w:val="24"/>
        </w:rPr>
        <w:t>Čl. 6</w:t>
      </w:r>
    </w:p>
    <w:p w:rsidR="007D0491" w:rsidRPr="001F1C7E" w:rsidP="00EB79E4">
      <w:pPr>
        <w:spacing w:after="120"/>
        <w:jc w:val="center"/>
        <w:rPr>
          <w:b/>
          <w:bCs/>
          <w:iCs/>
          <w:szCs w:val="24"/>
        </w:rPr>
      </w:pPr>
      <w:r>
        <w:rPr>
          <w:b/>
          <w:bCs/>
          <w:iCs/>
          <w:szCs w:val="24"/>
        </w:rPr>
        <w:t>Závěrečná ustanovení</w:t>
      </w:r>
    </w:p>
    <w:p w:rsidR="007D0491" w:rsidP="00EB79E4">
      <w:pPr>
        <w:suppressAutoHyphens/>
        <w:spacing w:after="120"/>
        <w:rPr>
          <w:szCs w:val="24"/>
        </w:rPr>
      </w:pPr>
      <w:r>
        <w:rPr>
          <w:szCs w:val="24"/>
        </w:rPr>
        <w:t xml:space="preserve">Řízení rizik dle zákona č. 181/2014 Sb., o kybernetické bezpečnosti, ve znění pozdějších předpisů, vyhlášky č. 82/2018 Sb., </w:t>
      </w:r>
      <w:r w:rsidRPr="00250B5A">
        <w:rPr>
          <w:szCs w:val="24"/>
        </w:rPr>
        <w:t>o bezpečnostních opatřeních, kybernetických bezpečnostních incidentech, reaktivních opatřeních, náležitostech podání v oblasti kybernetické bezpečnosti a likvidaci dat (vyhláška o kybernetické bezpečnosti)</w:t>
      </w:r>
      <w:r w:rsidR="005D1028">
        <w:rPr>
          <w:szCs w:val="24"/>
        </w:rPr>
        <w:t xml:space="preserve"> a řízení rizik dle zákona č. 262/2006 Sb., zákoník práce, ve znění pozdějších předpisů, zákona </w:t>
      </w:r>
      <w:r w:rsidRPr="005D1028" w:rsidR="005D1028">
        <w:rPr>
          <w:szCs w:val="24"/>
        </w:rPr>
        <w:t>č.</w:t>
      </w:r>
      <w:r w:rsidR="005D1028">
        <w:rPr>
          <w:szCs w:val="24"/>
        </w:rPr>
        <w:t> </w:t>
      </w:r>
      <w:r w:rsidRPr="005D1028" w:rsidR="005D1028">
        <w:rPr>
          <w:szCs w:val="24"/>
        </w:rPr>
        <w:t>309/2006 Sb. o zajištění dalších podmínek bezpečnosti a ochrany zdraví při práci</w:t>
      </w:r>
      <w:r w:rsidR="005D1028">
        <w:rPr>
          <w:szCs w:val="24"/>
        </w:rPr>
        <w:t>, ve znění pozdějších předpisů,</w:t>
      </w:r>
      <w:r w:rsidRPr="00250B5A">
        <w:rPr>
          <w:szCs w:val="24"/>
        </w:rPr>
        <w:t xml:space="preserve"> </w:t>
      </w:r>
      <w:r>
        <w:rPr>
          <w:szCs w:val="24"/>
        </w:rPr>
        <w:t xml:space="preserve">zůstává touto směrnicí nedotčeno. </w:t>
      </w:r>
    </w:p>
    <w:p w:rsidR="007D0491" w:rsidRPr="001F1C7E" w:rsidP="00EB79E4">
      <w:pPr>
        <w:spacing w:after="120"/>
        <w:jc w:val="center"/>
        <w:rPr>
          <w:b/>
          <w:bCs/>
          <w:iCs/>
          <w:szCs w:val="24"/>
        </w:rPr>
      </w:pPr>
      <w:r w:rsidRPr="001F1C7E">
        <w:rPr>
          <w:b/>
          <w:bCs/>
          <w:iCs/>
          <w:szCs w:val="24"/>
        </w:rPr>
        <w:t>Čl. 7</w:t>
      </w:r>
    </w:p>
    <w:p w:rsidR="007D0491" w:rsidP="00EB79E4">
      <w:pPr>
        <w:keepNext/>
        <w:spacing w:after="120"/>
        <w:jc w:val="center"/>
        <w:rPr>
          <w:szCs w:val="24"/>
        </w:rPr>
      </w:pPr>
      <w:r w:rsidRPr="001F1C7E">
        <w:rPr>
          <w:b/>
          <w:bCs/>
          <w:iCs/>
          <w:szCs w:val="24"/>
        </w:rPr>
        <w:t xml:space="preserve">Přílohy </w:t>
      </w:r>
    </w:p>
    <w:p w:rsidR="007D0491" w:rsidP="00EB79E4">
      <w:pPr>
        <w:keepNext/>
        <w:spacing w:after="120"/>
        <w:jc w:val="left"/>
        <w:rPr>
          <w:szCs w:val="24"/>
        </w:rPr>
      </w:pPr>
      <w:r w:rsidRPr="001F1C7E">
        <w:rPr>
          <w:szCs w:val="24"/>
        </w:rPr>
        <w:t>Součástí této směrnice je příloha</w:t>
      </w:r>
      <w:r>
        <w:rPr>
          <w:szCs w:val="24"/>
        </w:rPr>
        <w:t xml:space="preserve"> </w:t>
      </w:r>
      <w:r w:rsidRPr="001F1C7E">
        <w:rPr>
          <w:szCs w:val="24"/>
        </w:rPr>
        <w:t>Karta rizika</w:t>
      </w:r>
      <w:r>
        <w:rPr>
          <w:szCs w:val="24"/>
        </w:rPr>
        <w:t>.</w:t>
      </w:r>
    </w:p>
    <w:p w:rsidR="007D0491" w:rsidRPr="001F1C7E" w:rsidP="00EB79E4">
      <w:pPr>
        <w:spacing w:after="120"/>
        <w:jc w:val="center"/>
        <w:rPr>
          <w:b/>
          <w:bCs/>
          <w:iCs/>
          <w:szCs w:val="24"/>
        </w:rPr>
      </w:pPr>
      <w:r w:rsidRPr="001F1C7E">
        <w:rPr>
          <w:b/>
          <w:bCs/>
          <w:iCs/>
          <w:szCs w:val="24"/>
        </w:rPr>
        <w:t>Čl. 8</w:t>
      </w:r>
    </w:p>
    <w:p w:rsidR="007D0491" w:rsidRPr="001F1C7E" w:rsidP="00EB79E4">
      <w:pPr>
        <w:keepNext/>
        <w:spacing w:after="120"/>
        <w:jc w:val="center"/>
        <w:rPr>
          <w:b/>
          <w:bCs/>
          <w:iCs/>
          <w:szCs w:val="24"/>
        </w:rPr>
      </w:pPr>
      <w:r w:rsidRPr="001F1C7E">
        <w:rPr>
          <w:b/>
          <w:bCs/>
          <w:iCs/>
          <w:szCs w:val="24"/>
        </w:rPr>
        <w:t>Kontrola</w:t>
      </w:r>
    </w:p>
    <w:p w:rsidR="007D0491" w:rsidRPr="001F1C7E" w:rsidP="00EB79E4">
      <w:pPr>
        <w:spacing w:after="120"/>
        <w:rPr>
          <w:szCs w:val="24"/>
        </w:rPr>
      </w:pPr>
      <w:r w:rsidRPr="001F1C7E">
        <w:rPr>
          <w:szCs w:val="24"/>
        </w:rPr>
        <w:t>Kontrolu dodržování této směrnice provádí</w:t>
      </w:r>
      <w:r w:rsidR="008D00F2">
        <w:rPr>
          <w:szCs w:val="24"/>
        </w:rPr>
        <w:t xml:space="preserve"> </w:t>
      </w:r>
      <w:r w:rsidRPr="008D00F2" w:rsidR="008D00F2">
        <w:rPr>
          <w:i/>
          <w:szCs w:val="24"/>
        </w:rPr>
        <w:t>útvar kontroly/</w:t>
      </w:r>
      <w:r w:rsidRPr="008D00F2" w:rsidR="001E5EFA">
        <w:rPr>
          <w:i/>
          <w:szCs w:val="24"/>
        </w:rPr>
        <w:t xml:space="preserve"> </w:t>
      </w:r>
      <w:r w:rsidRPr="008D00F2" w:rsidR="006500C1">
        <w:rPr>
          <w:i/>
          <w:szCs w:val="24"/>
        </w:rPr>
        <w:t>pověřen</w:t>
      </w:r>
      <w:r w:rsidR="006500C1">
        <w:rPr>
          <w:i/>
          <w:szCs w:val="24"/>
        </w:rPr>
        <w:t>í</w:t>
      </w:r>
      <w:r w:rsidRPr="008D00F2" w:rsidR="006500C1">
        <w:rPr>
          <w:i/>
          <w:szCs w:val="24"/>
        </w:rPr>
        <w:t xml:space="preserve"> </w:t>
      </w:r>
      <w:r w:rsidRPr="008D00F2" w:rsidR="008D00F2">
        <w:rPr>
          <w:i/>
          <w:szCs w:val="24"/>
        </w:rPr>
        <w:t>zaměstnanci</w:t>
      </w:r>
      <w:r w:rsidRPr="001F1C7E">
        <w:rPr>
          <w:szCs w:val="24"/>
        </w:rPr>
        <w:t>.</w:t>
      </w:r>
    </w:p>
    <w:p w:rsidR="007D0491" w:rsidP="00EB79E4">
      <w:pPr>
        <w:keepNext/>
        <w:keepLines/>
        <w:spacing w:after="120"/>
        <w:jc w:val="center"/>
        <w:rPr>
          <w:szCs w:val="24"/>
        </w:rPr>
      </w:pPr>
      <w:r w:rsidRPr="001F1C7E">
        <w:rPr>
          <w:b/>
          <w:bCs/>
          <w:iCs/>
          <w:szCs w:val="24"/>
        </w:rPr>
        <w:t xml:space="preserve">Čl. </w:t>
      </w:r>
      <w:r>
        <w:rPr>
          <w:b/>
          <w:bCs/>
          <w:iCs/>
          <w:szCs w:val="24"/>
        </w:rPr>
        <w:t>9</w:t>
      </w:r>
      <w:r w:rsidRPr="001F1C7E">
        <w:rPr>
          <w:b/>
          <w:bCs/>
          <w:iCs/>
          <w:szCs w:val="24"/>
        </w:rPr>
        <w:br/>
        <w:t>Účinnost</w:t>
      </w:r>
    </w:p>
    <w:p w:rsidR="007D0491" w:rsidP="00EB79E4">
      <w:pPr>
        <w:keepNext/>
        <w:keepLines/>
        <w:spacing w:after="120"/>
        <w:jc w:val="left"/>
        <w:rPr>
          <w:szCs w:val="24"/>
        </w:rPr>
      </w:pPr>
      <w:r w:rsidRPr="001F1C7E">
        <w:rPr>
          <w:szCs w:val="24"/>
        </w:rPr>
        <w:t xml:space="preserve">Tato směrnice nabývá účinnosti dnem </w:t>
      </w:r>
    </w:p>
    <w:p w:rsidR="00B7799D" w:rsidP="00EB79E4">
      <w:pPr>
        <w:pStyle w:val="Heading2"/>
        <w:spacing w:before="0"/>
        <w:jc w:val="center"/>
        <w:rPr>
          <w:color w:val="1B6092" w:themeColor="text2" w:themeShade="BF"/>
          <w:sz w:val="24"/>
        </w:rPr>
      </w:pPr>
      <w:r>
        <w:rPr>
          <w:szCs w:val="24"/>
        </w:rPr>
        <w:br w:type="page"/>
      </w:r>
    </w:p>
    <w:p w:rsidR="00B7799D" w:rsidP="00B7799D">
      <w:pPr>
        <w:pStyle w:val="Heading2"/>
        <w:spacing w:before="0"/>
      </w:pPr>
    </w:p>
    <w:p w:rsidR="00B7799D" w:rsidRPr="00A514FE" w:rsidP="00B7799D">
      <w:pPr>
        <w:pStyle w:val="Kapitolavodn"/>
        <w:numPr>
          <w:ilvl w:val="0"/>
          <w:numId w:val="9"/>
        </w:numPr>
        <w:spacing w:before="6400"/>
        <w:jc w:val="left"/>
        <w:rPr>
          <w:rFonts w:ascii="Segoe UI" w:hAnsi="Segoe UI" w:cs="Segoe UI"/>
          <w:b w:val="0"/>
          <w:color w:val="1B6092" w:themeColor="text2" w:themeShade="BF"/>
          <w:sz w:val="48"/>
          <w:szCs w:val="48"/>
        </w:rPr>
      </w:pPr>
      <w:r>
        <w:rPr>
          <w:rFonts w:ascii="Segoe UI" w:hAnsi="Segoe UI" w:cs="Segoe UI"/>
          <w:b w:val="0"/>
          <w:color w:val="1B6092" w:themeColor="text2" w:themeShade="BF"/>
          <w:sz w:val="48"/>
          <w:szCs w:val="48"/>
        </w:rPr>
        <w:t>příloha</w:t>
      </w:r>
      <w:r w:rsidR="00367B02">
        <w:rPr>
          <w:rFonts w:ascii="Segoe UI" w:hAnsi="Segoe UI" w:cs="Segoe UI"/>
          <w:b w:val="0"/>
          <w:color w:val="1B6092" w:themeColor="text2" w:themeShade="BF"/>
          <w:sz w:val="48"/>
          <w:szCs w:val="48"/>
        </w:rPr>
        <w:t xml:space="preserve"> – karta rizika</w:t>
      </w:r>
    </w:p>
    <w:p w:rsidR="00D91E7C" w:rsidRPr="00B7799D" w:rsidP="00B7799D">
      <w:pPr>
        <w:pStyle w:val="Heading2"/>
        <w:spacing w:before="0"/>
        <w:rPr>
          <w:color w:val="1B6092" w:themeColor="text2" w:themeShade="BF"/>
          <w:sz w:val="24"/>
        </w:rPr>
      </w:pPr>
      <w:r>
        <w:br w:type="page"/>
      </w:r>
    </w:p>
    <w:p w:rsidR="007D0491" w:rsidRPr="00A54B77" w:rsidP="00A54B77">
      <w:pPr>
        <w:pStyle w:val="Kapitolavodn"/>
        <w:jc w:val="left"/>
        <w:rPr>
          <w:rFonts w:ascii="Segoe UI" w:hAnsi="Segoe UI" w:cs="Segoe UI"/>
          <w:b w:val="0"/>
          <w:color w:val="FF0000"/>
          <w:sz w:val="36"/>
          <w:szCs w:val="36"/>
        </w:rPr>
      </w:pPr>
      <w:r w:rsidRPr="00A54B77">
        <w:rPr>
          <w:rFonts w:ascii="Segoe UI" w:hAnsi="Segoe UI" w:cs="Segoe UI"/>
          <w:b w:val="0"/>
          <w:color w:val="FF0000"/>
          <w:sz w:val="36"/>
          <w:szCs w:val="36"/>
        </w:rPr>
        <w:t>Karta rizika</w:t>
      </w:r>
    </w:p>
    <w:tbl>
      <w:tblPr>
        <w:tblW w:w="8867" w:type="dxa"/>
        <w:tblInd w:w="55" w:type="dxa"/>
        <w:tblCellMar>
          <w:left w:w="70" w:type="dxa"/>
          <w:right w:w="70" w:type="dxa"/>
        </w:tblCellMar>
        <w:tblLook w:val="04A0"/>
      </w:tblPr>
      <w:tblGrid>
        <w:gridCol w:w="2880"/>
        <w:gridCol w:w="2080"/>
        <w:gridCol w:w="1767"/>
        <w:gridCol w:w="376"/>
        <w:gridCol w:w="1764"/>
      </w:tblGrid>
      <w:tr w:rsidTr="00367B02">
        <w:tblPrEx>
          <w:tblW w:w="8867" w:type="dxa"/>
          <w:tblInd w:w="55" w:type="dxa"/>
          <w:tblCellMar>
            <w:left w:w="70" w:type="dxa"/>
            <w:right w:w="70" w:type="dxa"/>
          </w:tblCellMar>
          <w:tblLook w:val="04A0"/>
        </w:tblPrEx>
        <w:trPr>
          <w:trHeight w:val="525"/>
        </w:trPr>
        <w:tc>
          <w:tcPr>
            <w:tcW w:w="2880" w:type="dxa"/>
            <w:tcBorders>
              <w:top w:val="nil"/>
              <w:left w:val="nil"/>
              <w:bottom w:val="single" w:sz="4" w:space="0" w:color="0070C0"/>
              <w:right w:val="single" w:sz="12" w:space="0" w:color="0070C0"/>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Útvar, v jehož činnosti se riziko vyskytuje: </w:t>
            </w:r>
          </w:p>
        </w:tc>
        <w:tc>
          <w:tcPr>
            <w:tcW w:w="5987" w:type="dxa"/>
            <w:gridSpan w:val="4"/>
            <w:tcBorders>
              <w:top w:val="nil"/>
              <w:left w:val="nil"/>
              <w:bottom w:val="single" w:sz="4" w:space="0" w:color="0070C0"/>
              <w:right w:val="nil"/>
            </w:tcBorders>
            <w:shd w:val="clear" w:color="auto" w:fill="auto"/>
            <w:noWrap/>
            <w:vAlign w:val="bottom"/>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Projekt/agenda:</w:t>
            </w:r>
          </w:p>
        </w:tc>
        <w:tc>
          <w:tcPr>
            <w:tcW w:w="5987" w:type="dxa"/>
            <w:gridSpan w:val="4"/>
            <w:tcBorders>
              <w:top w:val="single" w:sz="4" w:space="0" w:color="0070C0"/>
              <w:left w:val="nil"/>
              <w:bottom w:val="single" w:sz="4" w:space="0" w:color="0070C0"/>
              <w:right w:val="nil"/>
            </w:tcBorders>
            <w:shd w:val="clear" w:color="auto" w:fill="auto"/>
            <w:noWrap/>
            <w:vAlign w:val="bottom"/>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Název rizika: </w:t>
            </w:r>
          </w:p>
        </w:tc>
        <w:tc>
          <w:tcPr>
            <w:tcW w:w="5987" w:type="dxa"/>
            <w:gridSpan w:val="4"/>
            <w:tcBorders>
              <w:top w:val="single" w:sz="4" w:space="0" w:color="0070C0"/>
              <w:left w:val="nil"/>
              <w:bottom w:val="single" w:sz="4" w:space="0" w:color="0070C0"/>
              <w:right w:val="nil"/>
            </w:tcBorders>
            <w:shd w:val="clear" w:color="000000" w:fill="FFFFFF"/>
            <w:noWrap/>
            <w:vAlign w:val="bottom"/>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15"/>
        </w:trPr>
        <w:tc>
          <w:tcPr>
            <w:tcW w:w="2880" w:type="dxa"/>
            <w:tcBorders>
              <w:top w:val="nil"/>
              <w:left w:val="nil"/>
              <w:bottom w:val="single" w:sz="4" w:space="0" w:color="0070C0"/>
              <w:right w:val="single" w:sz="12" w:space="0" w:color="0070C0"/>
            </w:tcBorders>
            <w:shd w:val="clear" w:color="000000" w:fill="FFFFFF"/>
            <w:noWrap/>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Popis rizika:</w:t>
            </w:r>
          </w:p>
        </w:tc>
        <w:tc>
          <w:tcPr>
            <w:tcW w:w="5987" w:type="dxa"/>
            <w:gridSpan w:val="4"/>
            <w:tcBorders>
              <w:top w:val="single" w:sz="4" w:space="0" w:color="0070C0"/>
              <w:left w:val="nil"/>
              <w:bottom w:val="single" w:sz="4" w:space="0" w:color="0070C0"/>
              <w:right w:val="nil"/>
            </w:tcBorders>
            <w:shd w:val="clear" w:color="000000" w:fill="FFFFFF"/>
            <w:noWrap/>
            <w:vAlign w:val="bottom"/>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Dopad rizika:</w:t>
            </w:r>
          </w:p>
        </w:tc>
        <w:tc>
          <w:tcPr>
            <w:tcW w:w="2080" w:type="dxa"/>
            <w:tcBorders>
              <w:top w:val="nil"/>
              <w:left w:val="nil"/>
              <w:bottom w:val="single" w:sz="4" w:space="0" w:color="0070C0"/>
              <w:right w:val="nil"/>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p>
        </w:tc>
        <w:tc>
          <w:tcPr>
            <w:tcW w:w="1764" w:type="dxa"/>
            <w:tcBorders>
              <w:top w:val="nil"/>
              <w:left w:val="nil"/>
              <w:bottom w:val="single" w:sz="4" w:space="0" w:color="0070C0"/>
              <w:right w:val="nil"/>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nil"/>
              <w:right w:val="single" w:sz="12" w:space="0" w:color="0070C0"/>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Pravděpodobnost výskytu rizika:</w:t>
            </w:r>
          </w:p>
        </w:tc>
        <w:tc>
          <w:tcPr>
            <w:tcW w:w="2080" w:type="dxa"/>
            <w:tcBorders>
              <w:top w:val="nil"/>
              <w:left w:val="nil"/>
              <w:bottom w:val="nil"/>
              <w:right w:val="nil"/>
            </w:tcBorders>
            <w:shd w:val="clear" w:color="000000" w:fill="FFFFFF"/>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nil"/>
            </w:tcBorders>
            <w:shd w:val="clear" w:color="000000" w:fill="FFFFFF"/>
            <w:noWrap/>
            <w:vAlign w:val="center"/>
            <w:hideMark/>
          </w:tcPr>
          <w:p w:rsidR="00A514FE" w:rsidRPr="00A514FE" w:rsidP="003F599C">
            <w:pPr>
              <w:spacing w:after="0" w:line="240" w:lineRule="auto"/>
              <w:rPr>
                <w:rFonts w:eastAsia="Times New Roman" w:asciiTheme="minorHAnsi" w:hAnsiTheme="minorHAnsi" w:cs="Times New Roman"/>
                <w:bCs/>
                <w:color w:val="000000"/>
                <w:sz w:val="22"/>
                <w:szCs w:val="22"/>
                <w:lang w:eastAsia="cs-CZ"/>
              </w:rPr>
            </w:pPr>
          </w:p>
        </w:tc>
        <w:tc>
          <w:tcPr>
            <w:tcW w:w="1764" w:type="dxa"/>
            <w:tcBorders>
              <w:top w:val="nil"/>
              <w:left w:val="nil"/>
              <w:bottom w:val="nil"/>
              <w:right w:val="nil"/>
            </w:tcBorders>
            <w:shd w:val="clear" w:color="000000" w:fill="FFFFFF"/>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60"/>
        </w:trPr>
        <w:tc>
          <w:tcPr>
            <w:tcW w:w="2880" w:type="dxa"/>
            <w:tcBorders>
              <w:top w:val="single" w:sz="4" w:space="0" w:color="0070C0"/>
              <w:left w:val="nil"/>
              <w:bottom w:val="nil"/>
              <w:right w:val="single" w:sz="12" w:space="0" w:color="0070C0"/>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Významnost rizika:</w:t>
            </w:r>
          </w:p>
        </w:tc>
        <w:tc>
          <w:tcPr>
            <w:tcW w:w="2080" w:type="dxa"/>
            <w:tcBorders>
              <w:top w:val="single" w:sz="4" w:space="0" w:color="0070C0"/>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xml:space="preserve">  </w:t>
            </w:r>
          </w:p>
        </w:tc>
        <w:tc>
          <w:tcPr>
            <w:tcW w:w="2143" w:type="dxa"/>
            <w:gridSpan w:val="2"/>
            <w:tcBorders>
              <w:top w:val="nil"/>
              <w:left w:val="nil"/>
              <w:bottom w:val="nil"/>
              <w:right w:val="nil"/>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u w:val="single"/>
                <w:lang w:eastAsia="cs-CZ"/>
              </w:rPr>
            </w:pPr>
          </w:p>
        </w:tc>
        <w:tc>
          <w:tcPr>
            <w:tcW w:w="1764" w:type="dxa"/>
            <w:tcBorders>
              <w:top w:val="single" w:sz="4" w:space="0" w:color="0070C0"/>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915"/>
        </w:trPr>
        <w:tc>
          <w:tcPr>
            <w:tcW w:w="2880" w:type="dxa"/>
            <w:tcBorders>
              <w:top w:val="nil"/>
              <w:left w:val="nil"/>
              <w:bottom w:val="single" w:sz="12" w:space="0" w:color="0070C0"/>
              <w:right w:val="single" w:sz="4" w:space="0" w:color="0070C0"/>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Opatření</w:t>
            </w:r>
          </w:p>
        </w:tc>
        <w:tc>
          <w:tcPr>
            <w:tcW w:w="2080" w:type="dxa"/>
            <w:tcBorders>
              <w:top w:val="nil"/>
              <w:left w:val="nil"/>
              <w:bottom w:val="single" w:sz="12" w:space="0" w:color="0070C0"/>
              <w:right w:val="single" w:sz="4" w:space="0" w:color="0070C0"/>
            </w:tcBorders>
            <w:shd w:val="clear" w:color="000000" w:fill="FFFFFF"/>
            <w:vAlign w:val="center"/>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Termín realizace opatření</w:t>
            </w:r>
          </w:p>
        </w:tc>
        <w:tc>
          <w:tcPr>
            <w:tcW w:w="2143" w:type="dxa"/>
            <w:gridSpan w:val="2"/>
            <w:tcBorders>
              <w:top w:val="nil"/>
              <w:left w:val="nil"/>
              <w:bottom w:val="single" w:sz="12" w:space="0" w:color="0070C0"/>
              <w:right w:val="single" w:sz="4" w:space="0" w:color="0070C0"/>
            </w:tcBorders>
            <w:shd w:val="clear" w:color="000000" w:fill="FFFFFF"/>
            <w:vAlign w:val="center"/>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Interval pro informování </w:t>
            </w:r>
            <w:r w:rsidRPr="00A514FE">
              <w:rPr>
                <w:rFonts w:eastAsia="Times New Roman" w:asciiTheme="minorHAnsi" w:hAnsiTheme="minorHAnsi" w:cs="Times New Roman"/>
                <w:bCs/>
                <w:i/>
                <w:color w:val="000000"/>
                <w:sz w:val="22"/>
                <w:szCs w:val="22"/>
                <w:lang w:eastAsia="cs-CZ"/>
              </w:rPr>
              <w:t>porady vedení</w:t>
            </w:r>
            <w:r w:rsidRPr="00367B02" w:rsidR="00367B02">
              <w:rPr>
                <w:rFonts w:eastAsia="Times New Roman" w:asciiTheme="minorHAnsi" w:hAnsiTheme="minorHAnsi" w:cs="Times New Roman"/>
                <w:bCs/>
                <w:i/>
                <w:color w:val="000000"/>
                <w:sz w:val="22"/>
                <w:szCs w:val="22"/>
                <w:lang w:eastAsia="cs-CZ"/>
              </w:rPr>
              <w:t>/vedoucího orgánu veřejné správy</w:t>
            </w:r>
          </w:p>
        </w:tc>
        <w:tc>
          <w:tcPr>
            <w:tcW w:w="1764" w:type="dxa"/>
            <w:tcBorders>
              <w:top w:val="nil"/>
              <w:left w:val="nil"/>
              <w:bottom w:val="single" w:sz="12" w:space="0" w:color="0070C0"/>
              <w:right w:val="nil"/>
            </w:tcBorders>
            <w:shd w:val="clear" w:color="000000" w:fill="FFFFFF"/>
            <w:vAlign w:val="center"/>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Odpovědný vedoucí zaměstnanec</w:t>
            </w:r>
          </w:p>
        </w:tc>
      </w:tr>
      <w:tr w:rsidTr="00367B02">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single" w:sz="4" w:space="0" w:color="0070C0"/>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single" w:sz="4" w:space="0" w:color="0070C0"/>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single" w:sz="4" w:space="0" w:color="0070C0"/>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855"/>
        </w:trPr>
        <w:tc>
          <w:tcPr>
            <w:tcW w:w="2880" w:type="dxa"/>
            <w:tcBorders>
              <w:top w:val="nil"/>
              <w:left w:val="nil"/>
              <w:bottom w:val="nil"/>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nil"/>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nil"/>
              <w:right w:val="single" w:sz="4" w:space="0" w:color="0070C0"/>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90"/>
        </w:trPr>
        <w:tc>
          <w:tcPr>
            <w:tcW w:w="28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20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2143" w:type="dxa"/>
            <w:gridSpan w:val="2"/>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1764"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r>
      <w:tr w:rsidTr="00367B02">
        <w:tblPrEx>
          <w:tblW w:w="8867" w:type="dxa"/>
          <w:tblInd w:w="55" w:type="dxa"/>
          <w:tblCellMar>
            <w:left w:w="70" w:type="dxa"/>
            <w:right w:w="70" w:type="dxa"/>
          </w:tblCellMar>
          <w:tblLook w:val="04A0"/>
        </w:tblPrEx>
        <w:trPr>
          <w:trHeight w:val="405"/>
        </w:trPr>
        <w:tc>
          <w:tcPr>
            <w:tcW w:w="8867" w:type="dxa"/>
            <w:gridSpan w:val="5"/>
            <w:tcBorders>
              <w:top w:val="nil"/>
              <w:left w:val="nil"/>
              <w:bottom w:val="nil"/>
              <w:right w:val="nil"/>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
                <w:bCs/>
                <w:color w:val="000000"/>
                <w:sz w:val="22"/>
                <w:szCs w:val="22"/>
                <w:lang w:eastAsia="cs-CZ"/>
              </w:rPr>
            </w:pPr>
            <w:r w:rsidRPr="00A514FE">
              <w:rPr>
                <w:rFonts w:eastAsia="Times New Roman" w:asciiTheme="minorHAnsi" w:hAnsiTheme="minorHAnsi" w:cs="Times New Roman"/>
                <w:b/>
                <w:bCs/>
                <w:color w:val="000000"/>
                <w:sz w:val="22"/>
                <w:szCs w:val="22"/>
                <w:lang w:eastAsia="cs-CZ"/>
              </w:rPr>
              <w:t>Závažnost rizika po implementaci opatření</w:t>
            </w: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single" w:sz="4" w:space="0" w:color="0070C0"/>
              <w:right w:val="single" w:sz="12" w:space="0" w:color="0070C0"/>
            </w:tcBorders>
            <w:shd w:val="clear" w:color="000000" w:fill="FFFFFF"/>
            <w:noWrap/>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Dopad rizika:</w:t>
            </w:r>
          </w:p>
        </w:tc>
        <w:tc>
          <w:tcPr>
            <w:tcW w:w="2080" w:type="dxa"/>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righ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p>
        </w:tc>
        <w:tc>
          <w:tcPr>
            <w:tcW w:w="2140" w:type="dxa"/>
            <w:gridSpan w:val="2"/>
            <w:tcBorders>
              <w:top w:val="nil"/>
              <w:left w:val="nil"/>
              <w:bottom w:val="single" w:sz="4" w:space="0" w:color="0070C0"/>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nil"/>
              <w:right w:val="single" w:sz="12" w:space="0" w:color="0070C0"/>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Pravděpodobnost výskytu rizika:</w:t>
            </w:r>
          </w:p>
        </w:tc>
        <w:tc>
          <w:tcPr>
            <w:tcW w:w="2080" w:type="dxa"/>
            <w:tcBorders>
              <w:top w:val="nil"/>
              <w:left w:val="nil"/>
              <w:bottom w:val="nil"/>
              <w:right w:val="nil"/>
            </w:tcBorders>
            <w:shd w:val="clear" w:color="000000" w:fill="FFFFFF"/>
            <w:noWrap/>
            <w:vAlign w:val="bottom"/>
            <w:hideMark/>
          </w:tcPr>
          <w:p w:rsidR="00A514FE" w:rsidRPr="00A514FE" w:rsidP="00A514FE">
            <w:pPr>
              <w:spacing w:after="0" w:line="240" w:lineRule="auto"/>
              <w:jc w:val="righ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single" w:sz="4" w:space="0" w:color="0070C0"/>
              <w:right w:val="nil"/>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p>
        </w:tc>
        <w:tc>
          <w:tcPr>
            <w:tcW w:w="2140" w:type="dxa"/>
            <w:gridSpan w:val="2"/>
            <w:tcBorders>
              <w:top w:val="nil"/>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345"/>
        </w:trPr>
        <w:tc>
          <w:tcPr>
            <w:tcW w:w="2880" w:type="dxa"/>
            <w:tcBorders>
              <w:top w:val="single" w:sz="4" w:space="0" w:color="0070C0"/>
              <w:left w:val="nil"/>
              <w:bottom w:val="nil"/>
              <w:right w:val="single" w:sz="12" w:space="0" w:color="0070C0"/>
            </w:tcBorders>
            <w:shd w:val="clear" w:color="000000" w:fill="FFFFFF"/>
            <w:vAlign w:val="center"/>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Významnost rizika:</w:t>
            </w:r>
          </w:p>
        </w:tc>
        <w:tc>
          <w:tcPr>
            <w:tcW w:w="2080" w:type="dxa"/>
            <w:tcBorders>
              <w:top w:val="single" w:sz="4" w:space="0" w:color="0070C0"/>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nil"/>
              <w:right w:val="nil"/>
            </w:tcBorders>
            <w:shd w:val="clear" w:color="000000" w:fill="FFFFFF"/>
            <w:noWrap/>
            <w:vAlign w:val="center"/>
            <w:hideMark/>
          </w:tcPr>
          <w:p w:rsidR="00A514FE" w:rsidRPr="00A514FE" w:rsidP="00A514FE">
            <w:pPr>
              <w:spacing w:after="0" w:line="240" w:lineRule="auto"/>
              <w:jc w:val="center"/>
              <w:rPr>
                <w:rFonts w:eastAsia="Times New Roman" w:asciiTheme="minorHAnsi" w:hAnsiTheme="minorHAnsi" w:cs="Times New Roman"/>
                <w:color w:val="000000"/>
                <w:sz w:val="22"/>
                <w:szCs w:val="22"/>
                <w:u w:val="single"/>
                <w:lang w:eastAsia="cs-CZ"/>
              </w:rPr>
            </w:pPr>
          </w:p>
        </w:tc>
        <w:tc>
          <w:tcPr>
            <w:tcW w:w="2140" w:type="dxa"/>
            <w:gridSpan w:val="2"/>
            <w:tcBorders>
              <w:top w:val="single" w:sz="4" w:space="0" w:color="0070C0"/>
              <w:left w:val="nil"/>
              <w:bottom w:val="nil"/>
              <w:right w:val="nil"/>
            </w:tcBorders>
            <w:shd w:val="clear" w:color="000000" w:fill="FFFFFF"/>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367B02">
        <w:tblPrEx>
          <w:tblW w:w="8867" w:type="dxa"/>
          <w:tblInd w:w="55" w:type="dxa"/>
          <w:tblCellMar>
            <w:left w:w="70" w:type="dxa"/>
            <w:right w:w="70" w:type="dxa"/>
          </w:tblCellMar>
          <w:tblLook w:val="04A0"/>
        </w:tblPrEx>
        <w:trPr>
          <w:trHeight w:val="945"/>
        </w:trPr>
        <w:tc>
          <w:tcPr>
            <w:tcW w:w="28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20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1767"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2140" w:type="dxa"/>
            <w:gridSpan w:val="2"/>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auto" w:fill="auto"/>
            <w:noWrap/>
            <w:vAlign w:val="bottom"/>
            <w:hideMark/>
          </w:tcPr>
          <w:p w:rsidR="00A514FE" w:rsidRPr="00A514FE" w:rsidP="00A514F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w:t>
            </w:r>
          </w:p>
        </w:tc>
        <w:tc>
          <w:tcPr>
            <w:tcW w:w="20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3907" w:type="dxa"/>
            <w:gridSpan w:val="3"/>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w:t>
            </w:r>
          </w:p>
        </w:tc>
      </w:tr>
      <w:tr w:rsidTr="00367B02">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auto" w:fill="auto"/>
            <w:noWrap/>
            <w:vAlign w:val="bottom"/>
            <w:hideMark/>
          </w:tcPr>
          <w:p w:rsidR="00A514FE" w:rsidRPr="00A514FE" w:rsidP="00A514FE">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datum</w:t>
            </w:r>
          </w:p>
        </w:tc>
        <w:tc>
          <w:tcPr>
            <w:tcW w:w="2080" w:type="dxa"/>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color w:val="000000"/>
                <w:sz w:val="22"/>
                <w:szCs w:val="22"/>
                <w:lang w:eastAsia="cs-CZ"/>
              </w:rPr>
            </w:pPr>
          </w:p>
        </w:tc>
        <w:tc>
          <w:tcPr>
            <w:tcW w:w="3907" w:type="dxa"/>
            <w:gridSpan w:val="3"/>
            <w:tcBorders>
              <w:top w:val="nil"/>
              <w:left w:val="nil"/>
              <w:bottom w:val="nil"/>
              <w:right w:val="nil"/>
            </w:tcBorders>
            <w:shd w:val="clear" w:color="auto" w:fill="auto"/>
            <w:noWrap/>
            <w:vAlign w:val="bottom"/>
            <w:hideMark/>
          </w:tcPr>
          <w:p w:rsidR="00A514FE" w:rsidRPr="00A514FE" w:rsidP="00A514FE">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podpis odpovědného zaměstnance</w:t>
            </w:r>
          </w:p>
        </w:tc>
      </w:tr>
    </w:tbl>
    <w:p w:rsidR="00B7799D" w:rsidP="00B7799D"/>
    <w:p w:rsidR="00B7799D" w:rsidP="00367B02">
      <w:pPr>
        <w:tabs>
          <w:tab w:val="left" w:pos="6426"/>
        </w:tabs>
      </w:pPr>
      <w:r>
        <w:tab/>
      </w:r>
    </w:p>
    <w:p w:rsidR="00367B02" w:rsidP="00367B02">
      <w:pPr>
        <w:tabs>
          <w:tab w:val="left" w:pos="6426"/>
        </w:tabs>
      </w:pPr>
    </w:p>
    <w:p w:rsidR="00B7799D" w:rsidP="00B7799D">
      <w:pPr>
        <w:pStyle w:val="Kapitolavodn"/>
        <w:numPr>
          <w:ilvl w:val="0"/>
          <w:numId w:val="9"/>
        </w:numPr>
        <w:spacing w:before="6400"/>
        <w:jc w:val="left"/>
        <w:rPr>
          <w:rFonts w:ascii="Segoe UI" w:hAnsi="Segoe UI" w:cs="Segoe UI"/>
          <w:b w:val="0"/>
          <w:color w:val="1B6092" w:themeColor="text2" w:themeShade="BF"/>
          <w:sz w:val="48"/>
          <w:szCs w:val="48"/>
        </w:rPr>
      </w:pPr>
      <w:r>
        <w:rPr>
          <w:rFonts w:ascii="Segoe UI" w:hAnsi="Segoe UI" w:cs="Segoe UI"/>
          <w:b w:val="0"/>
          <w:color w:val="1B6092" w:themeColor="text2" w:themeShade="BF"/>
          <w:sz w:val="48"/>
          <w:szCs w:val="48"/>
        </w:rPr>
        <w:t>metodika ke vzorové směrnici o řízení rizik</w:t>
      </w:r>
    </w:p>
    <w:p w:rsidR="00367B02">
      <w:pPr>
        <w:jc w:val="left"/>
      </w:pPr>
      <w:r>
        <w:br w:type="page"/>
      </w:r>
    </w:p>
    <w:p w:rsidR="003F599C" w:rsidRPr="00A54B77" w:rsidP="00A54B77">
      <w:pPr>
        <w:pStyle w:val="Kapitolavodn"/>
        <w:jc w:val="left"/>
        <w:rPr>
          <w:rFonts w:ascii="Segoe UI" w:hAnsi="Segoe UI" w:cs="Segoe UI"/>
          <w:b w:val="0"/>
          <w:color w:val="1B6092" w:themeColor="text2" w:themeShade="BF"/>
          <w:sz w:val="36"/>
          <w:szCs w:val="36"/>
        </w:rPr>
      </w:pPr>
      <w:bookmarkStart w:id="9" w:name="_Toc431829406"/>
      <w:r w:rsidRPr="00A54B77">
        <w:rPr>
          <w:rFonts w:ascii="Segoe UI" w:hAnsi="Segoe UI" w:cs="Segoe UI"/>
          <w:b w:val="0"/>
          <w:color w:val="1B6092" w:themeColor="text2" w:themeShade="BF"/>
          <w:sz w:val="36"/>
          <w:szCs w:val="36"/>
        </w:rPr>
        <w:t>Obsah</w:t>
      </w:r>
      <w:bookmarkEnd w:id="9"/>
    </w:p>
    <w:p w:rsidR="003F599C" w:rsidP="003F599C">
      <w:pPr>
        <w:pStyle w:val="TOC1"/>
        <w:tabs>
          <w:tab w:val="left" w:pos="400"/>
        </w:tabs>
        <w:rPr>
          <w:rFonts w:cstheme="minorBidi"/>
          <w:noProof/>
          <w:lang w:eastAsia="cs-CZ"/>
        </w:rPr>
      </w:pPr>
      <w:r>
        <w:fldChar w:fldCharType="begin"/>
      </w:r>
      <w:r>
        <w:instrText xml:space="preserve"> TOC \h \z \t "Nadpis 1;1;Nadpis 2;2;Nadpis 3;3" </w:instrText>
      </w:r>
      <w:r>
        <w:fldChar w:fldCharType="separate"/>
      </w:r>
      <w:r>
        <w:fldChar w:fldCharType="begin"/>
      </w:r>
      <w:r>
        <w:instrText xml:space="preserve"> HYPERLINK \l "_Toc532452850" </w:instrText>
      </w:r>
      <w:r>
        <w:fldChar w:fldCharType="separate"/>
      </w:r>
      <w:r w:rsidRPr="00295E8D">
        <w:rPr>
          <w:rStyle w:val="Hyperlink"/>
          <w:noProof/>
        </w:rPr>
        <w:t>1</w:t>
      </w:r>
      <w:r>
        <w:rPr>
          <w:rFonts w:cstheme="minorBidi"/>
          <w:noProof/>
          <w:lang w:eastAsia="cs-CZ"/>
        </w:rPr>
        <w:tab/>
      </w:r>
      <w:r w:rsidRPr="00295E8D">
        <w:rPr>
          <w:rStyle w:val="Hyperlink"/>
          <w:noProof/>
        </w:rPr>
        <w:t xml:space="preserve">Cíl </w:t>
      </w:r>
      <w:r w:rsidRPr="00A54B77">
        <w:rPr>
          <w:rStyle w:val="Hyperlink"/>
          <w:noProof/>
        </w:rPr>
        <w:t>metodiky</w:t>
      </w:r>
      <w:r>
        <w:rPr>
          <w:noProof/>
          <w:webHidden/>
        </w:rPr>
        <w:tab/>
      </w:r>
      <w:r>
        <w:rPr>
          <w:noProof/>
          <w:webHidden/>
        </w:rPr>
        <w:fldChar w:fldCharType="begin"/>
      </w:r>
      <w:r>
        <w:rPr>
          <w:noProof/>
          <w:webHidden/>
        </w:rPr>
        <w:instrText xml:space="preserve"> PAGEREF _Toc532452850 \h </w:instrText>
      </w:r>
      <w:r>
        <w:rPr>
          <w:noProof/>
          <w:webHidden/>
        </w:rPr>
        <w:fldChar w:fldCharType="separate"/>
      </w:r>
      <w:r w:rsidR="00B21941">
        <w:rPr>
          <w:noProof/>
          <w:webHidden/>
        </w:rPr>
        <w:t>13</w:t>
      </w:r>
      <w:r>
        <w:rPr>
          <w:noProof/>
          <w:webHidden/>
        </w:rPr>
        <w:fldChar w:fldCharType="end"/>
      </w:r>
      <w:r>
        <w:fldChar w:fldCharType="end"/>
      </w:r>
    </w:p>
    <w:p w:rsidR="003F599C" w:rsidP="003F599C">
      <w:pPr>
        <w:pStyle w:val="TOC1"/>
        <w:tabs>
          <w:tab w:val="left" w:pos="400"/>
        </w:tabs>
        <w:rPr>
          <w:rFonts w:cstheme="minorBidi"/>
          <w:noProof/>
          <w:lang w:eastAsia="cs-CZ"/>
        </w:rPr>
      </w:pPr>
      <w:r>
        <w:fldChar w:fldCharType="begin"/>
      </w:r>
      <w:r>
        <w:instrText xml:space="preserve"> HYPERLINK \l "_Toc532452851" </w:instrText>
      </w:r>
      <w:r>
        <w:fldChar w:fldCharType="separate"/>
      </w:r>
      <w:r w:rsidRPr="00295E8D">
        <w:rPr>
          <w:rStyle w:val="Hyperlink"/>
          <w:noProof/>
        </w:rPr>
        <w:t>2</w:t>
      </w:r>
      <w:r>
        <w:rPr>
          <w:rFonts w:cstheme="minorBidi"/>
          <w:noProof/>
          <w:lang w:eastAsia="cs-CZ"/>
        </w:rPr>
        <w:tab/>
      </w:r>
      <w:r w:rsidRPr="00295E8D">
        <w:rPr>
          <w:rStyle w:val="Hyperlink"/>
          <w:noProof/>
        </w:rPr>
        <w:t>Identifikace rizik</w:t>
      </w:r>
      <w:r>
        <w:rPr>
          <w:noProof/>
          <w:webHidden/>
        </w:rPr>
        <w:tab/>
      </w:r>
      <w:r>
        <w:rPr>
          <w:noProof/>
          <w:webHidden/>
        </w:rPr>
        <w:fldChar w:fldCharType="begin"/>
      </w:r>
      <w:r>
        <w:rPr>
          <w:noProof/>
          <w:webHidden/>
        </w:rPr>
        <w:instrText xml:space="preserve"> PAGEREF _Toc532452851 \h </w:instrText>
      </w:r>
      <w:r>
        <w:rPr>
          <w:noProof/>
          <w:webHidden/>
        </w:rPr>
        <w:fldChar w:fldCharType="separate"/>
      </w:r>
      <w:r w:rsidR="00B21941">
        <w:rPr>
          <w:noProof/>
          <w:webHidden/>
        </w:rPr>
        <w:t>14</w:t>
      </w:r>
      <w:r>
        <w:rPr>
          <w:noProof/>
          <w:webHidden/>
        </w:rPr>
        <w:fldChar w:fldCharType="end"/>
      </w:r>
      <w:r>
        <w:fldChar w:fldCharType="end"/>
      </w:r>
    </w:p>
    <w:p w:rsidR="003F599C" w:rsidP="003F599C">
      <w:pPr>
        <w:pStyle w:val="TOC1"/>
        <w:tabs>
          <w:tab w:val="left" w:pos="400"/>
        </w:tabs>
        <w:rPr>
          <w:rFonts w:cstheme="minorBidi"/>
          <w:noProof/>
          <w:lang w:eastAsia="cs-CZ"/>
        </w:rPr>
      </w:pPr>
      <w:r>
        <w:fldChar w:fldCharType="begin"/>
      </w:r>
      <w:r>
        <w:instrText xml:space="preserve"> HYPERLINK \l "_Toc532452852" </w:instrText>
      </w:r>
      <w:r>
        <w:fldChar w:fldCharType="separate"/>
      </w:r>
      <w:r w:rsidRPr="00295E8D">
        <w:rPr>
          <w:rStyle w:val="Hyperlink"/>
          <w:noProof/>
        </w:rPr>
        <w:t>3</w:t>
      </w:r>
      <w:r>
        <w:rPr>
          <w:rFonts w:cstheme="minorBidi"/>
          <w:noProof/>
          <w:lang w:eastAsia="cs-CZ"/>
        </w:rPr>
        <w:tab/>
      </w:r>
      <w:r w:rsidRPr="00295E8D">
        <w:rPr>
          <w:rStyle w:val="Hyperlink"/>
          <w:noProof/>
        </w:rPr>
        <w:t>Hodnocení (analýza) rizik</w:t>
      </w:r>
      <w:r>
        <w:rPr>
          <w:noProof/>
          <w:webHidden/>
        </w:rPr>
        <w:tab/>
      </w:r>
      <w:r>
        <w:rPr>
          <w:noProof/>
          <w:webHidden/>
        </w:rPr>
        <w:fldChar w:fldCharType="begin"/>
      </w:r>
      <w:r>
        <w:rPr>
          <w:noProof/>
          <w:webHidden/>
        </w:rPr>
        <w:instrText xml:space="preserve"> PAGEREF _Toc532452852 \h </w:instrText>
      </w:r>
      <w:r>
        <w:rPr>
          <w:noProof/>
          <w:webHidden/>
        </w:rPr>
        <w:fldChar w:fldCharType="separate"/>
      </w:r>
      <w:r w:rsidR="00B21941">
        <w:rPr>
          <w:noProof/>
          <w:webHidden/>
        </w:rPr>
        <w:t>16</w:t>
      </w:r>
      <w:r>
        <w:rPr>
          <w:noProof/>
          <w:webHidden/>
        </w:rPr>
        <w:fldChar w:fldCharType="end"/>
      </w:r>
      <w:r>
        <w:fldChar w:fldCharType="end"/>
      </w:r>
    </w:p>
    <w:p w:rsidR="003F599C" w:rsidP="003F599C">
      <w:pPr>
        <w:pStyle w:val="TOC1"/>
        <w:tabs>
          <w:tab w:val="left" w:pos="400"/>
        </w:tabs>
        <w:rPr>
          <w:rFonts w:cstheme="minorBidi"/>
          <w:noProof/>
          <w:lang w:eastAsia="cs-CZ"/>
        </w:rPr>
      </w:pPr>
      <w:r>
        <w:fldChar w:fldCharType="begin"/>
      </w:r>
      <w:r>
        <w:instrText xml:space="preserve"> HYPERLINK \l "_Toc532452853" </w:instrText>
      </w:r>
      <w:r>
        <w:fldChar w:fldCharType="separate"/>
      </w:r>
      <w:r w:rsidRPr="00295E8D">
        <w:rPr>
          <w:rStyle w:val="Hyperlink"/>
          <w:noProof/>
        </w:rPr>
        <w:t>4</w:t>
      </w:r>
      <w:r>
        <w:rPr>
          <w:rFonts w:cstheme="minorBidi"/>
          <w:noProof/>
          <w:lang w:eastAsia="cs-CZ"/>
        </w:rPr>
        <w:tab/>
      </w:r>
      <w:r w:rsidRPr="00295E8D">
        <w:rPr>
          <w:rStyle w:val="Hyperlink"/>
          <w:noProof/>
        </w:rPr>
        <w:t>Přijímání opatření (řízení rizik)</w:t>
      </w:r>
      <w:r>
        <w:rPr>
          <w:noProof/>
          <w:webHidden/>
        </w:rPr>
        <w:tab/>
      </w:r>
      <w:r>
        <w:rPr>
          <w:noProof/>
          <w:webHidden/>
        </w:rPr>
        <w:fldChar w:fldCharType="begin"/>
      </w:r>
      <w:r>
        <w:rPr>
          <w:noProof/>
          <w:webHidden/>
        </w:rPr>
        <w:instrText xml:space="preserve"> PAGEREF _Toc532452853 \h </w:instrText>
      </w:r>
      <w:r>
        <w:rPr>
          <w:noProof/>
          <w:webHidden/>
        </w:rPr>
        <w:fldChar w:fldCharType="separate"/>
      </w:r>
      <w:r w:rsidR="00B21941">
        <w:rPr>
          <w:noProof/>
          <w:webHidden/>
        </w:rPr>
        <w:t>18</w:t>
      </w:r>
      <w:r>
        <w:rPr>
          <w:noProof/>
          <w:webHidden/>
        </w:rPr>
        <w:fldChar w:fldCharType="end"/>
      </w:r>
      <w:r>
        <w:fldChar w:fldCharType="end"/>
      </w:r>
    </w:p>
    <w:p w:rsidR="003F599C" w:rsidP="003F599C">
      <w:pPr>
        <w:pStyle w:val="TOC1"/>
        <w:tabs>
          <w:tab w:val="left" w:pos="400"/>
        </w:tabs>
        <w:rPr>
          <w:rFonts w:cstheme="minorBidi"/>
          <w:noProof/>
          <w:lang w:eastAsia="cs-CZ"/>
        </w:rPr>
      </w:pPr>
      <w:r>
        <w:fldChar w:fldCharType="begin"/>
      </w:r>
      <w:r>
        <w:instrText xml:space="preserve"> HYPERLINK \l "_Toc532452854" </w:instrText>
      </w:r>
      <w:r>
        <w:fldChar w:fldCharType="separate"/>
      </w:r>
      <w:r w:rsidRPr="00295E8D">
        <w:rPr>
          <w:rStyle w:val="Hyperlink"/>
          <w:noProof/>
        </w:rPr>
        <w:t>5</w:t>
      </w:r>
      <w:r>
        <w:rPr>
          <w:rFonts w:cstheme="minorBidi"/>
          <w:noProof/>
          <w:lang w:eastAsia="cs-CZ"/>
        </w:rPr>
        <w:tab/>
      </w:r>
      <w:r w:rsidRPr="00295E8D">
        <w:rPr>
          <w:rStyle w:val="Hyperlink"/>
          <w:noProof/>
        </w:rPr>
        <w:t>Karta rizika</w:t>
      </w:r>
      <w:r>
        <w:rPr>
          <w:noProof/>
          <w:webHidden/>
        </w:rPr>
        <w:tab/>
      </w:r>
      <w:r>
        <w:rPr>
          <w:noProof/>
          <w:webHidden/>
        </w:rPr>
        <w:fldChar w:fldCharType="begin"/>
      </w:r>
      <w:r>
        <w:rPr>
          <w:noProof/>
          <w:webHidden/>
        </w:rPr>
        <w:instrText xml:space="preserve"> PAGEREF _Toc532452854 \h </w:instrText>
      </w:r>
      <w:r>
        <w:rPr>
          <w:noProof/>
          <w:webHidden/>
        </w:rPr>
        <w:fldChar w:fldCharType="separate"/>
      </w:r>
      <w:r w:rsidR="00B21941">
        <w:rPr>
          <w:noProof/>
          <w:webHidden/>
        </w:rPr>
        <w:t>23</w:t>
      </w:r>
      <w:r>
        <w:rPr>
          <w:noProof/>
          <w:webHidden/>
        </w:rPr>
        <w:fldChar w:fldCharType="end"/>
      </w:r>
      <w:r>
        <w:fldChar w:fldCharType="end"/>
      </w:r>
    </w:p>
    <w:p w:rsidR="003F599C" w:rsidP="003F599C">
      <w:pPr>
        <w:pStyle w:val="TOC1"/>
        <w:tabs>
          <w:tab w:val="left" w:pos="400"/>
        </w:tabs>
        <w:rPr>
          <w:rFonts w:cstheme="minorBidi"/>
          <w:noProof/>
          <w:lang w:eastAsia="cs-CZ"/>
        </w:rPr>
      </w:pPr>
      <w:r>
        <w:fldChar w:fldCharType="begin"/>
      </w:r>
      <w:r>
        <w:instrText xml:space="preserve"> HYPERLINK \l "_Toc532452855" </w:instrText>
      </w:r>
      <w:r>
        <w:fldChar w:fldCharType="separate"/>
      </w:r>
      <w:r w:rsidRPr="00295E8D">
        <w:rPr>
          <w:rStyle w:val="Hyperlink"/>
          <w:noProof/>
        </w:rPr>
        <w:t>6</w:t>
      </w:r>
      <w:r>
        <w:rPr>
          <w:rFonts w:cstheme="minorBidi"/>
          <w:noProof/>
          <w:lang w:eastAsia="cs-CZ"/>
        </w:rPr>
        <w:tab/>
      </w:r>
      <w:r w:rsidRPr="00295E8D">
        <w:rPr>
          <w:rStyle w:val="Hyperlink"/>
          <w:noProof/>
        </w:rPr>
        <w:t>Monitoring a vedení evidence</w:t>
      </w:r>
      <w:r>
        <w:rPr>
          <w:noProof/>
          <w:webHidden/>
        </w:rPr>
        <w:tab/>
      </w:r>
      <w:r>
        <w:rPr>
          <w:noProof/>
          <w:webHidden/>
        </w:rPr>
        <w:fldChar w:fldCharType="begin"/>
      </w:r>
      <w:r>
        <w:rPr>
          <w:noProof/>
          <w:webHidden/>
        </w:rPr>
        <w:instrText xml:space="preserve"> PAGEREF _Toc532452855 \h </w:instrText>
      </w:r>
      <w:r>
        <w:rPr>
          <w:noProof/>
          <w:webHidden/>
        </w:rPr>
        <w:fldChar w:fldCharType="separate"/>
      </w:r>
      <w:r w:rsidR="00B21941">
        <w:rPr>
          <w:noProof/>
          <w:webHidden/>
        </w:rPr>
        <w:t>24</w:t>
      </w:r>
      <w:r>
        <w:rPr>
          <w:noProof/>
          <w:webHidden/>
        </w:rPr>
        <w:fldChar w:fldCharType="end"/>
      </w:r>
      <w:r>
        <w:fldChar w:fldCharType="end"/>
      </w:r>
    </w:p>
    <w:p w:rsidR="003F599C" w:rsidRPr="00940BDF" w:rsidP="003F599C">
      <w:r>
        <w:fldChar w:fldCharType="end"/>
      </w:r>
    </w:p>
    <w:p w:rsidR="003F599C" w:rsidP="003F599C">
      <w:pPr>
        <w:pStyle w:val="Heading1"/>
        <w:keepLines w:val="0"/>
        <w:spacing w:before="360" w:line="240" w:lineRule="auto"/>
        <w:ind w:left="431" w:hanging="431"/>
        <w:jc w:val="left"/>
        <w:sectPr w:rsidSect="00C56A37">
          <w:headerReference w:type="default" r:id="rId10"/>
          <w:footerReference w:type="default" r:id="rId11"/>
          <w:pgSz w:w="11906" w:h="16838"/>
          <w:pgMar w:top="1417" w:right="1417" w:bottom="1417" w:left="1417" w:header="708" w:footer="708" w:gutter="0"/>
          <w:pgNumType w:start="1"/>
          <w:cols w:space="708"/>
          <w:titlePg/>
          <w:docGrid w:linePitch="360"/>
        </w:sectPr>
      </w:pPr>
    </w:p>
    <w:p w:rsidR="003F599C" w:rsidRPr="00A54B77" w:rsidP="00CA73F7">
      <w:pPr>
        <w:pStyle w:val="Kapitolavodn"/>
        <w:jc w:val="left"/>
        <w:rPr>
          <w:rFonts w:ascii="Segoe UI" w:hAnsi="Segoe UI" w:cs="Segoe UI"/>
          <w:b w:val="0"/>
          <w:color w:val="1B6092" w:themeColor="text2" w:themeShade="BF"/>
          <w:sz w:val="36"/>
          <w:szCs w:val="36"/>
        </w:rPr>
      </w:pPr>
      <w:bookmarkStart w:id="10" w:name="_Toc532452850"/>
      <w:r w:rsidRPr="00CA73F7">
        <w:rPr>
          <w:rFonts w:ascii="Segoe UI" w:hAnsi="Segoe UI" w:cs="Segoe UI"/>
          <w:b w:val="0"/>
          <w:caps w:val="0"/>
          <w:color w:val="1B6092" w:themeColor="text2" w:themeShade="BF"/>
          <w:sz w:val="36"/>
          <w:szCs w:val="36"/>
        </w:rPr>
        <w:t>1.</w:t>
      </w:r>
      <w:r>
        <w:rPr>
          <w:rFonts w:ascii="Segoe UI" w:hAnsi="Segoe UI" w:cs="Segoe UI"/>
          <w:b w:val="0"/>
          <w:color w:val="1B6092" w:themeColor="text2" w:themeShade="BF"/>
          <w:sz w:val="36"/>
          <w:szCs w:val="36"/>
        </w:rPr>
        <w:t xml:space="preserve"> </w:t>
      </w:r>
      <w:r w:rsidRPr="00A54B77">
        <w:rPr>
          <w:rFonts w:ascii="Segoe UI" w:hAnsi="Segoe UI" w:cs="Segoe UI"/>
          <w:b w:val="0"/>
          <w:color w:val="1B6092" w:themeColor="text2" w:themeShade="BF"/>
          <w:sz w:val="36"/>
          <w:szCs w:val="36"/>
        </w:rPr>
        <w:t>Cíl metodiky</w:t>
      </w:r>
      <w:bookmarkEnd w:id="10"/>
    </w:p>
    <w:p w:rsidR="003F599C" w:rsidP="00EB79E4">
      <w:r>
        <w:t xml:space="preserve">Cílem metodiky je poskytnout zaměstnancům </w:t>
      </w:r>
      <w:r w:rsidRPr="00AC31D1" w:rsidR="00AC31D1">
        <w:rPr>
          <w:i/>
        </w:rPr>
        <w:t>orgánu veřejné správy</w:t>
      </w:r>
      <w:r>
        <w:t xml:space="preserve"> příručku, která jim pomůže identifikovat, analyzovat a řídit rizika (přijímat opatření) na různých úrovních v </w:t>
      </w:r>
      <w:r w:rsidRPr="00AC31D1" w:rsidR="00AC31D1">
        <w:rPr>
          <w:i/>
        </w:rPr>
        <w:t>orgánu veřejné správy</w:t>
      </w:r>
      <w:r>
        <w:t xml:space="preserve">. Pro potřeby </w:t>
      </w:r>
      <w:r w:rsidRPr="00AC31D1" w:rsidR="00AC31D1">
        <w:rPr>
          <w:i/>
        </w:rPr>
        <w:t>orgánu veřejné správy</w:t>
      </w:r>
      <w:r w:rsidR="00AC31D1">
        <w:t xml:space="preserve"> byl zvolen tzv. </w:t>
      </w:r>
      <w:r>
        <w:t xml:space="preserve">decentralizovaný model řízení rizik. Jedná se o model, ve kterém řízení rizik vychází z principu, že je integrální součástí každého rozhodnutí </w:t>
      </w:r>
      <w:r w:rsidR="00AC31D1">
        <w:t xml:space="preserve">v </w:t>
      </w:r>
      <w:r w:rsidRPr="00AC31D1" w:rsidR="00AC31D1">
        <w:rPr>
          <w:i/>
        </w:rPr>
        <w:t>orgánu veřejné správy</w:t>
      </w:r>
      <w:r>
        <w:t xml:space="preserve">.  </w:t>
      </w:r>
    </w:p>
    <w:p w:rsidR="003F599C" w:rsidP="00EB79E4">
      <w:r>
        <w:t>Řízení rizik je proces, který obsahuje čtyři fáze:</w:t>
      </w:r>
    </w:p>
    <w:p w:rsidR="003F599C" w:rsidRPr="00AC31D1" w:rsidP="00EB79E4">
      <w:pPr>
        <w:pStyle w:val="ListParagraph"/>
        <w:keepNext/>
        <w:numPr>
          <w:ilvl w:val="0"/>
          <w:numId w:val="18"/>
        </w:numPr>
        <w:spacing w:after="0" w:line="276" w:lineRule="auto"/>
        <w:contextualSpacing w:val="0"/>
        <w:rPr>
          <w:sz w:val="24"/>
          <w:szCs w:val="24"/>
        </w:rPr>
      </w:pPr>
      <w:r w:rsidRPr="00AC31D1">
        <w:rPr>
          <w:sz w:val="24"/>
          <w:szCs w:val="24"/>
        </w:rPr>
        <w:t>identifikace,</w:t>
      </w:r>
    </w:p>
    <w:p w:rsidR="003F599C" w:rsidRPr="00AC31D1" w:rsidP="00EB79E4">
      <w:pPr>
        <w:pStyle w:val="ListParagraph"/>
        <w:keepNext/>
        <w:numPr>
          <w:ilvl w:val="0"/>
          <w:numId w:val="18"/>
        </w:numPr>
        <w:spacing w:after="0" w:line="276" w:lineRule="auto"/>
        <w:contextualSpacing w:val="0"/>
        <w:rPr>
          <w:sz w:val="24"/>
          <w:szCs w:val="24"/>
        </w:rPr>
      </w:pPr>
      <w:r w:rsidRPr="00AC31D1">
        <w:rPr>
          <w:sz w:val="24"/>
          <w:szCs w:val="24"/>
        </w:rPr>
        <w:t>hodnocení (analýza),</w:t>
      </w:r>
    </w:p>
    <w:p w:rsidR="003F599C" w:rsidRPr="00AC31D1" w:rsidP="00EB79E4">
      <w:pPr>
        <w:pStyle w:val="ListParagraph"/>
        <w:keepNext/>
        <w:numPr>
          <w:ilvl w:val="0"/>
          <w:numId w:val="18"/>
        </w:numPr>
        <w:spacing w:after="0" w:line="276" w:lineRule="auto"/>
        <w:contextualSpacing w:val="0"/>
        <w:rPr>
          <w:sz w:val="24"/>
          <w:szCs w:val="24"/>
        </w:rPr>
      </w:pPr>
      <w:r w:rsidRPr="00AC31D1">
        <w:rPr>
          <w:sz w:val="24"/>
          <w:szCs w:val="24"/>
        </w:rPr>
        <w:t>přijímání opatření,</w:t>
      </w:r>
    </w:p>
    <w:p w:rsidR="003F599C" w:rsidRPr="00AC31D1" w:rsidP="00EB79E4">
      <w:pPr>
        <w:pStyle w:val="ListParagraph"/>
        <w:keepNext/>
        <w:numPr>
          <w:ilvl w:val="0"/>
          <w:numId w:val="18"/>
        </w:numPr>
        <w:spacing w:after="0" w:line="276" w:lineRule="auto"/>
        <w:contextualSpacing w:val="0"/>
        <w:rPr>
          <w:sz w:val="24"/>
          <w:szCs w:val="24"/>
        </w:rPr>
      </w:pPr>
      <w:r w:rsidRPr="00AC31D1">
        <w:rPr>
          <w:sz w:val="24"/>
          <w:szCs w:val="24"/>
        </w:rPr>
        <w:t xml:space="preserve">monitoring. </w:t>
      </w:r>
    </w:p>
    <w:p w:rsidR="003F599C" w:rsidP="00EB79E4">
      <w:pPr>
        <w:spacing w:before="240"/>
      </w:pPr>
      <w:r>
        <w:t xml:space="preserve">Cílem identifikace je odhalit všechna rizika, která mohou ohrozit plnění úkolů </w:t>
      </w:r>
      <w:r w:rsidRPr="00AC31D1" w:rsidR="00AC31D1">
        <w:rPr>
          <w:i/>
        </w:rPr>
        <w:t>orgánu veřejné správy</w:t>
      </w:r>
      <w:r>
        <w:t>, bez ohledu na jejich významnost. Prvotní fáze identifikace rizik přechází v</w:t>
      </w:r>
      <w:r w:rsidR="00A916EC">
        <w:t> </w:t>
      </w:r>
      <w:r>
        <w:t>hodnocení</w:t>
      </w:r>
      <w:r w:rsidR="00A916EC">
        <w:t>,</w:t>
      </w:r>
      <w:r>
        <w:t xml:space="preserve"> resp. analýzu rizik. Cílem je za pomocí hodnocení určit rizika, která mají zásadní význam na plnění úkolů </w:t>
      </w:r>
      <w:r w:rsidRPr="00AC31D1" w:rsidR="00AC31D1">
        <w:rPr>
          <w:i/>
        </w:rPr>
        <w:t>orgánu veřejné správy</w:t>
      </w:r>
      <w:r>
        <w:t xml:space="preserve"> a </w:t>
      </w:r>
      <w:r w:rsidR="00A916EC">
        <w:t xml:space="preserve">která </w:t>
      </w:r>
      <w:r>
        <w:t>je nutné řídit, aby nedošlo k oh</w:t>
      </w:r>
      <w:r w:rsidR="00AC31D1">
        <w:t xml:space="preserve">rožení plnění úkolů </w:t>
      </w:r>
      <w:r w:rsidRPr="00AC31D1" w:rsidR="00AC31D1">
        <w:rPr>
          <w:i/>
        </w:rPr>
        <w:t>orgánu veřejné správy</w:t>
      </w:r>
      <w:r>
        <w:t>. Po analytickém zhodnocení rizik následuje fáze přijímání opatření. Přijímání vho</w:t>
      </w:r>
      <w:r w:rsidR="00875A33">
        <w:t>dných a přiměřených opatření je </w:t>
      </w:r>
      <w:r>
        <w:t xml:space="preserve">podstatou celého řízení rizik. Vše uzavírá monitoring, tedy sledování vývoje identifikovaných rizik (zda nedochází ke změně významnosti, tj. změně pravděpodobnosti nebo dopadu, </w:t>
      </w:r>
      <w:r w:rsidR="00A916EC">
        <w:t xml:space="preserve">a </w:t>
      </w:r>
      <w:r>
        <w:t xml:space="preserve"> vyhodnocování účinnosti přijatých opatření) společně s jejich evidencí. </w:t>
      </w:r>
    </w:p>
    <w:p w:rsidR="003F599C" w:rsidP="00EB79E4">
      <w:pPr>
        <w:autoSpaceDE w:val="0"/>
        <w:autoSpaceDN w:val="0"/>
        <w:adjustRightInd w:val="0"/>
        <w:spacing w:after="0"/>
        <w:rPr>
          <w:rFonts w:cs="Cambria"/>
          <w:lang w:eastAsia="cs-CZ"/>
        </w:rPr>
      </w:pPr>
      <w:r>
        <w:rPr>
          <w:rFonts w:cs="Cambria"/>
          <w:lang w:eastAsia="cs-CZ"/>
        </w:rPr>
        <w:t xml:space="preserve">Cílem metodiky není stanovit podrobný návod, </w:t>
      </w:r>
      <w:r w:rsidR="00AC31D1">
        <w:rPr>
          <w:rFonts w:cs="Cambria"/>
          <w:lang w:eastAsia="cs-CZ"/>
        </w:rPr>
        <w:t xml:space="preserve">co mají zaměstnanci </w:t>
      </w:r>
      <w:r w:rsidRPr="00AC31D1" w:rsidR="00AC31D1">
        <w:rPr>
          <w:i/>
        </w:rPr>
        <w:t>orgánu veřejné správy</w:t>
      </w:r>
      <w:r>
        <w:rPr>
          <w:rFonts w:cs="Cambria"/>
          <w:lang w:eastAsia="cs-CZ"/>
        </w:rPr>
        <w:t xml:space="preserve"> udělat, aby zaručeně identifi</w:t>
      </w:r>
      <w:r w:rsidR="00AC31D1">
        <w:rPr>
          <w:rFonts w:cs="Cambria"/>
          <w:lang w:eastAsia="cs-CZ"/>
        </w:rPr>
        <w:t>kovali a řídili všechna rizika.</w:t>
      </w:r>
    </w:p>
    <w:p w:rsidR="003F599C" w:rsidP="00EB79E4">
      <w:pPr>
        <w:autoSpaceDE w:val="0"/>
        <w:autoSpaceDN w:val="0"/>
        <w:adjustRightInd w:val="0"/>
        <w:spacing w:after="0"/>
        <w:rPr>
          <w:rFonts w:cs="Cambria"/>
          <w:lang w:eastAsia="cs-CZ"/>
        </w:rPr>
      </w:pPr>
    </w:p>
    <w:p w:rsidR="003F599C" w:rsidP="00EB79E4">
      <w:pPr>
        <w:autoSpaceDE w:val="0"/>
        <w:autoSpaceDN w:val="0"/>
        <w:adjustRightInd w:val="0"/>
        <w:spacing w:after="0"/>
        <w:rPr>
          <w:rFonts w:cs="Cambria"/>
          <w:lang w:eastAsia="cs-CZ"/>
        </w:rPr>
      </w:pPr>
      <w:r>
        <w:rPr>
          <w:rFonts w:cs="Cambria"/>
          <w:lang w:eastAsia="cs-CZ"/>
        </w:rPr>
        <w:t xml:space="preserve">Jedná se vždy o konkrétní úvahu zaměstnance, kterému je svěřen konkrétní úkol. Přesto však lze stanovit základní postupy, které mu mohou pomoci. Tyto postupy jsou </w:t>
      </w:r>
      <w:r w:rsidR="00B21941">
        <w:rPr>
          <w:rFonts w:cs="Cambria"/>
          <w:lang w:eastAsia="cs-CZ"/>
        </w:rPr>
        <w:t>přímo v </w:t>
      </w:r>
      <w:r>
        <w:rPr>
          <w:rFonts w:cs="Cambria"/>
          <w:lang w:eastAsia="cs-CZ"/>
        </w:rPr>
        <w:t>textu doplněny konkrétními příklady dobré a špatné praxe.</w:t>
      </w:r>
    </w:p>
    <w:p w:rsidR="003F599C" w:rsidP="00EB79E4">
      <w:pPr>
        <w:autoSpaceDE w:val="0"/>
        <w:autoSpaceDN w:val="0"/>
        <w:adjustRightInd w:val="0"/>
        <w:spacing w:after="0"/>
        <w:rPr>
          <w:rFonts w:cs="Cambria"/>
          <w:lang w:eastAsia="cs-CZ"/>
        </w:rPr>
      </w:pPr>
    </w:p>
    <w:p w:rsidR="003F599C" w:rsidP="00EB79E4">
      <w:pPr>
        <w:autoSpaceDE w:val="0"/>
        <w:autoSpaceDN w:val="0"/>
        <w:adjustRightInd w:val="0"/>
        <w:spacing w:after="0"/>
        <w:rPr>
          <w:rFonts w:cs="Cambria"/>
          <w:lang w:eastAsia="cs-CZ"/>
        </w:rPr>
      </w:pPr>
      <w:r>
        <w:rPr>
          <w:rFonts w:cs="Cambria"/>
          <w:lang w:eastAsia="cs-CZ"/>
        </w:rPr>
        <w:t>Řada otázek zůstane nevyhnutelně na úsudku příslušného zaměstnance, který by však svá rozhodnutí měl vždy činit se znalostí základních prin</w:t>
      </w:r>
      <w:r w:rsidR="00AC31D1">
        <w:rPr>
          <w:rFonts w:cs="Cambria"/>
          <w:lang w:eastAsia="cs-CZ"/>
        </w:rPr>
        <w:t>cipů a pravidel dobré praxe a s </w:t>
      </w:r>
      <w:r>
        <w:rPr>
          <w:rFonts w:cs="Cambria"/>
          <w:lang w:eastAsia="cs-CZ"/>
        </w:rPr>
        <w:t>vědomím, že hlavním smyslem jeho úsilí není naplnění dílčích předepsaných postupů, ale racionální a pragmatický postup vedoucí ke splnění stanovených úkolů</w:t>
      </w:r>
      <w:r w:rsidR="00AC31D1">
        <w:rPr>
          <w:rFonts w:cs="Cambria"/>
          <w:lang w:eastAsia="cs-CZ"/>
        </w:rPr>
        <w:t xml:space="preserve"> při </w:t>
      </w:r>
      <w:r>
        <w:rPr>
          <w:rFonts w:cs="Cambria"/>
          <w:lang w:eastAsia="cs-CZ"/>
        </w:rPr>
        <w:t xml:space="preserve">optimálním vynaložení veřejných prostředků a při dodržení zákony stanovených povinností. </w:t>
      </w:r>
    </w:p>
    <w:p w:rsidR="003F599C" w:rsidP="003F599C">
      <w:pPr>
        <w:autoSpaceDE w:val="0"/>
        <w:autoSpaceDN w:val="0"/>
        <w:adjustRightInd w:val="0"/>
        <w:spacing w:after="0" w:line="240" w:lineRule="auto"/>
        <w:rPr>
          <w:rFonts w:cs="Cambria"/>
          <w:lang w:eastAsia="cs-CZ"/>
        </w:rPr>
      </w:pPr>
    </w:p>
    <w:p w:rsidR="003F599C" w:rsidP="003F599C">
      <w:pPr>
        <w:spacing w:after="0" w:line="240" w:lineRule="auto"/>
      </w:pPr>
      <w:r>
        <w:br w:type="page"/>
      </w:r>
    </w:p>
    <w:p w:rsidR="003F599C" w:rsidRPr="00A54B77" w:rsidP="00A54B77">
      <w:pPr>
        <w:pStyle w:val="Kapitolavodn"/>
        <w:jc w:val="left"/>
        <w:rPr>
          <w:rFonts w:ascii="Segoe UI" w:hAnsi="Segoe UI" w:cs="Segoe UI"/>
          <w:b w:val="0"/>
          <w:color w:val="1B6092" w:themeColor="text2" w:themeShade="BF"/>
          <w:sz w:val="36"/>
          <w:szCs w:val="36"/>
        </w:rPr>
      </w:pPr>
      <w:bookmarkStart w:id="11" w:name="_Toc532452851"/>
      <w:r>
        <w:rPr>
          <w:rFonts w:ascii="Segoe UI" w:hAnsi="Segoe UI" w:cs="Segoe UI"/>
          <w:b w:val="0"/>
          <w:color w:val="1B6092" w:themeColor="text2" w:themeShade="BF"/>
          <w:sz w:val="36"/>
          <w:szCs w:val="36"/>
        </w:rPr>
        <w:t xml:space="preserve">2. </w:t>
      </w:r>
      <w:r w:rsidRPr="00A54B77">
        <w:rPr>
          <w:rFonts w:ascii="Segoe UI" w:hAnsi="Segoe UI" w:cs="Segoe UI"/>
          <w:b w:val="0"/>
          <w:color w:val="1B6092" w:themeColor="text2" w:themeShade="BF"/>
          <w:sz w:val="36"/>
          <w:szCs w:val="36"/>
        </w:rPr>
        <w:t>Identifikace rizik</w:t>
      </w:r>
      <w:bookmarkEnd w:id="11"/>
    </w:p>
    <w:p w:rsidR="003F599C" w:rsidP="00B21941">
      <w:pPr>
        <w:spacing w:after="0"/>
      </w:pPr>
      <w:r>
        <w:t>Základním předpokladem řízení každého jednotlivého rizika je schopnost útvaru (</w:t>
      </w:r>
      <w:r w:rsidRPr="00AC31D1" w:rsidR="00AC31D1">
        <w:rPr>
          <w:i/>
        </w:rPr>
        <w:t>orgánu veřejné správy</w:t>
      </w:r>
      <w:r>
        <w:t>) takové riziko identifikov</w:t>
      </w:r>
      <w:r w:rsidR="000129A4">
        <w:t>at (uvědomit si, že existuje) a </w:t>
      </w:r>
      <w:r>
        <w:t xml:space="preserve">přiměřeně </w:t>
      </w:r>
      <w:r w:rsidR="00B21941">
        <w:t xml:space="preserve">jej </w:t>
      </w:r>
      <w:r>
        <w:t>označit či definovat. Riziko vždy souvisí s</w:t>
      </w:r>
      <w:r w:rsidR="00B21941">
        <w:t>  určitou konkrétní operací, na </w:t>
      </w:r>
      <w:r>
        <w:t xml:space="preserve">jejíž realizaci se váže. </w:t>
      </w:r>
      <w:r w:rsidR="00B21941">
        <w:t>Proto by vždy m</w:t>
      </w:r>
      <w:r>
        <w:t>ělo být vždy form</w:t>
      </w:r>
      <w:r w:rsidR="000129A4">
        <w:t>ulováno konkrétně a ve vazbě na </w:t>
      </w:r>
      <w:r>
        <w:t xml:space="preserve">rozhodování o dané operaci. Příliš obecně definované riziko či riziko bez jasně identifikované vazby na konkrétní operaci či rozhodnutí účinně řídit nelze. Dobře formulované riziko se dá v praxi poznat tak, že k němu lze definovat konkrétní nápravné opatření. Ke špatně formulovanému riziku konkrétní nápravné opatření ani teoreticky definovat nelze. </w:t>
      </w:r>
    </w:p>
    <w:p w:rsidR="003F599C" w:rsidP="00B21941">
      <w:pPr>
        <w:spacing w:after="0"/>
      </w:pPr>
    </w:p>
    <w:p w:rsidR="003F599C" w:rsidP="00B21941">
      <w:pPr>
        <w:spacing w:after="0"/>
      </w:pPr>
      <w:r>
        <w:t xml:space="preserve">Výsledkem (výstupem) </w:t>
      </w:r>
      <w:r w:rsidR="00A916EC">
        <w:t xml:space="preserve">fáze </w:t>
      </w:r>
      <w:r>
        <w:t xml:space="preserve">identifikace </w:t>
      </w:r>
      <w:r w:rsidR="00A916EC">
        <w:t xml:space="preserve">rizik </w:t>
      </w:r>
      <w:r>
        <w:t>je se</w:t>
      </w:r>
      <w:r w:rsidR="00B21941">
        <w:t>znam všech možných rizik, která </w:t>
      </w:r>
      <w:r>
        <w:t xml:space="preserve">ohrožují plnění daného úkolu, a to bez ohledu na </w:t>
      </w:r>
      <w:r w:rsidR="00A916EC">
        <w:t xml:space="preserve">jejich </w:t>
      </w:r>
      <w:r>
        <w:t>míru významnosti (v případě, že nastanou, nebude možné úkol splnit včas</w:t>
      </w:r>
      <w:r w:rsidR="00A916EC">
        <w:t xml:space="preserve">, </w:t>
      </w:r>
      <w:r w:rsidR="00EB79E4">
        <w:t>v požadované kvalitě nebo </w:t>
      </w:r>
      <w:r>
        <w:t>nebude možné splnit úkol vůbec)</w:t>
      </w:r>
      <w:r w:rsidR="00AC31D1">
        <w:t>.</w:t>
      </w:r>
    </w:p>
    <w:p w:rsidR="003F599C" w:rsidP="003F599C">
      <w:pPr>
        <w:spacing w:after="0" w:line="240" w:lineRule="auto"/>
      </w:pPr>
    </w:p>
    <w:tbl>
      <w:tblPr>
        <w:tblW w:w="927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
      <w:tblGrid>
        <w:gridCol w:w="9273"/>
      </w:tblGrid>
      <w:tr w:rsidTr="00C56A37">
        <w:tblPrEx>
          <w:tblW w:w="927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Ex>
        <w:trPr>
          <w:trHeight w:val="94"/>
          <w:tblHeader/>
        </w:trPr>
        <w:tc>
          <w:tcPr>
            <w:tcW w:w="9273" w:type="dxa"/>
            <w:tcBorders>
              <w:top w:val="nil"/>
              <w:left w:val="nil"/>
              <w:bottom w:val="nil"/>
              <w:right w:val="nil"/>
            </w:tcBorders>
            <w:shd w:val="clear" w:color="000000" w:fill="C00000"/>
            <w:tcMar>
              <w:top w:w="57" w:type="dxa"/>
              <w:left w:w="113" w:type="dxa"/>
              <w:bottom w:w="57" w:type="dxa"/>
              <w:right w:w="113" w:type="dxa"/>
            </w:tcMar>
            <w:vAlign w:val="center"/>
          </w:tcPr>
          <w:p w:rsidR="0034713E" w:rsidRPr="00146A7B" w:rsidP="0034713E">
            <w:pPr>
              <w:pStyle w:val="ListParagraph"/>
              <w:keepNext/>
              <w:numPr>
                <w:ilvl w:val="0"/>
                <w:numId w:val="13"/>
              </w:numPr>
              <w:spacing w:after="0" w:line="240" w:lineRule="auto"/>
              <w:ind w:left="313" w:right="125" w:hanging="284"/>
              <w:contextualSpacing w:val="0"/>
              <w:rPr>
                <w:rFonts w:ascii="Segoe UI Semibold" w:hAnsi="Segoe UI Semibold" w:cs="Arial"/>
                <w:b/>
                <w:bCs/>
                <w:color w:val="FFFFFF"/>
              </w:rPr>
            </w:pPr>
            <w:r w:rsidRPr="00146A7B">
              <w:rPr>
                <w:rFonts w:ascii="Segoe UI Semibold" w:hAnsi="Segoe UI Semibold" w:cs="Arial"/>
                <w:b/>
                <w:bCs/>
                <w:color w:val="FFFFFF"/>
                <w:sz w:val="24"/>
              </w:rPr>
              <w:t>Příklad špatné praxe</w:t>
            </w:r>
            <w:r>
              <w:rPr>
                <w:rFonts w:ascii="Segoe UI Semibold" w:hAnsi="Segoe UI Semibold" w:cs="Arial"/>
                <w:b/>
                <w:bCs/>
                <w:color w:val="FFFFFF"/>
                <w:sz w:val="24"/>
              </w:rPr>
              <w:t xml:space="preserve"> - p</w:t>
            </w:r>
            <w:r w:rsidRPr="00491C06">
              <w:rPr>
                <w:rFonts w:ascii="Segoe UI Semibold" w:hAnsi="Segoe UI Semibold" w:cs="Arial"/>
                <w:b/>
                <w:bCs/>
                <w:color w:val="FFFFFF"/>
                <w:sz w:val="24"/>
              </w:rPr>
              <w:t>říklady nesprávně formulovaných rizik</w:t>
            </w:r>
          </w:p>
        </w:tc>
      </w:tr>
      <w:tr w:rsidTr="0034713E">
        <w:tblPrEx>
          <w:tblW w:w="9273" w:type="dxa"/>
          <w:tblInd w:w="113" w:type="dxa"/>
          <w:tblLayout w:type="fixed"/>
          <w:tblCellMar>
            <w:left w:w="70" w:type="dxa"/>
            <w:right w:w="70" w:type="dxa"/>
          </w:tblCellMar>
          <w:tblLook w:val="04A0"/>
        </w:tblPrEx>
        <w:trPr>
          <w:trHeight w:hRule="exact" w:val="148"/>
          <w:tblHeader/>
        </w:trPr>
        <w:tc>
          <w:tcPr>
            <w:tcW w:w="9273" w:type="dxa"/>
            <w:tcBorders>
              <w:top w:val="nil"/>
              <w:left w:val="nil"/>
              <w:bottom w:val="nil"/>
              <w:right w:val="nil"/>
            </w:tcBorders>
            <w:shd w:val="clear" w:color="auto" w:fill="FAD6D5" w:themeFill="background2" w:themeFillTint="33"/>
            <w:tcMar>
              <w:top w:w="28" w:type="dxa"/>
              <w:left w:w="113" w:type="dxa"/>
              <w:bottom w:w="28" w:type="dxa"/>
              <w:right w:w="113" w:type="dxa"/>
            </w:tcMar>
            <w:vAlign w:val="center"/>
          </w:tcPr>
          <w:p w:rsidR="0034713E" w:rsidRPr="002603D2" w:rsidP="00C56A37">
            <w:pPr>
              <w:pStyle w:val="Pklad"/>
              <w:spacing w:after="0"/>
              <w:ind w:left="170" w:firstLine="0"/>
            </w:pPr>
          </w:p>
        </w:tc>
      </w:tr>
      <w:tr w:rsidTr="00C56A37">
        <w:tblPrEx>
          <w:tblW w:w="9273" w:type="dxa"/>
          <w:tblInd w:w="113" w:type="dxa"/>
          <w:tblLayout w:type="fixed"/>
          <w:tblCellMar>
            <w:left w:w="70" w:type="dxa"/>
            <w:right w:w="70" w:type="dxa"/>
          </w:tblCellMar>
          <w:tblLook w:val="04A0"/>
        </w:tblPrEx>
        <w:trPr>
          <w:trHeight w:val="1169"/>
        </w:trPr>
        <w:tc>
          <w:tcPr>
            <w:tcW w:w="9273"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34713E" w:rsidP="00B21941">
            <w:pPr>
              <w:autoSpaceDE w:val="0"/>
              <w:autoSpaceDN w:val="0"/>
              <w:adjustRightInd w:val="0"/>
              <w:spacing w:after="0"/>
              <w:ind w:left="171"/>
              <w:rPr>
                <w:rFonts w:cs="Cambria"/>
                <w:lang w:eastAsia="cs-CZ"/>
              </w:rPr>
            </w:pPr>
            <w:r>
              <w:rPr>
                <w:rFonts w:cs="Cambria"/>
                <w:lang w:eastAsia="cs-CZ"/>
              </w:rPr>
              <w:t xml:space="preserve">Místo rizik jsou v dokumentech vztahujících se k řízení rizik popsané oblasti, které musí být zabezpečeny a ke kterým se vážou jednotlivá rizika. </w:t>
            </w:r>
            <w:r w:rsidRPr="00C131AB">
              <w:rPr>
                <w:rFonts w:cs="Cambria"/>
                <w:lang w:eastAsia="cs-CZ"/>
              </w:rPr>
              <w:t>Konkrétní identifikovaná rizika však již v daném výčtu nenásledují.</w:t>
            </w:r>
            <w:r>
              <w:rPr>
                <w:rFonts w:cs="Cambria"/>
                <w:lang w:eastAsia="cs-CZ"/>
              </w:rPr>
              <w:t xml:space="preserve"> Rizika, která s uvedenými činnostmi souvisí, nejsou dostatečně zřejmá, nelze je tudíž dále hodnotit a zejména není možné přijímat účinná opatření k jejich zmírnění nebo vyloučení.  </w:t>
            </w:r>
          </w:p>
          <w:p w:rsidR="0034713E" w:rsidRPr="0034713E" w:rsidP="0034713E">
            <w:pPr>
              <w:pStyle w:val="Pklad"/>
              <w:numPr>
                <w:ilvl w:val="0"/>
                <w:numId w:val="15"/>
              </w:numPr>
              <w:spacing w:before="60" w:after="60"/>
              <w:rPr>
                <w:sz w:val="24"/>
                <w:szCs w:val="24"/>
              </w:rPr>
            </w:pPr>
            <w:r w:rsidRPr="0034713E">
              <w:rPr>
                <w:sz w:val="24"/>
                <w:szCs w:val="24"/>
              </w:rPr>
              <w:t>Plánování a rozpočtování</w:t>
            </w:r>
          </w:p>
          <w:p w:rsidR="0034713E" w:rsidRPr="0034713E" w:rsidP="0034713E">
            <w:pPr>
              <w:pStyle w:val="Pklad"/>
              <w:numPr>
                <w:ilvl w:val="0"/>
                <w:numId w:val="15"/>
              </w:numPr>
              <w:spacing w:before="60" w:after="60"/>
              <w:rPr>
                <w:sz w:val="24"/>
                <w:szCs w:val="24"/>
              </w:rPr>
            </w:pPr>
            <w:r w:rsidRPr="0034713E">
              <w:rPr>
                <w:sz w:val="24"/>
                <w:szCs w:val="24"/>
              </w:rPr>
              <w:t>Financování</w:t>
            </w:r>
          </w:p>
          <w:p w:rsidR="0034713E" w:rsidRPr="0034713E" w:rsidP="0034713E">
            <w:pPr>
              <w:pStyle w:val="Pklad"/>
              <w:numPr>
                <w:ilvl w:val="0"/>
                <w:numId w:val="15"/>
              </w:numPr>
              <w:spacing w:before="60" w:after="60"/>
              <w:rPr>
                <w:sz w:val="24"/>
                <w:szCs w:val="24"/>
              </w:rPr>
            </w:pPr>
            <w:r w:rsidRPr="0034713E">
              <w:rPr>
                <w:sz w:val="24"/>
                <w:szCs w:val="24"/>
              </w:rPr>
              <w:t>Činnosti pokladní služby</w:t>
            </w:r>
          </w:p>
          <w:p w:rsidR="0034713E" w:rsidRPr="0034713E" w:rsidP="0034713E">
            <w:pPr>
              <w:pStyle w:val="Pklad"/>
              <w:numPr>
                <w:ilvl w:val="0"/>
                <w:numId w:val="15"/>
              </w:numPr>
              <w:spacing w:before="60" w:after="60"/>
              <w:rPr>
                <w:sz w:val="24"/>
                <w:szCs w:val="24"/>
              </w:rPr>
            </w:pPr>
            <w:r w:rsidRPr="0034713E">
              <w:rPr>
                <w:sz w:val="24"/>
                <w:szCs w:val="24"/>
              </w:rPr>
              <w:t>Čerpání prostředků EU</w:t>
            </w:r>
          </w:p>
          <w:p w:rsidR="0034713E" w:rsidRPr="0034713E" w:rsidP="0034713E">
            <w:pPr>
              <w:pStyle w:val="Pklad"/>
              <w:numPr>
                <w:ilvl w:val="0"/>
                <w:numId w:val="15"/>
              </w:numPr>
              <w:spacing w:before="60" w:after="60"/>
              <w:rPr>
                <w:sz w:val="24"/>
                <w:szCs w:val="24"/>
              </w:rPr>
            </w:pPr>
            <w:r w:rsidRPr="0034713E">
              <w:rPr>
                <w:sz w:val="24"/>
                <w:szCs w:val="24"/>
              </w:rPr>
              <w:t>Nepřiměřené náklady</w:t>
            </w:r>
          </w:p>
          <w:p w:rsidR="0034713E" w:rsidRPr="0034713E" w:rsidP="0034713E">
            <w:pPr>
              <w:pStyle w:val="Pklad"/>
              <w:numPr>
                <w:ilvl w:val="0"/>
                <w:numId w:val="15"/>
              </w:numPr>
              <w:spacing w:before="60" w:after="60"/>
              <w:rPr>
                <w:sz w:val="24"/>
                <w:szCs w:val="24"/>
              </w:rPr>
            </w:pPr>
            <w:r w:rsidRPr="0034713E">
              <w:rPr>
                <w:sz w:val="24"/>
                <w:szCs w:val="24"/>
              </w:rPr>
              <w:t>Správa a ochrana majetku</w:t>
            </w:r>
          </w:p>
          <w:p w:rsidR="0034713E" w:rsidRPr="0034713E" w:rsidP="0034713E">
            <w:pPr>
              <w:pStyle w:val="Pklad"/>
              <w:numPr>
                <w:ilvl w:val="0"/>
                <w:numId w:val="15"/>
              </w:numPr>
              <w:spacing w:before="60" w:after="60"/>
              <w:rPr>
                <w:sz w:val="24"/>
                <w:szCs w:val="24"/>
              </w:rPr>
            </w:pPr>
            <w:r w:rsidRPr="0034713E">
              <w:rPr>
                <w:sz w:val="24"/>
                <w:szCs w:val="24"/>
              </w:rPr>
              <w:t>Přístupová práva</w:t>
            </w:r>
          </w:p>
          <w:p w:rsidR="0034713E" w:rsidRPr="0034713E" w:rsidP="0034713E">
            <w:pPr>
              <w:pStyle w:val="Pklad"/>
              <w:numPr>
                <w:ilvl w:val="0"/>
                <w:numId w:val="15"/>
              </w:numPr>
              <w:spacing w:before="60" w:after="60"/>
              <w:rPr>
                <w:sz w:val="24"/>
                <w:szCs w:val="24"/>
              </w:rPr>
            </w:pPr>
            <w:r w:rsidRPr="0034713E">
              <w:rPr>
                <w:sz w:val="24"/>
                <w:szCs w:val="24"/>
              </w:rPr>
              <w:t>Fyzické zabezpečení dat a jejich ochrana</w:t>
            </w:r>
          </w:p>
          <w:p w:rsidR="0034713E" w:rsidRPr="0034713E" w:rsidP="0034713E">
            <w:pPr>
              <w:pStyle w:val="Pklad"/>
              <w:numPr>
                <w:ilvl w:val="0"/>
                <w:numId w:val="15"/>
              </w:numPr>
              <w:spacing w:before="60" w:after="60"/>
              <w:rPr>
                <w:sz w:val="24"/>
                <w:szCs w:val="24"/>
              </w:rPr>
            </w:pPr>
            <w:r w:rsidRPr="0034713E">
              <w:rPr>
                <w:sz w:val="24"/>
                <w:szCs w:val="24"/>
              </w:rPr>
              <w:t>Dostupnost informačních systém</w:t>
            </w:r>
          </w:p>
          <w:p w:rsidR="0034713E" w:rsidRPr="00CA3FFE" w:rsidP="00B21941">
            <w:pPr>
              <w:autoSpaceDE w:val="0"/>
              <w:autoSpaceDN w:val="0"/>
              <w:adjustRightInd w:val="0"/>
              <w:spacing w:after="0"/>
              <w:ind w:left="171"/>
              <w:rPr>
                <w:rFonts w:cs="Cambria"/>
                <w:lang w:eastAsia="cs-CZ"/>
              </w:rPr>
            </w:pPr>
            <w:r w:rsidRPr="004E669F">
              <w:rPr>
                <w:rFonts w:cs="Cambria"/>
                <w:lang w:eastAsia="cs-CZ"/>
              </w:rPr>
              <w:t>V níže uvedených případech se jedná o reálné a opakující se zkušenosti zaměstnanců z</w:t>
            </w:r>
            <w:r>
              <w:rPr>
                <w:rFonts w:cs="Cambria"/>
                <w:lang w:eastAsia="cs-CZ"/>
              </w:rPr>
              <w:t> </w:t>
            </w:r>
            <w:r w:rsidRPr="004E669F">
              <w:rPr>
                <w:rFonts w:cs="Cambria"/>
                <w:lang w:eastAsia="cs-CZ"/>
              </w:rPr>
              <w:t xml:space="preserve">praxe, které pro </w:t>
            </w:r>
            <w:r w:rsidRPr="00CA3FFE">
              <w:rPr>
                <w:rFonts w:cs="Cambria"/>
                <w:i/>
                <w:lang w:eastAsia="cs-CZ"/>
              </w:rPr>
              <w:t>orgán veřejné správy</w:t>
            </w:r>
            <w:r>
              <w:rPr>
                <w:rFonts w:cs="Cambria"/>
                <w:lang w:eastAsia="cs-CZ"/>
              </w:rPr>
              <w:t xml:space="preserve"> </w:t>
            </w:r>
            <w:r w:rsidRPr="004E669F">
              <w:rPr>
                <w:rFonts w:cs="Cambria"/>
                <w:lang w:eastAsia="cs-CZ"/>
              </w:rPr>
              <w:t>skutečně znamenají významná rizika. Pokud jsou však rizika formulována takto obecně a bez v</w:t>
            </w:r>
            <w:r w:rsidR="00B21941">
              <w:rPr>
                <w:rFonts w:cs="Cambria"/>
                <w:lang w:eastAsia="cs-CZ"/>
              </w:rPr>
              <w:t>ztahu ke konkrétní operaci či </w:t>
            </w:r>
            <w:r w:rsidRPr="004E669F">
              <w:rPr>
                <w:rFonts w:cs="Cambria"/>
                <w:lang w:eastAsia="cs-CZ"/>
              </w:rPr>
              <w:t>rozhodnutí, nelze k nim definovat jak</w:t>
            </w:r>
            <w:r>
              <w:rPr>
                <w:rFonts w:cs="Cambria"/>
                <w:lang w:eastAsia="cs-CZ"/>
              </w:rPr>
              <w:t>á</w:t>
            </w:r>
            <w:r w:rsidRPr="004E669F">
              <w:rPr>
                <w:rFonts w:cs="Cambria"/>
                <w:lang w:eastAsia="cs-CZ"/>
              </w:rPr>
              <w:t xml:space="preserve">koliv konkrétní nápravná opatření. </w:t>
            </w:r>
            <w:r w:rsidR="00B21941">
              <w:rPr>
                <w:rFonts w:cs="Cambria"/>
                <w:b/>
                <w:lang w:eastAsia="cs-CZ"/>
              </w:rPr>
              <w:t>Níže </w:t>
            </w:r>
            <w:r w:rsidRPr="00D62C62">
              <w:rPr>
                <w:rFonts w:cs="Cambria"/>
                <w:b/>
                <w:lang w:eastAsia="cs-CZ"/>
              </w:rPr>
              <w:t>popsaný typ rizik je potřeba vztahovat vždy ke konkrétnímu rozhodnutí, operaci nebo materiálu</w:t>
            </w:r>
            <w:r w:rsidRPr="00CA3FFE">
              <w:rPr>
                <w:rFonts w:cs="Cambria"/>
                <w:lang w:eastAsia="cs-CZ"/>
              </w:rPr>
              <w:t>.</w:t>
            </w:r>
          </w:p>
          <w:p w:rsidR="0034713E" w:rsidRPr="0034713E" w:rsidP="0034713E">
            <w:pPr>
              <w:pStyle w:val="Pklad"/>
              <w:numPr>
                <w:ilvl w:val="0"/>
                <w:numId w:val="15"/>
              </w:numPr>
              <w:spacing w:before="60" w:after="60"/>
              <w:rPr>
                <w:sz w:val="24"/>
                <w:szCs w:val="24"/>
              </w:rPr>
            </w:pPr>
            <w:r w:rsidRPr="0034713E">
              <w:rPr>
                <w:sz w:val="24"/>
                <w:szCs w:val="24"/>
              </w:rPr>
              <w:t>Nestabilita a složitost právních norem, různé iniciativy, lobbing</w:t>
            </w:r>
          </w:p>
          <w:p w:rsidR="0034713E" w:rsidRPr="0034713E" w:rsidP="0034713E">
            <w:pPr>
              <w:pStyle w:val="Pklad"/>
              <w:numPr>
                <w:ilvl w:val="0"/>
                <w:numId w:val="15"/>
              </w:numPr>
              <w:spacing w:before="60" w:after="60"/>
              <w:rPr>
                <w:sz w:val="24"/>
                <w:szCs w:val="24"/>
              </w:rPr>
            </w:pPr>
            <w:r w:rsidRPr="0034713E">
              <w:rPr>
                <w:sz w:val="24"/>
                <w:szCs w:val="24"/>
              </w:rPr>
              <w:t>Únik informací nebo jejich neoprávněné poskytnutí</w:t>
            </w:r>
          </w:p>
          <w:p w:rsidR="0034713E" w:rsidRPr="0034713E" w:rsidP="0034713E">
            <w:pPr>
              <w:pStyle w:val="Pklad"/>
              <w:numPr>
                <w:ilvl w:val="0"/>
                <w:numId w:val="15"/>
              </w:numPr>
              <w:spacing w:before="60" w:after="60"/>
              <w:rPr>
                <w:sz w:val="24"/>
                <w:szCs w:val="24"/>
              </w:rPr>
            </w:pPr>
            <w:r w:rsidRPr="0034713E">
              <w:rPr>
                <w:sz w:val="24"/>
                <w:szCs w:val="24"/>
              </w:rPr>
              <w:t>Úmyslně zkreslené či zamlčené informace, které mohou neobjektivně ovlivnit rozhodování</w:t>
            </w:r>
          </w:p>
          <w:p w:rsidR="0034713E" w:rsidRPr="0034713E" w:rsidP="0034713E">
            <w:pPr>
              <w:pStyle w:val="Pklad"/>
              <w:numPr>
                <w:ilvl w:val="0"/>
                <w:numId w:val="15"/>
              </w:numPr>
              <w:spacing w:before="60" w:after="60"/>
              <w:rPr>
                <w:sz w:val="24"/>
                <w:szCs w:val="24"/>
              </w:rPr>
            </w:pPr>
            <w:r w:rsidRPr="0034713E">
              <w:rPr>
                <w:sz w:val="24"/>
                <w:szCs w:val="24"/>
              </w:rPr>
              <w:t>Ovlivňování plánů a výsledků kontrol</w:t>
            </w:r>
          </w:p>
          <w:p w:rsidR="0034713E" w:rsidRPr="0034713E" w:rsidP="0034713E">
            <w:pPr>
              <w:pStyle w:val="Pklad"/>
              <w:numPr>
                <w:ilvl w:val="0"/>
                <w:numId w:val="15"/>
              </w:numPr>
              <w:spacing w:before="60" w:after="60"/>
              <w:rPr>
                <w:sz w:val="24"/>
                <w:szCs w:val="24"/>
              </w:rPr>
            </w:pPr>
            <w:r w:rsidRPr="0034713E">
              <w:rPr>
                <w:sz w:val="24"/>
                <w:szCs w:val="24"/>
              </w:rPr>
              <w:t>Svévolné zvýhodnění jednoho dodavatele oproti ostatním</w:t>
            </w:r>
          </w:p>
          <w:p w:rsidR="0034713E" w:rsidRPr="0034713E" w:rsidP="0034713E">
            <w:pPr>
              <w:pStyle w:val="Pklad"/>
              <w:numPr>
                <w:ilvl w:val="0"/>
                <w:numId w:val="15"/>
              </w:numPr>
              <w:spacing w:before="60" w:after="60"/>
              <w:rPr>
                <w:sz w:val="24"/>
                <w:szCs w:val="24"/>
              </w:rPr>
            </w:pPr>
            <w:r w:rsidRPr="0034713E">
              <w:rPr>
                <w:sz w:val="24"/>
                <w:szCs w:val="24"/>
              </w:rPr>
              <w:t>Možnost porušení rozpočtové kázně z důvodu nesouladu legislativy v oblasti účetnictví</w:t>
            </w:r>
          </w:p>
          <w:p w:rsidR="0034713E" w:rsidRPr="0034713E" w:rsidP="0034713E">
            <w:pPr>
              <w:pStyle w:val="Pklad"/>
              <w:numPr>
                <w:ilvl w:val="0"/>
                <w:numId w:val="15"/>
              </w:numPr>
              <w:spacing w:before="60" w:after="60"/>
              <w:rPr>
                <w:sz w:val="24"/>
                <w:szCs w:val="24"/>
              </w:rPr>
            </w:pPr>
            <w:r w:rsidRPr="0034713E">
              <w:rPr>
                <w:sz w:val="24"/>
                <w:szCs w:val="24"/>
              </w:rPr>
              <w:t>Nepozornost při dodržování postupu v rámci stanovené metodické činnosti</w:t>
            </w:r>
          </w:p>
          <w:p w:rsidR="0034713E" w:rsidRPr="0034713E" w:rsidP="0034713E">
            <w:pPr>
              <w:pStyle w:val="Pklad"/>
              <w:numPr>
                <w:ilvl w:val="0"/>
                <w:numId w:val="15"/>
              </w:numPr>
              <w:spacing w:before="60" w:after="60"/>
              <w:rPr>
                <w:sz w:val="20"/>
              </w:rPr>
            </w:pPr>
            <w:r w:rsidRPr="0034713E">
              <w:rPr>
                <w:sz w:val="24"/>
                <w:szCs w:val="24"/>
              </w:rPr>
              <w:t>Nedostatek personálních kapacit</w:t>
            </w:r>
          </w:p>
        </w:tc>
      </w:tr>
      <w:tr w:rsidTr="00C56A37">
        <w:tblPrEx>
          <w:tblW w:w="9273" w:type="dxa"/>
          <w:tblInd w:w="113" w:type="dxa"/>
          <w:tblLayout w:type="fixed"/>
          <w:tblCellMar>
            <w:left w:w="70" w:type="dxa"/>
            <w:right w:w="70" w:type="dxa"/>
          </w:tblCellMar>
          <w:tblLook w:val="04A0"/>
        </w:tblPrEx>
        <w:trPr>
          <w:trHeight w:hRule="exact" w:val="46"/>
        </w:trPr>
        <w:tc>
          <w:tcPr>
            <w:tcW w:w="9273" w:type="dxa"/>
            <w:tcBorders>
              <w:top w:val="single" w:sz="24" w:space="0" w:color="D9D9D9" w:themeColor="background1" w:themeShade="D9"/>
              <w:left w:val="nil"/>
              <w:bottom w:val="single" w:sz="24" w:space="0" w:color="C00000"/>
              <w:right w:val="nil"/>
            </w:tcBorders>
            <w:shd w:val="clear" w:color="auto" w:fill="D9D9D9" w:themeFill="background1" w:themeFillShade="D9"/>
            <w:tcMar>
              <w:top w:w="28" w:type="dxa"/>
              <w:left w:w="113" w:type="dxa"/>
              <w:bottom w:w="28" w:type="dxa"/>
              <w:right w:w="113" w:type="dxa"/>
            </w:tcMar>
            <w:vAlign w:val="center"/>
          </w:tcPr>
          <w:p w:rsidR="0034713E" w:rsidRPr="00A5439B" w:rsidP="00C56A37">
            <w:pPr>
              <w:pStyle w:val="PkladFooter"/>
            </w:pPr>
          </w:p>
        </w:tc>
      </w:tr>
    </w:tbl>
    <w:p w:rsidR="003F599C" w:rsidRPr="000C7500" w:rsidP="003F599C">
      <w:pPr>
        <w:pStyle w:val="Subtitle"/>
        <w:rPr>
          <w:rFonts w:eastAsiaTheme="majorEastAsia" w:cstheme="majorBidi"/>
          <w:bCs/>
          <w:caps/>
          <w:color w:val="C00000"/>
          <w:sz w:val="24"/>
          <w:szCs w:val="26"/>
        </w:rPr>
      </w:pPr>
      <w:r w:rsidRPr="000C7500">
        <w:rPr>
          <w:rFonts w:eastAsiaTheme="majorEastAsia" w:cstheme="majorBidi"/>
          <w:bCs/>
          <w:caps/>
          <w:color w:val="C00000"/>
          <w:sz w:val="24"/>
          <w:szCs w:val="26"/>
        </w:rPr>
        <w:t>Jak identifikovat rizika?</w:t>
      </w:r>
    </w:p>
    <w:p w:rsidR="003F599C" w:rsidP="003F599C">
      <w:r>
        <w:t>Identifikace rizika je především myšlenkový proces, jehož podstatou je zamyšlení se nad konkrétními situacemi, které mohou v budoucnosti nastat a negativně ovlivnit plnění stanoveného úkolu. Identifikace se musí vždy vztahovat ke konkrétnímu úkolu. V případě složitějších úkolů lze využít i jiné zp</w:t>
      </w:r>
      <w:r w:rsidR="000C7500">
        <w:t>ůsoby identifikace rizik, např. </w:t>
      </w:r>
      <w:r>
        <w:t>brainstorming (zjednodušeně jde o zamyšlení se ve skupině)</w:t>
      </w:r>
      <w:r>
        <w:rPr>
          <w:rStyle w:val="FootnoteReference"/>
        </w:rPr>
        <w:footnoteReference w:id="3"/>
      </w:r>
      <w:r>
        <w:t xml:space="preserve">, srovnání s obdobnými situacemi, které se řešily v minulosti, srovnání s jinými útvary nebo </w:t>
      </w:r>
      <w:r w:rsidR="00B21941">
        <w:t> </w:t>
      </w:r>
      <w:r>
        <w:t xml:space="preserve">(zjistit, jaké problémy se vyskytly a jak byly řešeny).    </w:t>
      </w:r>
    </w:p>
    <w:p w:rsidR="003F599C" w:rsidRPr="000C7500" w:rsidP="003F599C">
      <w:pPr>
        <w:pStyle w:val="Subtitle"/>
        <w:rPr>
          <w:rFonts w:eastAsiaTheme="majorEastAsia" w:cstheme="majorBidi"/>
          <w:bCs/>
          <w:caps/>
          <w:color w:val="C00000"/>
          <w:sz w:val="24"/>
          <w:szCs w:val="26"/>
        </w:rPr>
      </w:pPr>
      <w:r w:rsidRPr="000C7500">
        <w:rPr>
          <w:rFonts w:eastAsiaTheme="majorEastAsia" w:cstheme="majorBidi"/>
          <w:bCs/>
          <w:caps/>
          <w:color w:val="C00000"/>
          <w:sz w:val="24"/>
          <w:szCs w:val="26"/>
        </w:rPr>
        <w:t>Kdy provádět identifikaci rizik?</w:t>
      </w:r>
    </w:p>
    <w:p w:rsidR="003F599C" w:rsidP="001A4FE4">
      <w:pPr>
        <w:spacing w:after="0"/>
      </w:pPr>
      <w:r>
        <w:t>Identifikace rizik, jakož i cel</w:t>
      </w:r>
      <w:r w:rsidR="001C63A0">
        <w:t>é</w:t>
      </w:r>
      <w:r>
        <w:t xml:space="preserve"> řízení rizik</w:t>
      </w:r>
      <w:r w:rsidR="001C63A0">
        <w:t>,</w:t>
      </w:r>
      <w:r>
        <w:t xml:space="preserve"> je kontinuální proces, tj. probíhá neustále. Rizika jsou </w:t>
      </w:r>
      <w:r w:rsidR="001C63A0">
        <w:t xml:space="preserve">tedy </w:t>
      </w:r>
      <w:r>
        <w:t>identifikována průběžně při plnění konkrétních úkolů (na</w:t>
      </w:r>
      <w:r w:rsidR="00B21941">
        <w:t>př. při </w:t>
      </w:r>
      <w:r>
        <w:t>zpracovávání materiálu).</w:t>
      </w:r>
    </w:p>
    <w:p w:rsidR="003F599C" w:rsidRPr="000C7500" w:rsidP="003F599C">
      <w:pPr>
        <w:pStyle w:val="Subtitle"/>
        <w:rPr>
          <w:rFonts w:eastAsiaTheme="majorEastAsia" w:cstheme="majorBidi"/>
          <w:bCs/>
          <w:caps/>
          <w:color w:val="C00000"/>
          <w:sz w:val="24"/>
          <w:szCs w:val="26"/>
        </w:rPr>
      </w:pPr>
      <w:r w:rsidRPr="000C7500">
        <w:rPr>
          <w:rFonts w:eastAsiaTheme="majorEastAsia" w:cstheme="majorBidi"/>
          <w:bCs/>
          <w:caps/>
          <w:color w:val="C00000"/>
          <w:sz w:val="24"/>
          <w:szCs w:val="26"/>
        </w:rPr>
        <w:t>Auditní stopa z identifikace rizik</w:t>
      </w:r>
    </w:p>
    <w:p w:rsidR="003F599C" w:rsidP="003F599C">
      <w:r>
        <w:t xml:space="preserve">Výstupem identifikace rizik je přiměřená auditní stopa (věrohodný a srozumitelný záznam, jehož podstatou je správně formulované riziko). Riziko je zaznamenáváno primárně do dokumentů, které plnění konkrétního úkolu doprovází. </w:t>
      </w:r>
    </w:p>
    <w:p w:rsidR="003F599C" w:rsidP="003F599C">
      <w:r>
        <w:t xml:space="preserve">Auditní stopou je i výstup z brainstormingu v případě, že byl k identifikaci využit. </w:t>
      </w:r>
    </w:p>
    <w:p w:rsidR="003F599C" w:rsidP="003F599C"/>
    <w:tbl>
      <w:tblPr>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
      <w:tblGrid>
        <w:gridCol w:w="9185"/>
      </w:tblGrid>
      <w:tr w:rsidTr="000C7500">
        <w:tblPrEx>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Ex>
        <w:trPr>
          <w:trHeight w:val="454"/>
          <w:tblHeader/>
        </w:trPr>
        <w:tc>
          <w:tcPr>
            <w:tcW w:w="9185" w:type="dxa"/>
            <w:tcBorders>
              <w:top w:val="nil"/>
              <w:left w:val="nil"/>
              <w:bottom w:val="nil"/>
              <w:right w:val="nil"/>
            </w:tcBorders>
            <w:shd w:val="clear" w:color="auto" w:fill="00B0F0"/>
            <w:tcMar>
              <w:top w:w="28" w:type="dxa"/>
              <w:left w:w="113" w:type="dxa"/>
              <w:bottom w:w="28" w:type="dxa"/>
              <w:right w:w="113" w:type="dxa"/>
            </w:tcMar>
            <w:vAlign w:val="center"/>
          </w:tcPr>
          <w:p w:rsidR="000C7500" w:rsidRPr="00575260" w:rsidP="00575260">
            <w:pPr>
              <w:pStyle w:val="ListParagraph"/>
              <w:keepNext/>
              <w:numPr>
                <w:ilvl w:val="0"/>
                <w:numId w:val="13"/>
              </w:numPr>
              <w:spacing w:before="40" w:after="40" w:line="240" w:lineRule="auto"/>
              <w:ind w:left="371" w:right="127" w:hanging="284"/>
              <w:contextualSpacing w:val="0"/>
              <w:rPr>
                <w:rFonts w:ascii="Segoe UI Semibold" w:hAnsi="Segoe UI Semibold" w:cs="Arial"/>
                <w:b/>
                <w:bCs/>
                <w:color w:val="FFFFFF"/>
                <w:sz w:val="24"/>
                <w:szCs w:val="24"/>
              </w:rPr>
            </w:pPr>
            <w:r w:rsidRPr="00575260">
              <w:rPr>
                <w:rFonts w:ascii="Segoe UI Semibold" w:hAnsi="Segoe UI Semibold" w:cs="Arial"/>
                <w:b/>
                <w:bCs/>
                <w:color w:val="FFFFFF"/>
                <w:sz w:val="24"/>
                <w:szCs w:val="24"/>
              </w:rPr>
              <w:t>Příklad použití v</w:t>
            </w:r>
            <w:r w:rsidRPr="00575260" w:rsidR="00CA73F7">
              <w:rPr>
                <w:rFonts w:ascii="Segoe UI Semibold" w:hAnsi="Segoe UI Semibold" w:cs="Arial"/>
                <w:b/>
                <w:bCs/>
                <w:color w:val="FFFFFF"/>
                <w:sz w:val="24"/>
                <w:szCs w:val="24"/>
              </w:rPr>
              <w:t> </w:t>
            </w:r>
            <w:r w:rsidRPr="00575260">
              <w:rPr>
                <w:rFonts w:ascii="Segoe UI Semibold" w:hAnsi="Segoe UI Semibold" w:cs="Arial"/>
                <w:b/>
                <w:bCs/>
                <w:color w:val="FFFFFF"/>
                <w:sz w:val="24"/>
                <w:szCs w:val="24"/>
              </w:rPr>
              <w:t>praxi</w:t>
            </w:r>
          </w:p>
        </w:tc>
      </w:tr>
      <w:tr w:rsidTr="00C56A37">
        <w:tblPrEx>
          <w:tblW w:w="9185" w:type="dxa"/>
          <w:tblInd w:w="113" w:type="dxa"/>
          <w:tblLayout w:type="fixed"/>
          <w:tblCellMar>
            <w:left w:w="70" w:type="dxa"/>
            <w:right w:w="70" w:type="dxa"/>
          </w:tblCellMar>
          <w:tblLook w:val="04A0"/>
        </w:tblPrEx>
        <w:trPr>
          <w:trHeight w:val="612"/>
        </w:trPr>
        <w:tc>
          <w:tcPr>
            <w:tcW w:w="9185"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0C7500" w:rsidRPr="00CA73F7" w:rsidP="00EB79E4">
            <w:pPr>
              <w:pStyle w:val="Pklad"/>
              <w:spacing w:before="80"/>
              <w:ind w:left="170" w:firstLine="0"/>
              <w:rPr>
                <w:sz w:val="24"/>
                <w:szCs w:val="24"/>
              </w:rPr>
            </w:pPr>
            <w:r w:rsidRPr="00CA73F7">
              <w:rPr>
                <w:sz w:val="24"/>
                <w:szCs w:val="24"/>
              </w:rPr>
              <w:t xml:space="preserve">Úkolem je připravit </w:t>
            </w:r>
            <w:r w:rsidRPr="00CA73F7" w:rsidR="002C2F57">
              <w:rPr>
                <w:sz w:val="24"/>
                <w:szCs w:val="24"/>
              </w:rPr>
              <w:t xml:space="preserve">vyjádření </w:t>
            </w:r>
            <w:r w:rsidRPr="00CA73F7" w:rsidR="002C2F57">
              <w:rPr>
                <w:i/>
                <w:sz w:val="24"/>
                <w:szCs w:val="24"/>
              </w:rPr>
              <w:t>vedoucího orgánu veřejné správy</w:t>
            </w:r>
            <w:r w:rsidRPr="00CA73F7" w:rsidR="002C2F57">
              <w:rPr>
                <w:sz w:val="24"/>
                <w:szCs w:val="24"/>
              </w:rPr>
              <w:t xml:space="preserve"> </w:t>
            </w:r>
            <w:r w:rsidRPr="00CA73F7">
              <w:rPr>
                <w:sz w:val="24"/>
                <w:szCs w:val="24"/>
              </w:rPr>
              <w:t>do konce pracovní doby. Odpověď bude zpr</w:t>
            </w:r>
            <w:r w:rsidRPr="00CA73F7" w:rsidR="002C2F57">
              <w:rPr>
                <w:sz w:val="24"/>
                <w:szCs w:val="24"/>
              </w:rPr>
              <w:t xml:space="preserve">acovávaná formou dopisu </w:t>
            </w:r>
            <w:r w:rsidRPr="00CA73F7" w:rsidR="002C2F57">
              <w:rPr>
                <w:i/>
                <w:sz w:val="24"/>
                <w:szCs w:val="24"/>
              </w:rPr>
              <w:t>vedoucího orgánu veřejné správy</w:t>
            </w:r>
            <w:r w:rsidRPr="00CA73F7">
              <w:rPr>
                <w:sz w:val="24"/>
                <w:szCs w:val="24"/>
              </w:rPr>
              <w:t xml:space="preserve">. Podstatou úkolu je poskytnout úplnou a věcně správnou odpověď. Zaměstnanec, kterému je daný úkol svěřen, by měl v rámci přípravy konkrétní odpovědi provést úvahu, s čím může být </w:t>
            </w:r>
            <w:r w:rsidRPr="00CA73F7" w:rsidR="002C2F57">
              <w:rPr>
                <w:i/>
                <w:sz w:val="24"/>
                <w:szCs w:val="24"/>
              </w:rPr>
              <w:t>vedoucí orgánu veřejné správy</w:t>
            </w:r>
            <w:r w:rsidR="00CA73F7">
              <w:rPr>
                <w:sz w:val="24"/>
                <w:szCs w:val="24"/>
              </w:rPr>
              <w:t xml:space="preserve"> následně konfrontován ze </w:t>
            </w:r>
            <w:r w:rsidRPr="00CA73F7">
              <w:rPr>
                <w:sz w:val="24"/>
                <w:szCs w:val="24"/>
              </w:rPr>
              <w:t>strany adr</w:t>
            </w:r>
            <w:r w:rsidRPr="00CA73F7" w:rsidR="002C2F57">
              <w:rPr>
                <w:sz w:val="24"/>
                <w:szCs w:val="24"/>
              </w:rPr>
              <w:t xml:space="preserve">esáta odpovědi, politických reprezentantů nebo </w:t>
            </w:r>
            <w:r w:rsidRPr="00CA73F7">
              <w:rPr>
                <w:sz w:val="24"/>
                <w:szCs w:val="24"/>
              </w:rPr>
              <w:t>médií.  Riziko v tomto případě spočívá v tom, že pokud dojde ke konfron</w:t>
            </w:r>
            <w:r w:rsidR="00EB79E4">
              <w:rPr>
                <w:sz w:val="24"/>
                <w:szCs w:val="24"/>
              </w:rPr>
              <w:t>taci (událost v budoucnu, která </w:t>
            </w:r>
            <w:r w:rsidRPr="00CA73F7">
              <w:rPr>
                <w:sz w:val="24"/>
                <w:szCs w:val="24"/>
              </w:rPr>
              <w:t xml:space="preserve">může a nemusí nastat), </w:t>
            </w:r>
            <w:r w:rsidRPr="00CA73F7" w:rsidR="002C2F57">
              <w:rPr>
                <w:i/>
                <w:sz w:val="24"/>
                <w:szCs w:val="24"/>
              </w:rPr>
              <w:t>vedoucí orgánu veřejné správy</w:t>
            </w:r>
            <w:r w:rsidRPr="00CA73F7">
              <w:rPr>
                <w:sz w:val="24"/>
                <w:szCs w:val="24"/>
              </w:rPr>
              <w:t xml:space="preserve"> nebude mít dostatek podkladů pro adekvátní a včasnou reakci (pokud na</w:t>
            </w:r>
            <w:r w:rsidR="00CA73F7">
              <w:rPr>
                <w:sz w:val="24"/>
                <w:szCs w:val="24"/>
              </w:rPr>
              <w:t>stane potenciální událost, bude </w:t>
            </w:r>
            <w:r w:rsidRPr="00CA73F7">
              <w:rPr>
                <w:sz w:val="24"/>
                <w:szCs w:val="24"/>
              </w:rPr>
              <w:t xml:space="preserve">mít negativní dopad na plnění úkolu – úkolem je poskytnutou úplnou a věcně správnou odpověď). Takto identifikované riziko odpovědný zaměstnanec zhodnotí, tj. zhodnotí, jaká je pravděpodobnost, že může nastat a jak závažný dopad bude mít. Pokud odpovědný zaměstnanec vyhodnotí, že pravděpodobnost je vysoká a dopad zásadní, musí přijmout přiměřená opatření – tzn., že výsledek své úvahy promítne do textu dopisu, případně vypracuje </w:t>
            </w:r>
            <w:r w:rsidRPr="00CA73F7" w:rsidR="002C2F57">
              <w:rPr>
                <w:sz w:val="24"/>
                <w:szCs w:val="24"/>
              </w:rPr>
              <w:t>doplňující podklad</w:t>
            </w:r>
            <w:r w:rsidRPr="00CA73F7">
              <w:rPr>
                <w:sz w:val="24"/>
                <w:szCs w:val="24"/>
              </w:rPr>
              <w:t xml:space="preserve"> jen pro potřeby </w:t>
            </w:r>
            <w:r w:rsidRPr="00CA73F7" w:rsidR="002C2F57">
              <w:rPr>
                <w:i/>
                <w:sz w:val="24"/>
                <w:szCs w:val="24"/>
              </w:rPr>
              <w:t>vedoucího orgánu veřejné správy</w:t>
            </w:r>
            <w:r w:rsidRPr="00CA73F7">
              <w:rPr>
                <w:sz w:val="24"/>
                <w:szCs w:val="24"/>
              </w:rPr>
              <w:t>, kde uvede informaci o </w:t>
            </w:r>
            <w:r w:rsidR="00CA73F7">
              <w:rPr>
                <w:sz w:val="24"/>
                <w:szCs w:val="24"/>
              </w:rPr>
              <w:t>relevantních souvislostech nebo </w:t>
            </w:r>
            <w:r w:rsidRPr="00CA73F7">
              <w:rPr>
                <w:sz w:val="24"/>
                <w:szCs w:val="24"/>
              </w:rPr>
              <w:t xml:space="preserve">přímo dotazy, které mohou být následně vzneseny. </w:t>
            </w:r>
          </w:p>
        </w:tc>
      </w:tr>
      <w:tr w:rsidTr="002C2F57">
        <w:tblPrEx>
          <w:tblW w:w="9185" w:type="dxa"/>
          <w:tblInd w:w="113" w:type="dxa"/>
          <w:tblLayout w:type="fixed"/>
          <w:tblCellMar>
            <w:left w:w="70" w:type="dxa"/>
            <w:right w:w="70" w:type="dxa"/>
          </w:tblCellMar>
          <w:tblLook w:val="04A0"/>
        </w:tblPrEx>
        <w:trPr>
          <w:trHeight w:hRule="exact" w:val="113"/>
        </w:trPr>
        <w:tc>
          <w:tcPr>
            <w:tcW w:w="9185" w:type="dxa"/>
            <w:tcBorders>
              <w:top w:val="single" w:sz="24" w:space="0" w:color="D9D9D9" w:themeColor="background1" w:themeShade="D9"/>
              <w:left w:val="nil"/>
              <w:bottom w:val="single" w:sz="24" w:space="0" w:color="00B0F0"/>
              <w:right w:val="nil"/>
            </w:tcBorders>
            <w:shd w:val="clear" w:color="auto" w:fill="D9D9D9" w:themeFill="background1" w:themeFillShade="D9"/>
            <w:tcMar>
              <w:top w:w="28" w:type="dxa"/>
              <w:left w:w="113" w:type="dxa"/>
              <w:bottom w:w="28" w:type="dxa"/>
              <w:right w:w="113" w:type="dxa"/>
            </w:tcMar>
            <w:vAlign w:val="center"/>
          </w:tcPr>
          <w:p w:rsidR="000C7500" w:rsidRPr="00A5439B" w:rsidP="00C56A37">
            <w:pPr>
              <w:pStyle w:val="PkladFooter"/>
            </w:pPr>
          </w:p>
        </w:tc>
      </w:tr>
    </w:tbl>
    <w:p w:rsidR="003F599C" w:rsidP="003F599C"/>
    <w:p w:rsidR="003F599C" w:rsidRPr="00CA73F7" w:rsidP="00CA73F7">
      <w:pPr>
        <w:pStyle w:val="Kapitolavodn"/>
        <w:jc w:val="left"/>
        <w:rPr>
          <w:rFonts w:ascii="Segoe UI" w:hAnsi="Segoe UI" w:cs="Segoe UI"/>
          <w:b w:val="0"/>
          <w:color w:val="1B6092" w:themeColor="text2" w:themeShade="BF"/>
          <w:sz w:val="36"/>
          <w:szCs w:val="36"/>
        </w:rPr>
      </w:pPr>
      <w:bookmarkStart w:id="12" w:name="_Toc532452852"/>
      <w:r w:rsidRPr="00CA73F7">
        <w:rPr>
          <w:rFonts w:ascii="Segoe UI" w:hAnsi="Segoe UI" w:cs="Segoe UI"/>
          <w:b w:val="0"/>
          <w:caps w:val="0"/>
          <w:color w:val="1B6092" w:themeColor="text2" w:themeShade="BF"/>
          <w:sz w:val="36"/>
          <w:szCs w:val="36"/>
        </w:rPr>
        <w:t>3.</w:t>
      </w:r>
      <w:r>
        <w:rPr>
          <w:rFonts w:ascii="Segoe UI" w:hAnsi="Segoe UI" w:cs="Segoe UI"/>
          <w:b w:val="0"/>
          <w:color w:val="1B6092" w:themeColor="text2" w:themeShade="BF"/>
          <w:sz w:val="36"/>
          <w:szCs w:val="36"/>
        </w:rPr>
        <w:t xml:space="preserve"> </w:t>
      </w:r>
      <w:r w:rsidRPr="00CA73F7">
        <w:rPr>
          <w:rFonts w:ascii="Segoe UI" w:hAnsi="Segoe UI" w:cs="Segoe UI"/>
          <w:b w:val="0"/>
          <w:color w:val="1B6092" w:themeColor="text2" w:themeShade="BF"/>
          <w:sz w:val="36"/>
          <w:szCs w:val="36"/>
        </w:rPr>
        <w:t>Hodnocení (analýza) rizik</w:t>
      </w:r>
      <w:bookmarkEnd w:id="12"/>
    </w:p>
    <w:p w:rsidR="003F599C" w:rsidRPr="00CA73F7" w:rsidP="00EB79E4">
      <w:pPr>
        <w:pStyle w:val="Popisobrzku"/>
        <w:pBdr>
          <w:bottom w:val="none" w:sz="0" w:space="0" w:color="auto"/>
        </w:pBdr>
        <w:spacing w:line="276" w:lineRule="auto"/>
        <w:jc w:val="both"/>
        <w:rPr>
          <w:b w:val="0"/>
          <w:sz w:val="24"/>
          <w:szCs w:val="24"/>
        </w:rPr>
      </w:pPr>
      <w:r w:rsidRPr="00CA73F7">
        <w:rPr>
          <w:b w:val="0"/>
          <w:sz w:val="24"/>
          <w:szCs w:val="24"/>
        </w:rPr>
        <w:t xml:space="preserve">Cílem je za pomocí hodnocení určit rizika, která mají zásadní význam na plnění úkolů </w:t>
      </w:r>
      <w:r w:rsidRPr="00CA73F7" w:rsidR="00CA73F7">
        <w:rPr>
          <w:b w:val="0"/>
          <w:i/>
          <w:sz w:val="24"/>
          <w:szCs w:val="24"/>
        </w:rPr>
        <w:t>orgánu veřejné správy</w:t>
      </w:r>
      <w:r w:rsidRPr="00CA73F7">
        <w:rPr>
          <w:b w:val="0"/>
          <w:sz w:val="24"/>
          <w:szCs w:val="24"/>
        </w:rPr>
        <w:t xml:space="preserve"> a kter</w:t>
      </w:r>
      <w:r w:rsidR="00484F4F">
        <w:rPr>
          <w:b w:val="0"/>
          <w:sz w:val="24"/>
          <w:szCs w:val="24"/>
        </w:rPr>
        <w:t>á</w:t>
      </w:r>
      <w:r w:rsidRPr="00CA73F7">
        <w:rPr>
          <w:b w:val="0"/>
          <w:sz w:val="24"/>
          <w:szCs w:val="24"/>
        </w:rPr>
        <w:t xml:space="preserve"> je nutné řídit, aby nedošlo k ohrožení plnění úkolů </w:t>
      </w:r>
      <w:r w:rsidRPr="00CA73F7" w:rsidR="00CA73F7">
        <w:rPr>
          <w:b w:val="0"/>
          <w:i/>
          <w:sz w:val="24"/>
          <w:szCs w:val="24"/>
        </w:rPr>
        <w:t>orgánu veřejné správy</w:t>
      </w:r>
      <w:r w:rsidRPr="00CA73F7">
        <w:rPr>
          <w:b w:val="0"/>
          <w:sz w:val="24"/>
          <w:szCs w:val="24"/>
        </w:rPr>
        <w:t>. Vzhledem k</w:t>
      </w:r>
      <w:r w:rsidRPr="00CA73F7" w:rsidR="00CA73F7">
        <w:rPr>
          <w:b w:val="0"/>
          <w:sz w:val="24"/>
          <w:szCs w:val="24"/>
        </w:rPr>
        <w:t> </w:t>
      </w:r>
      <w:r w:rsidRPr="00CA73F7">
        <w:rPr>
          <w:b w:val="0"/>
          <w:sz w:val="24"/>
          <w:szCs w:val="24"/>
        </w:rPr>
        <w:t>množství rizik</w:t>
      </w:r>
      <w:r w:rsidR="00484F4F">
        <w:rPr>
          <w:b w:val="0"/>
          <w:sz w:val="24"/>
          <w:szCs w:val="24"/>
        </w:rPr>
        <w:t xml:space="preserve">, která lze v souvislosti s činností každého </w:t>
      </w:r>
      <w:r w:rsidRPr="003510C2" w:rsidR="00484F4F">
        <w:rPr>
          <w:b w:val="0"/>
          <w:i/>
          <w:sz w:val="24"/>
          <w:szCs w:val="24"/>
        </w:rPr>
        <w:t>orgánu veřejné správy</w:t>
      </w:r>
      <w:r w:rsidR="00484F4F">
        <w:rPr>
          <w:b w:val="0"/>
          <w:sz w:val="24"/>
          <w:szCs w:val="24"/>
        </w:rPr>
        <w:t xml:space="preserve"> vnímat, </w:t>
      </w:r>
      <w:r w:rsidRPr="00CA73F7">
        <w:rPr>
          <w:b w:val="0"/>
          <w:sz w:val="24"/>
          <w:szCs w:val="24"/>
        </w:rPr>
        <w:t xml:space="preserve">je třeba určit </w:t>
      </w:r>
      <w:r w:rsidR="00F53E0D">
        <w:rPr>
          <w:b w:val="0"/>
          <w:sz w:val="24"/>
          <w:szCs w:val="24"/>
        </w:rPr>
        <w:t>priority z pohledu dopadu a </w:t>
      </w:r>
      <w:r w:rsidRPr="00CA73F7">
        <w:rPr>
          <w:b w:val="0"/>
          <w:sz w:val="24"/>
          <w:szCs w:val="24"/>
        </w:rPr>
        <w:t xml:space="preserve">pravděpodobnosti jejich výskytu (s ohledem na skutečnost, že nelze řídit všechna rizika, která mohou negativně ovlivnit plnění daného úkolu). </w:t>
      </w:r>
    </w:p>
    <w:p w:rsidR="00852EE9" w:rsidP="00EB79E4">
      <w:pPr>
        <w:pStyle w:val="Popisobrzku"/>
        <w:pBdr>
          <w:bottom w:val="none" w:sz="0" w:space="0" w:color="auto"/>
        </w:pBdr>
        <w:spacing w:line="276" w:lineRule="auto"/>
        <w:jc w:val="both"/>
        <w:rPr>
          <w:b w:val="0"/>
          <w:sz w:val="24"/>
          <w:szCs w:val="24"/>
        </w:rPr>
      </w:pPr>
      <w:r w:rsidRPr="00CA73F7">
        <w:rPr>
          <w:b w:val="0"/>
          <w:sz w:val="24"/>
          <w:szCs w:val="24"/>
        </w:rPr>
        <w:t>Základní hodnoty, které analýza rizik zohledňuje, jsou míra významnosti rizika, dopad rizika a jeho pravděpodobnost. Míra významnosti</w:t>
      </w:r>
      <w:r w:rsidR="00FB64C2">
        <w:rPr>
          <w:b w:val="0"/>
          <w:sz w:val="24"/>
          <w:szCs w:val="24"/>
        </w:rPr>
        <w:t xml:space="preserve"> je součin hodnot dopadu a </w:t>
      </w:r>
      <w:r w:rsidRPr="00CA73F7">
        <w:rPr>
          <w:b w:val="0"/>
          <w:sz w:val="24"/>
          <w:szCs w:val="24"/>
        </w:rPr>
        <w:t xml:space="preserve">pravděpodobnosti, které se měří na škále 1 – 5 (1 nejnižší a 5 nejvyšší).  </w:t>
      </w:r>
    </w:p>
    <w:p w:rsidR="003F599C" w:rsidRPr="00CA73F7" w:rsidP="00EB79E4">
      <w:pPr>
        <w:pStyle w:val="Popisobrzku"/>
        <w:pBdr>
          <w:bottom w:val="none" w:sz="0" w:space="0" w:color="auto"/>
        </w:pBdr>
        <w:spacing w:line="276" w:lineRule="auto"/>
        <w:jc w:val="both"/>
        <w:rPr>
          <w:b w:val="0"/>
          <w:sz w:val="24"/>
          <w:szCs w:val="24"/>
        </w:rPr>
      </w:pPr>
      <w:r w:rsidRPr="00CA73F7">
        <w:rPr>
          <w:b w:val="0"/>
          <w:sz w:val="24"/>
          <w:szCs w:val="24"/>
        </w:rPr>
        <w:t xml:space="preserve">Hodnocení rizik je subjektivní, vychází zejména ze znalostí a zkušeností osoby, která hodnocení provádí. Pro </w:t>
      </w:r>
      <w:r>
        <w:rPr>
          <w:b w:val="0"/>
          <w:sz w:val="24"/>
          <w:szCs w:val="24"/>
        </w:rPr>
        <w:t>zaměstnance</w:t>
      </w:r>
      <w:r w:rsidRPr="00CA73F7">
        <w:rPr>
          <w:b w:val="0"/>
          <w:sz w:val="24"/>
          <w:szCs w:val="24"/>
        </w:rPr>
        <w:t xml:space="preserve"> může mít určité riziko míru významnosti 2 (výskyt nepravděpodobný 1 a dopad málo významný 2), pro vedoucího zaměstnance však už 3, jelikož na základě zkušeností vyhodnotí dopad jako střední (3).</w:t>
      </w:r>
      <w:r>
        <w:rPr>
          <w:b w:val="0"/>
          <w:sz w:val="24"/>
          <w:szCs w:val="24"/>
        </w:rPr>
        <w:t xml:space="preserve"> Odchylky ve vnímání rizik v rámci jednotlivých útvarů a napříč organizací by však neměly být příliš velké </w:t>
      </w:r>
      <w:r w:rsidR="00EB79E4">
        <w:rPr>
          <w:b w:val="0"/>
          <w:sz w:val="24"/>
          <w:szCs w:val="24"/>
        </w:rPr>
        <w:t>a </w:t>
      </w:r>
      <w:r>
        <w:rPr>
          <w:b w:val="0"/>
          <w:sz w:val="24"/>
          <w:szCs w:val="24"/>
        </w:rPr>
        <w:t>v čase by mělo docházet k jejich sbližování (i to je jednou z rolí vedoucích zaměstnanců v systému řízení rizik)</w:t>
      </w:r>
    </w:p>
    <w:p w:rsidR="003F599C" w:rsidRPr="00F53E0D" w:rsidP="003F599C">
      <w:pPr>
        <w:pStyle w:val="Subtitle"/>
        <w:rPr>
          <w:rFonts w:eastAsiaTheme="majorEastAsia" w:cstheme="majorBidi"/>
          <w:bCs/>
          <w:caps/>
          <w:color w:val="C00000"/>
          <w:sz w:val="24"/>
          <w:szCs w:val="26"/>
        </w:rPr>
      </w:pPr>
      <w:r w:rsidRPr="00F53E0D">
        <w:rPr>
          <w:rFonts w:eastAsiaTheme="majorEastAsia" w:cstheme="majorBidi"/>
          <w:bCs/>
          <w:caps/>
          <w:color w:val="C00000"/>
          <w:sz w:val="24"/>
          <w:szCs w:val="26"/>
        </w:rPr>
        <w:t>Jak hodnotit rizika?</w:t>
      </w:r>
    </w:p>
    <w:p w:rsidR="003F599C" w:rsidRPr="00F53E0D" w:rsidP="00EB79E4">
      <w:pPr>
        <w:pStyle w:val="Popisobrzku"/>
        <w:pBdr>
          <w:bottom w:val="none" w:sz="0" w:space="0" w:color="auto"/>
        </w:pBdr>
        <w:spacing w:line="276" w:lineRule="auto"/>
        <w:jc w:val="both"/>
        <w:rPr>
          <w:b w:val="0"/>
          <w:sz w:val="24"/>
          <w:szCs w:val="24"/>
        </w:rPr>
      </w:pPr>
      <w:r w:rsidRPr="00F53E0D">
        <w:rPr>
          <w:b w:val="0"/>
          <w:sz w:val="24"/>
          <w:szCs w:val="24"/>
        </w:rPr>
        <w:t>Hodnocení rizik probíhá tak, že se ke každému iden</w:t>
      </w:r>
      <w:r w:rsidR="00EB79E4">
        <w:rPr>
          <w:b w:val="0"/>
          <w:sz w:val="24"/>
          <w:szCs w:val="24"/>
        </w:rPr>
        <w:t>tifikovanému riziku přiřadí dvě </w:t>
      </w:r>
      <w:r w:rsidRPr="00F53E0D">
        <w:rPr>
          <w:b w:val="0"/>
          <w:sz w:val="24"/>
          <w:szCs w:val="24"/>
        </w:rPr>
        <w:t xml:space="preserve">hodnoty – pravděpodobnost a dopad a následně se spočítá míra významnosti (pravděpodobnost x dopad).  </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Pravděpodobnost a dopad se měří na škále 1 – 5, přičemž:</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 xml:space="preserve">1 – výskyt nepravděpodobný a dopad zanedbatelný </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2 – výskyt málo pravděpodobný a dopad málo významný</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3 – výskyt pravděpodobný a dopad střední</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4 – výskyt velmi pravděpodobný a dopad významný</w:t>
      </w:r>
    </w:p>
    <w:p w:rsidR="003F599C" w:rsidRPr="00F53E0D" w:rsidP="00EB79E4">
      <w:pPr>
        <w:pStyle w:val="Popisobrzku"/>
        <w:keepNext/>
        <w:keepLines/>
        <w:pBdr>
          <w:bottom w:val="none" w:sz="0" w:space="0" w:color="auto"/>
        </w:pBdr>
        <w:spacing w:line="276" w:lineRule="auto"/>
        <w:jc w:val="both"/>
        <w:rPr>
          <w:b w:val="0"/>
          <w:sz w:val="24"/>
          <w:szCs w:val="24"/>
        </w:rPr>
      </w:pPr>
      <w:r w:rsidRPr="00F53E0D">
        <w:rPr>
          <w:b w:val="0"/>
          <w:sz w:val="24"/>
          <w:szCs w:val="24"/>
        </w:rPr>
        <w:t>5 – výskyt téměř jistý a dopad kritický.</w:t>
      </w:r>
    </w:p>
    <w:p w:rsidR="00F53E0D" w:rsidP="00F53E0D">
      <w:pPr>
        <w:pStyle w:val="Popisobrzku"/>
        <w:pBdr>
          <w:bottom w:val="none" w:sz="0" w:space="0" w:color="auto"/>
        </w:pBdr>
        <w:jc w:val="both"/>
        <w:rPr>
          <w:b w:val="0"/>
          <w:sz w:val="20"/>
        </w:rPr>
      </w:pPr>
    </w:p>
    <w:tbl>
      <w:tblPr>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
      <w:tblGrid>
        <w:gridCol w:w="9185"/>
      </w:tblGrid>
      <w:tr w:rsidTr="00C56A37">
        <w:tblPrEx>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Ex>
        <w:trPr>
          <w:trHeight w:val="454"/>
          <w:tblHeader/>
        </w:trPr>
        <w:tc>
          <w:tcPr>
            <w:tcW w:w="9185" w:type="dxa"/>
            <w:tcBorders>
              <w:top w:val="nil"/>
              <w:left w:val="nil"/>
              <w:bottom w:val="nil"/>
              <w:right w:val="nil"/>
            </w:tcBorders>
            <w:shd w:val="clear" w:color="auto" w:fill="00B0F0"/>
            <w:tcMar>
              <w:top w:w="28" w:type="dxa"/>
              <w:left w:w="113" w:type="dxa"/>
              <w:bottom w:w="28" w:type="dxa"/>
              <w:right w:w="113" w:type="dxa"/>
            </w:tcMar>
            <w:vAlign w:val="center"/>
          </w:tcPr>
          <w:p w:rsidR="00F53E0D" w:rsidRPr="00146A7B" w:rsidP="00C56A37">
            <w:pPr>
              <w:pStyle w:val="ListParagraph"/>
              <w:keepNext/>
              <w:numPr>
                <w:ilvl w:val="0"/>
                <w:numId w:val="13"/>
              </w:numPr>
              <w:spacing w:before="40" w:after="40" w:line="240" w:lineRule="auto"/>
              <w:ind w:left="371" w:right="127" w:hanging="284"/>
              <w:contextualSpacing w:val="0"/>
              <w:rPr>
                <w:rFonts w:ascii="Segoe UI Semibold" w:hAnsi="Segoe UI Semibold" w:cs="Arial"/>
                <w:b/>
                <w:bCs/>
                <w:color w:val="FFFFFF"/>
              </w:rPr>
            </w:pPr>
            <w:r w:rsidRPr="00146A7B">
              <w:rPr>
                <w:rFonts w:ascii="Segoe UI Semibold" w:hAnsi="Segoe UI Semibold" w:cs="Arial"/>
                <w:b/>
                <w:bCs/>
                <w:color w:val="FFFFFF"/>
                <w:sz w:val="24"/>
              </w:rPr>
              <w:t xml:space="preserve">Příklad </w:t>
            </w:r>
            <w:r>
              <w:rPr>
                <w:rFonts w:ascii="Segoe UI Semibold" w:hAnsi="Segoe UI Semibold" w:cs="Arial"/>
                <w:b/>
                <w:bCs/>
                <w:color w:val="FFFFFF"/>
                <w:sz w:val="24"/>
              </w:rPr>
              <w:t xml:space="preserve">použití v praxi </w:t>
            </w:r>
            <w:r w:rsidR="00D30C9D">
              <w:rPr>
                <w:rFonts w:ascii="Segoe UI Semibold" w:hAnsi="Segoe UI Semibold" w:cs="Arial"/>
                <w:b/>
                <w:bCs/>
                <w:color w:val="FFFFFF"/>
                <w:sz w:val="24"/>
              </w:rPr>
              <w:t>(1)</w:t>
            </w:r>
          </w:p>
        </w:tc>
      </w:tr>
      <w:tr w:rsidTr="00C56A37">
        <w:tblPrEx>
          <w:tblW w:w="9185" w:type="dxa"/>
          <w:tblInd w:w="113" w:type="dxa"/>
          <w:tblLayout w:type="fixed"/>
          <w:tblCellMar>
            <w:left w:w="70" w:type="dxa"/>
            <w:right w:w="70" w:type="dxa"/>
          </w:tblCellMar>
          <w:tblLook w:val="04A0"/>
        </w:tblPrEx>
        <w:trPr>
          <w:trHeight w:val="612"/>
        </w:trPr>
        <w:tc>
          <w:tcPr>
            <w:tcW w:w="9185"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F53E0D" w:rsidRPr="00CA3FFE" w:rsidP="00F53E0D">
            <w:pPr>
              <w:pStyle w:val="Pklad"/>
              <w:spacing w:before="80" w:after="80"/>
              <w:ind w:left="170" w:firstLine="0"/>
              <w:rPr>
                <w:b/>
                <w:sz w:val="24"/>
                <w:szCs w:val="24"/>
              </w:rPr>
            </w:pPr>
            <w:r w:rsidRPr="00CA3FFE">
              <w:rPr>
                <w:b/>
                <w:sz w:val="24"/>
                <w:szCs w:val="24"/>
              </w:rPr>
              <w:t>Identifikace rizika:</w:t>
            </w:r>
          </w:p>
          <w:p w:rsidR="00F53E0D" w:rsidRPr="00CA3FFE" w:rsidP="00F53E0D">
            <w:pPr>
              <w:pStyle w:val="Pklad"/>
              <w:spacing w:before="80" w:after="80"/>
              <w:ind w:left="170" w:firstLine="0"/>
              <w:rPr>
                <w:sz w:val="24"/>
                <w:szCs w:val="24"/>
              </w:rPr>
            </w:pPr>
            <w:r w:rsidRPr="00CA3FFE">
              <w:rPr>
                <w:sz w:val="24"/>
                <w:szCs w:val="24"/>
              </w:rPr>
              <w:t xml:space="preserve">Riziko: Nedostatek personálních kapacit </w:t>
            </w:r>
          </w:p>
          <w:p w:rsidR="00F53E0D" w:rsidRPr="00CA3FFE" w:rsidP="00F53E0D">
            <w:pPr>
              <w:pStyle w:val="Pklad"/>
              <w:spacing w:before="80" w:after="80"/>
              <w:ind w:left="170" w:firstLine="0"/>
              <w:rPr>
                <w:sz w:val="24"/>
                <w:szCs w:val="24"/>
              </w:rPr>
            </w:pPr>
            <w:r w:rsidRPr="00CA3FFE">
              <w:rPr>
                <w:sz w:val="24"/>
                <w:szCs w:val="24"/>
              </w:rPr>
              <w:t xml:space="preserve">Nízký počet zaměstnanců na jednotlivých útvarech bude negativně ovlivňovat chod oddělení, může zapříčinit neplnění úkolů útvaru resp. </w:t>
            </w:r>
            <w:r w:rsidRPr="00CA3FFE">
              <w:rPr>
                <w:i/>
                <w:sz w:val="24"/>
                <w:szCs w:val="24"/>
              </w:rPr>
              <w:t>orgánu veřejné správy</w:t>
            </w:r>
            <w:r w:rsidRPr="00CA3FFE">
              <w:rPr>
                <w:sz w:val="24"/>
                <w:szCs w:val="24"/>
              </w:rPr>
              <w:t xml:space="preserve">. </w:t>
            </w:r>
          </w:p>
          <w:p w:rsidR="00F53E0D" w:rsidRPr="00CA3FFE" w:rsidP="00F53E0D">
            <w:pPr>
              <w:pStyle w:val="Pklad"/>
              <w:spacing w:before="80" w:after="80"/>
              <w:ind w:left="170" w:firstLine="0"/>
              <w:rPr>
                <w:b/>
                <w:sz w:val="24"/>
                <w:szCs w:val="24"/>
              </w:rPr>
            </w:pPr>
            <w:r w:rsidRPr="00CA3FFE">
              <w:rPr>
                <w:b/>
                <w:sz w:val="24"/>
                <w:szCs w:val="24"/>
              </w:rPr>
              <w:t>Hodnocení rizika:</w:t>
            </w:r>
          </w:p>
          <w:p w:rsidR="00F53E0D" w:rsidRPr="00CA3FFE" w:rsidP="00F53E0D">
            <w:pPr>
              <w:pStyle w:val="Pklad"/>
              <w:spacing w:before="80" w:after="80"/>
              <w:ind w:left="170" w:firstLine="0"/>
              <w:rPr>
                <w:sz w:val="24"/>
                <w:szCs w:val="24"/>
              </w:rPr>
            </w:pPr>
            <w:r w:rsidRPr="00CA3FFE">
              <w:rPr>
                <w:sz w:val="24"/>
                <w:szCs w:val="24"/>
              </w:rPr>
              <w:t>Pravděpodobnost rizika: 4 – S ohledem na věko</w:t>
            </w:r>
            <w:r w:rsidRPr="00CA3FFE" w:rsidR="00FB64C2">
              <w:rPr>
                <w:sz w:val="24"/>
                <w:szCs w:val="24"/>
              </w:rPr>
              <w:t>vou strukturu zaměstnanců útvaru</w:t>
            </w:r>
            <w:r w:rsidRPr="00CA3FFE">
              <w:rPr>
                <w:sz w:val="24"/>
                <w:szCs w:val="24"/>
              </w:rPr>
              <w:t xml:space="preserve"> lze důvodně předpokládat, že část z nich v horizontu 2 let odejde do důchodu a část nastoupí na mateřskou / rodičovskou dovolenou. Vzhledem k situaci na trhu práce se obecně veřejný sektor potýká s nedostatkem kapacit a výhledově se tato situace nebude měnit.</w:t>
            </w:r>
          </w:p>
          <w:p w:rsidR="00F53E0D" w:rsidRPr="00CA3FFE" w:rsidP="00F53E0D">
            <w:pPr>
              <w:pStyle w:val="Pklad"/>
              <w:spacing w:before="80" w:after="80"/>
              <w:ind w:left="170" w:firstLine="0"/>
              <w:rPr>
                <w:sz w:val="24"/>
                <w:szCs w:val="24"/>
              </w:rPr>
            </w:pPr>
            <w:r w:rsidRPr="00CA3FFE">
              <w:rPr>
                <w:sz w:val="24"/>
                <w:szCs w:val="24"/>
              </w:rPr>
              <w:t xml:space="preserve">Dopad rizika: 4 – Jedná se o riziko s vysokým dopadem, které přinese snížení kvality služeb pro občany a v extrémním případě povede až k pozastavení spravovaných agend </w:t>
            </w:r>
            <w:r w:rsidRPr="00CA3FFE" w:rsidR="00FB64C2">
              <w:rPr>
                <w:i/>
                <w:sz w:val="24"/>
                <w:szCs w:val="24"/>
              </w:rPr>
              <w:t>orgánu veřejné správy</w:t>
            </w:r>
            <w:r w:rsidRPr="00CA3FFE">
              <w:rPr>
                <w:sz w:val="24"/>
                <w:szCs w:val="24"/>
              </w:rPr>
              <w:t xml:space="preserve">. </w:t>
            </w:r>
          </w:p>
          <w:p w:rsidR="00F53E0D" w:rsidRPr="00FB64C2" w:rsidP="00FB64C2">
            <w:pPr>
              <w:pStyle w:val="Pklad"/>
              <w:spacing w:before="80" w:after="80"/>
              <w:ind w:left="170" w:firstLine="0"/>
              <w:rPr>
                <w:sz w:val="20"/>
              </w:rPr>
            </w:pPr>
            <w:r w:rsidRPr="00CA3FFE">
              <w:rPr>
                <w:sz w:val="24"/>
                <w:szCs w:val="24"/>
              </w:rPr>
              <w:t xml:space="preserve">Míra významnosti rizika: 16 – </w:t>
            </w:r>
            <w:r w:rsidRPr="00CA3FFE">
              <w:rPr>
                <w:b/>
                <w:sz w:val="24"/>
                <w:szCs w:val="24"/>
              </w:rPr>
              <w:t>Vysoký význam</w:t>
            </w:r>
            <w:r w:rsidRPr="00CA3FFE">
              <w:rPr>
                <w:sz w:val="24"/>
                <w:szCs w:val="24"/>
              </w:rPr>
              <w:t xml:space="preserve"> - </w:t>
            </w:r>
            <w:r w:rsidR="001A4FE4">
              <w:rPr>
                <w:sz w:val="24"/>
                <w:szCs w:val="24"/>
              </w:rPr>
              <w:t>Relativní důležitost rizika je </w:t>
            </w:r>
            <w:r w:rsidRPr="00CA3FFE">
              <w:rPr>
                <w:sz w:val="24"/>
                <w:szCs w:val="24"/>
              </w:rPr>
              <w:t xml:space="preserve">v tomto případě vysoká, jelikož nízký počet zaměstnanců ohrozí plnění úkolů </w:t>
            </w:r>
            <w:r w:rsidRPr="00CA3FFE" w:rsidR="00FB64C2">
              <w:rPr>
                <w:i/>
                <w:sz w:val="24"/>
                <w:szCs w:val="24"/>
              </w:rPr>
              <w:t>orgánu veřejné správy</w:t>
            </w:r>
            <w:r w:rsidRPr="00CA3FFE">
              <w:rPr>
                <w:sz w:val="24"/>
                <w:szCs w:val="24"/>
              </w:rPr>
              <w:t>, stejně tak jako neúměrně zatíží současné zaměstnance a sníží jejich pracovní výkonost. Vysoká míra významnosti rizika znamená, že je potřeba přijmout adekvátní opatření k řízení rizik n</w:t>
            </w:r>
            <w:r w:rsidRPr="00CA3FFE" w:rsidR="00FB64C2">
              <w:rPr>
                <w:sz w:val="24"/>
                <w:szCs w:val="24"/>
              </w:rPr>
              <w:t>edostatku personálních kapacit.</w:t>
            </w:r>
          </w:p>
        </w:tc>
      </w:tr>
      <w:tr w:rsidTr="00C56A37">
        <w:tblPrEx>
          <w:tblW w:w="9185" w:type="dxa"/>
          <w:tblInd w:w="113" w:type="dxa"/>
          <w:tblLayout w:type="fixed"/>
          <w:tblCellMar>
            <w:left w:w="70" w:type="dxa"/>
            <w:right w:w="70" w:type="dxa"/>
          </w:tblCellMar>
          <w:tblLook w:val="04A0"/>
        </w:tblPrEx>
        <w:trPr>
          <w:trHeight w:hRule="exact" w:val="113"/>
        </w:trPr>
        <w:tc>
          <w:tcPr>
            <w:tcW w:w="9185" w:type="dxa"/>
            <w:tcBorders>
              <w:top w:val="single" w:sz="24" w:space="0" w:color="D9D9D9" w:themeColor="background1" w:themeShade="D9"/>
              <w:left w:val="nil"/>
              <w:bottom w:val="single" w:sz="24" w:space="0" w:color="00B0F0"/>
              <w:right w:val="nil"/>
            </w:tcBorders>
            <w:shd w:val="clear" w:color="auto" w:fill="D9D9D9" w:themeFill="background1" w:themeFillShade="D9"/>
            <w:tcMar>
              <w:top w:w="28" w:type="dxa"/>
              <w:left w:w="113" w:type="dxa"/>
              <w:bottom w:w="28" w:type="dxa"/>
              <w:right w:w="113" w:type="dxa"/>
            </w:tcMar>
            <w:vAlign w:val="center"/>
          </w:tcPr>
          <w:p w:rsidR="00F53E0D" w:rsidRPr="00A5439B" w:rsidP="00C56A37">
            <w:pPr>
              <w:pStyle w:val="PkladFooter"/>
            </w:pPr>
          </w:p>
        </w:tc>
      </w:tr>
    </w:tbl>
    <w:p w:rsidR="003F599C" w:rsidRPr="00FB64C2" w:rsidP="003F599C">
      <w:pPr>
        <w:pStyle w:val="Subtitle"/>
        <w:rPr>
          <w:rFonts w:eastAsiaTheme="majorEastAsia" w:cstheme="majorBidi"/>
          <w:bCs/>
          <w:caps/>
          <w:color w:val="C00000"/>
          <w:sz w:val="24"/>
          <w:szCs w:val="26"/>
        </w:rPr>
      </w:pPr>
      <w:r w:rsidRPr="00FB64C2">
        <w:rPr>
          <w:rFonts w:eastAsiaTheme="majorEastAsia" w:cstheme="majorBidi"/>
          <w:bCs/>
          <w:caps/>
          <w:color w:val="C00000"/>
          <w:sz w:val="24"/>
          <w:szCs w:val="26"/>
        </w:rPr>
        <w:t>Co je výstupem hodnocení rizik?</w:t>
      </w:r>
    </w:p>
    <w:p w:rsidR="003F599C" w:rsidRPr="00FB64C2" w:rsidP="00EB79E4">
      <w:pPr>
        <w:pStyle w:val="Popisobrzku"/>
        <w:pBdr>
          <w:bottom w:val="none" w:sz="0" w:space="0" w:color="auto"/>
        </w:pBdr>
        <w:spacing w:line="276" w:lineRule="auto"/>
        <w:jc w:val="both"/>
        <w:rPr>
          <w:b w:val="0"/>
          <w:sz w:val="24"/>
          <w:szCs w:val="24"/>
        </w:rPr>
      </w:pPr>
      <w:r w:rsidRPr="00FB64C2">
        <w:rPr>
          <w:b w:val="0"/>
          <w:sz w:val="24"/>
          <w:szCs w:val="24"/>
        </w:rPr>
        <w:t>Výstupem hodnocení rizik je informace o tom, jaká je míra významnosti jednotlivých rizik</w:t>
      </w:r>
      <w:r w:rsidR="00852EE9">
        <w:rPr>
          <w:b w:val="0"/>
          <w:sz w:val="24"/>
          <w:szCs w:val="24"/>
        </w:rPr>
        <w:t>,</w:t>
      </w:r>
      <w:r w:rsidRPr="00FB64C2">
        <w:rPr>
          <w:b w:val="0"/>
          <w:sz w:val="24"/>
          <w:szCs w:val="24"/>
        </w:rPr>
        <w:t xml:space="preserve"> a tedy i informace o tom, která rizika mají zásadní do</w:t>
      </w:r>
      <w:r w:rsidR="00FB64C2">
        <w:rPr>
          <w:b w:val="0"/>
          <w:sz w:val="24"/>
          <w:szCs w:val="24"/>
        </w:rPr>
        <w:t xml:space="preserve">pad na plnění daného úkolu, </w:t>
      </w:r>
      <w:r w:rsidR="00852EE9">
        <w:rPr>
          <w:b w:val="0"/>
          <w:sz w:val="24"/>
          <w:szCs w:val="24"/>
        </w:rPr>
        <w:t>a</w:t>
      </w:r>
      <w:r w:rsidR="001A4FE4">
        <w:rPr>
          <w:b w:val="0"/>
          <w:sz w:val="24"/>
          <w:szCs w:val="24"/>
        </w:rPr>
        <w:t> </w:t>
      </w:r>
      <w:r w:rsidRPr="00FB64C2">
        <w:rPr>
          <w:b w:val="0"/>
          <w:sz w:val="24"/>
          <w:szCs w:val="24"/>
        </w:rPr>
        <w:t xml:space="preserve">musí </w:t>
      </w:r>
      <w:r w:rsidR="00852EE9">
        <w:rPr>
          <w:b w:val="0"/>
          <w:sz w:val="24"/>
          <w:szCs w:val="24"/>
        </w:rPr>
        <w:t xml:space="preserve">k nim </w:t>
      </w:r>
      <w:r w:rsidRPr="00FB64C2">
        <w:rPr>
          <w:b w:val="0"/>
          <w:sz w:val="24"/>
          <w:szCs w:val="24"/>
        </w:rPr>
        <w:t xml:space="preserve">být přijata konkrétní opatření. Je nezbytné </w:t>
      </w:r>
      <w:r w:rsidR="001A4FE4">
        <w:rPr>
          <w:b w:val="0"/>
          <w:sz w:val="24"/>
          <w:szCs w:val="24"/>
        </w:rPr>
        <w:t>se soustředit na řízení rizik s </w:t>
      </w:r>
      <w:r w:rsidRPr="00FB64C2">
        <w:rPr>
          <w:b w:val="0"/>
          <w:sz w:val="24"/>
          <w:szCs w:val="24"/>
        </w:rPr>
        <w:t>vysokou mírou významn</w:t>
      </w:r>
      <w:r w:rsidR="00FB64C2">
        <w:rPr>
          <w:b w:val="0"/>
          <w:sz w:val="24"/>
          <w:szCs w:val="24"/>
        </w:rPr>
        <w:t>osti, rizika s nízkou mírou lze </w:t>
      </w:r>
      <w:r w:rsidRPr="00FB64C2">
        <w:rPr>
          <w:b w:val="0"/>
          <w:sz w:val="24"/>
          <w:szCs w:val="24"/>
        </w:rPr>
        <w:t>udržovat a sledovat:</w:t>
      </w:r>
    </w:p>
    <w:p w:rsidR="003F599C" w:rsidRPr="00FB64C2" w:rsidP="00EB79E4">
      <w:pPr>
        <w:pStyle w:val="Pkladodraen"/>
        <w:rPr>
          <w:sz w:val="24"/>
          <w:szCs w:val="24"/>
        </w:rPr>
      </w:pPr>
      <w:r w:rsidRPr="00FB64C2">
        <w:rPr>
          <w:sz w:val="24"/>
          <w:szCs w:val="24"/>
        </w:rPr>
        <w:t>1-8 nízká míra významnosti rizika</w:t>
      </w:r>
    </w:p>
    <w:p w:rsidR="003F599C" w:rsidRPr="00FB64C2" w:rsidP="00EB79E4">
      <w:pPr>
        <w:pStyle w:val="Pkladodraen"/>
        <w:rPr>
          <w:sz w:val="24"/>
          <w:szCs w:val="24"/>
        </w:rPr>
      </w:pPr>
      <w:r w:rsidRPr="00FB64C2">
        <w:rPr>
          <w:sz w:val="24"/>
          <w:szCs w:val="24"/>
        </w:rPr>
        <w:t>9-14 střední míra významnosti rizika</w:t>
      </w:r>
    </w:p>
    <w:p w:rsidR="003F599C" w:rsidRPr="00FB64C2" w:rsidP="00EB79E4">
      <w:pPr>
        <w:pStyle w:val="Pkladodraen"/>
        <w:rPr>
          <w:sz w:val="24"/>
          <w:szCs w:val="24"/>
        </w:rPr>
      </w:pPr>
      <w:r w:rsidRPr="00FB64C2">
        <w:rPr>
          <w:sz w:val="24"/>
          <w:szCs w:val="24"/>
        </w:rPr>
        <w:t>15-25 vysoká míra významnosti rizika</w:t>
      </w:r>
    </w:p>
    <w:p w:rsidR="003F599C" w:rsidRPr="00FB64C2" w:rsidP="00EB79E4">
      <w:pPr>
        <w:pStyle w:val="Popisobrzku"/>
        <w:pBdr>
          <w:bottom w:val="none" w:sz="0" w:space="0" w:color="auto"/>
        </w:pBdr>
        <w:spacing w:line="276" w:lineRule="auto"/>
        <w:jc w:val="both"/>
        <w:rPr>
          <w:b w:val="0"/>
          <w:sz w:val="24"/>
          <w:szCs w:val="24"/>
        </w:rPr>
      </w:pPr>
      <w:r w:rsidRPr="00FB64C2">
        <w:rPr>
          <w:b w:val="0"/>
          <w:sz w:val="24"/>
          <w:szCs w:val="24"/>
        </w:rPr>
        <w:t xml:space="preserve">K určení nejvýznamnějších rizik nemusí být vždy zpracovávaná tabulka a prováděn výpočet míry významnosti prostřednictvím výše uvedeného vzorce. </w:t>
      </w:r>
      <w:r w:rsidRPr="00FB64C2">
        <w:rPr>
          <w:sz w:val="24"/>
          <w:szCs w:val="24"/>
        </w:rPr>
        <w:t xml:space="preserve">Pokud odpovědný zaměstnanec umí zhodnotit míru významnosti rizika na základě svého odborného úsudku (např. na základě svých zkušeností s obdobnými případy), nemusí míru významnosti počítat.   </w:t>
      </w:r>
    </w:p>
    <w:p w:rsidR="003F599C" w:rsidRPr="00FB64C2" w:rsidP="00EB79E4">
      <w:pPr>
        <w:pStyle w:val="Popisobrzku"/>
        <w:pBdr>
          <w:bottom w:val="none" w:sz="0" w:space="0" w:color="auto"/>
        </w:pBdr>
        <w:spacing w:line="276" w:lineRule="auto"/>
        <w:jc w:val="both"/>
        <w:rPr>
          <w:b w:val="0"/>
          <w:sz w:val="24"/>
          <w:szCs w:val="24"/>
        </w:rPr>
      </w:pPr>
      <w:r w:rsidRPr="00FB64C2">
        <w:rPr>
          <w:b w:val="0"/>
          <w:sz w:val="24"/>
          <w:szCs w:val="24"/>
        </w:rPr>
        <w:t>Výsledkem analýzy rizik může být i mapa rizik. Mapu rizik je možné v rámci řízení rizik používat, pokud to uzná útvar za vhodné a pomůže mu s rozpoznáním závažnějších rizik. Mapa rizik je grafické znázornění identifikovaných rizik s uvedením údaje o hodnotě pravděpodobnosti a dopadu (graf, na jehož svislé ose</w:t>
      </w:r>
      <w:r w:rsidR="00FB64C2">
        <w:rPr>
          <w:b w:val="0"/>
          <w:sz w:val="24"/>
          <w:szCs w:val="24"/>
        </w:rPr>
        <w:t xml:space="preserve"> je uvedena hodnota dopadu a na </w:t>
      </w:r>
      <w:r w:rsidRPr="00FB64C2">
        <w:rPr>
          <w:b w:val="0"/>
          <w:sz w:val="24"/>
          <w:szCs w:val="24"/>
        </w:rPr>
        <w:t>vodorovné ose hodnota pravděpodobnosti):</w:t>
      </w:r>
    </w:p>
    <w:p w:rsidR="003F599C" w:rsidP="00FB64C2">
      <w:pPr>
        <w:pStyle w:val="Popisobrzku"/>
        <w:pBdr>
          <w:bottom w:val="none" w:sz="0" w:space="0" w:color="auto"/>
        </w:pBdr>
        <w:jc w:val="both"/>
        <w:rPr>
          <w:b w:val="0"/>
          <w:sz w:val="20"/>
        </w:rPr>
      </w:pPr>
    </w:p>
    <w:p w:rsidR="003F599C" w:rsidP="00FB64C2">
      <w:pPr>
        <w:pStyle w:val="Popisobrzku"/>
        <w:pBdr>
          <w:bottom w:val="none" w:sz="0" w:space="0" w:color="auto"/>
        </w:pBdr>
        <w:jc w:val="both"/>
        <w:rPr>
          <w:b w:val="0"/>
          <w:sz w:val="20"/>
        </w:rPr>
      </w:pPr>
      <w:r>
        <w:rPr>
          <w:b w:val="0"/>
          <w:noProof/>
          <w:sz w:val="20"/>
          <w:lang w:eastAsia="cs-CZ"/>
        </w:rPr>
        <w:drawing>
          <wp:inline distT="0" distB="0" distL="0" distR="0">
            <wp:extent cx="3636335" cy="2477798"/>
            <wp:effectExtent l="0" t="0" r="254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958" cy="2482311"/>
                    </a:xfrm>
                    <a:prstGeom prst="rect">
                      <a:avLst/>
                    </a:prstGeom>
                    <a:noFill/>
                  </pic:spPr>
                </pic:pic>
              </a:graphicData>
            </a:graphic>
          </wp:inline>
        </w:drawing>
      </w:r>
    </w:p>
    <w:p w:rsidR="003F599C" w:rsidRPr="00FB64C2" w:rsidP="003F599C">
      <w:pPr>
        <w:pStyle w:val="Subtitle"/>
        <w:rPr>
          <w:rFonts w:eastAsiaTheme="majorEastAsia" w:cstheme="majorBidi"/>
          <w:bCs/>
          <w:caps/>
          <w:color w:val="C00000"/>
          <w:sz w:val="24"/>
          <w:szCs w:val="26"/>
        </w:rPr>
      </w:pPr>
      <w:r w:rsidRPr="00FB64C2">
        <w:rPr>
          <w:rFonts w:eastAsiaTheme="majorEastAsia" w:cstheme="majorBidi"/>
          <w:bCs/>
          <w:caps/>
          <w:color w:val="C00000"/>
          <w:sz w:val="24"/>
          <w:szCs w:val="26"/>
        </w:rPr>
        <w:t>Kdy provádět hodnocení rizik?</w:t>
      </w:r>
    </w:p>
    <w:p w:rsidR="003F599C" w:rsidP="003F599C">
      <w:pPr>
        <w:spacing w:after="0" w:line="240" w:lineRule="auto"/>
      </w:pPr>
      <w:r>
        <w:t xml:space="preserve">Hodnocení rizik musí vždy navazovat na identifikaci rizik. </w:t>
      </w:r>
    </w:p>
    <w:p w:rsidR="003F599C" w:rsidRPr="00FB64C2" w:rsidP="003F599C">
      <w:pPr>
        <w:pStyle w:val="Subtitle"/>
        <w:rPr>
          <w:rFonts w:eastAsiaTheme="majorEastAsia" w:cstheme="majorBidi"/>
          <w:bCs/>
          <w:caps/>
          <w:color w:val="C00000"/>
          <w:sz w:val="24"/>
          <w:szCs w:val="26"/>
        </w:rPr>
      </w:pPr>
      <w:r w:rsidRPr="00FB64C2">
        <w:rPr>
          <w:rFonts w:eastAsiaTheme="majorEastAsia" w:cstheme="majorBidi"/>
          <w:bCs/>
          <w:caps/>
          <w:color w:val="C00000"/>
          <w:sz w:val="24"/>
          <w:szCs w:val="26"/>
        </w:rPr>
        <w:t>Auditní stopa z hodnocení rizik</w:t>
      </w:r>
    </w:p>
    <w:p w:rsidR="003F599C" w:rsidP="00265D24">
      <w:r>
        <w:t>Auditní stopa z hodnocení rizik je nedílně spojena s auditní stopou z identifikace rizik. Riziko včetně své míry významnosti je zaznamenává</w:t>
      </w:r>
      <w:r w:rsidR="00D30C9D">
        <w:t>no primárně do dokumentů, které </w:t>
      </w:r>
      <w:r>
        <w:t>plnění kon</w:t>
      </w:r>
      <w:r w:rsidR="00D30C9D">
        <w:t xml:space="preserve">krétního úkolu doprovází (např. </w:t>
      </w:r>
      <w:r>
        <w:t xml:space="preserve">předkládací zpráva). </w:t>
      </w:r>
    </w:p>
    <w:p w:rsidR="003F599C" w:rsidP="00265D24">
      <w:r>
        <w:t xml:space="preserve">Auditní stopou z hodnocení rizik může být i katalog rizik (seznam rizik včetně stanovení konkrétní hodnoty pravděpodobnosti, dopadu a z toho vyplývající míru významnosti) nebo mapa rizik. </w:t>
      </w:r>
    </w:p>
    <w:p w:rsidR="003F599C" w:rsidRPr="00D30C9D" w:rsidP="00D30C9D">
      <w:pPr>
        <w:pStyle w:val="Kapitolavodn"/>
        <w:numPr>
          <w:ilvl w:val="0"/>
          <w:numId w:val="5"/>
        </w:numPr>
        <w:jc w:val="left"/>
        <w:rPr>
          <w:rFonts w:ascii="Segoe UI" w:hAnsi="Segoe UI" w:cs="Segoe UI"/>
          <w:b w:val="0"/>
          <w:color w:val="1B6092" w:themeColor="text2" w:themeShade="BF"/>
          <w:sz w:val="36"/>
          <w:szCs w:val="36"/>
        </w:rPr>
      </w:pPr>
      <w:bookmarkStart w:id="13" w:name="_Toc532452853"/>
      <w:r w:rsidRPr="00D30C9D">
        <w:rPr>
          <w:rFonts w:ascii="Segoe UI" w:hAnsi="Segoe UI" w:cs="Segoe UI"/>
          <w:b w:val="0"/>
          <w:color w:val="1B6092" w:themeColor="text2" w:themeShade="BF"/>
          <w:sz w:val="36"/>
          <w:szCs w:val="36"/>
        </w:rPr>
        <w:t>Přijímání opatření (řízení rizik)</w:t>
      </w:r>
      <w:bookmarkEnd w:id="13"/>
    </w:p>
    <w:p w:rsidR="003F599C" w:rsidP="00265D24">
      <w:r w:rsidRPr="00D30C9D">
        <w:rPr>
          <w:i/>
        </w:rPr>
        <w:t>Orgán veřejné správy</w:t>
      </w:r>
      <w:r>
        <w:t xml:space="preserve"> by se měl</w:t>
      </w:r>
      <w:r>
        <w:t xml:space="preserve"> prostřednictvím svých vedoucích zaměstnanců soustředit primárně na řízení rizik s vysokou, příp. střed</w:t>
      </w:r>
      <w:r>
        <w:t>ní mírou významnosti. U rizik s </w:t>
      </w:r>
      <w:r>
        <w:t xml:space="preserve">nízkou mírou významnosti lze doporučit taktiku udržování rizika. Primárně riziko řídí ten, </w:t>
      </w:r>
      <w:r w:rsidR="00022D03">
        <w:br/>
      </w:r>
      <w:r>
        <w:t>k jehož úkolu se vztahuje. Každé riziko by mělo být řízeno subsidiárně na té úrovni řízení, která je k tomu vybavena potřebnými znalostmi a kompetencemi. V opačném případě je potřeba riziko dobře popsat, pokusit se definovat vhodná opatření a včas předat informaci o něm na vyšší úroveň řízení.</w:t>
      </w:r>
    </w:p>
    <w:p w:rsidR="00D30C9D" w:rsidP="003F599C"/>
    <w:tbl>
      <w:tblPr>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
      <w:tblGrid>
        <w:gridCol w:w="9185"/>
      </w:tblGrid>
      <w:tr w:rsidTr="00C56A37">
        <w:tblPrEx>
          <w:tblW w:w="9185"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Ex>
        <w:trPr>
          <w:trHeight w:val="454"/>
          <w:tblHeader/>
        </w:trPr>
        <w:tc>
          <w:tcPr>
            <w:tcW w:w="9185" w:type="dxa"/>
            <w:tcBorders>
              <w:top w:val="nil"/>
              <w:left w:val="nil"/>
              <w:bottom w:val="nil"/>
              <w:right w:val="nil"/>
            </w:tcBorders>
            <w:shd w:val="clear" w:color="auto" w:fill="00B0F0"/>
            <w:tcMar>
              <w:top w:w="28" w:type="dxa"/>
              <w:left w:w="113" w:type="dxa"/>
              <w:bottom w:w="28" w:type="dxa"/>
              <w:right w:w="113" w:type="dxa"/>
            </w:tcMar>
            <w:vAlign w:val="center"/>
          </w:tcPr>
          <w:p w:rsidR="00D30C9D" w:rsidRPr="00146A7B" w:rsidP="00C56A37">
            <w:pPr>
              <w:pStyle w:val="ListParagraph"/>
              <w:keepNext/>
              <w:numPr>
                <w:ilvl w:val="0"/>
                <w:numId w:val="13"/>
              </w:numPr>
              <w:spacing w:before="40" w:after="40" w:line="240" w:lineRule="auto"/>
              <w:ind w:left="371" w:right="127" w:hanging="284"/>
              <w:contextualSpacing w:val="0"/>
              <w:rPr>
                <w:rFonts w:ascii="Segoe UI Semibold" w:hAnsi="Segoe UI Semibold" w:cs="Arial"/>
                <w:b/>
                <w:bCs/>
                <w:color w:val="FFFFFF"/>
              </w:rPr>
            </w:pPr>
            <w:r w:rsidRPr="00146A7B">
              <w:rPr>
                <w:rFonts w:ascii="Segoe UI Semibold" w:hAnsi="Segoe UI Semibold" w:cs="Arial"/>
                <w:b/>
                <w:bCs/>
                <w:color w:val="FFFFFF"/>
                <w:sz w:val="24"/>
              </w:rPr>
              <w:t xml:space="preserve">Příklad </w:t>
            </w:r>
            <w:r>
              <w:rPr>
                <w:rFonts w:ascii="Segoe UI Semibold" w:hAnsi="Segoe UI Semibold" w:cs="Arial"/>
                <w:b/>
                <w:bCs/>
                <w:color w:val="FFFFFF"/>
                <w:sz w:val="24"/>
              </w:rPr>
              <w:t>použití v praxi (2)</w:t>
            </w:r>
          </w:p>
        </w:tc>
      </w:tr>
      <w:tr w:rsidTr="00C56A37">
        <w:tblPrEx>
          <w:tblW w:w="9185" w:type="dxa"/>
          <w:tblInd w:w="113" w:type="dxa"/>
          <w:tblLayout w:type="fixed"/>
          <w:tblCellMar>
            <w:left w:w="70" w:type="dxa"/>
            <w:right w:w="70" w:type="dxa"/>
          </w:tblCellMar>
          <w:tblLook w:val="04A0"/>
        </w:tblPrEx>
        <w:trPr>
          <w:trHeight w:val="612"/>
        </w:trPr>
        <w:tc>
          <w:tcPr>
            <w:tcW w:w="9185"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D30C9D" w:rsidRPr="00CA3FFE" w:rsidP="00265D24">
            <w:pPr>
              <w:pStyle w:val="Pklad"/>
              <w:spacing w:before="80" w:after="80"/>
              <w:ind w:left="170" w:firstLine="0"/>
              <w:rPr>
                <w:b/>
                <w:sz w:val="24"/>
                <w:szCs w:val="24"/>
              </w:rPr>
            </w:pPr>
            <w:r w:rsidRPr="00CA3FFE">
              <w:rPr>
                <w:b/>
                <w:sz w:val="24"/>
                <w:szCs w:val="24"/>
              </w:rPr>
              <w:t>Identifikace rizika:</w:t>
            </w:r>
          </w:p>
          <w:p w:rsidR="00D30C9D" w:rsidRPr="00CA3FFE" w:rsidP="00265D24">
            <w:pPr>
              <w:pStyle w:val="Pklad"/>
              <w:spacing w:before="80" w:after="80"/>
              <w:ind w:left="170" w:firstLine="0"/>
              <w:rPr>
                <w:sz w:val="24"/>
                <w:szCs w:val="24"/>
              </w:rPr>
            </w:pPr>
            <w:r w:rsidRPr="00CA3FFE">
              <w:rPr>
                <w:sz w:val="24"/>
                <w:szCs w:val="24"/>
              </w:rPr>
              <w:t xml:space="preserve">Riziko: Nedostatek personálních kapacit </w:t>
            </w:r>
          </w:p>
          <w:p w:rsidR="00D30C9D" w:rsidRPr="00CA3FFE" w:rsidP="00265D24">
            <w:pPr>
              <w:pStyle w:val="Pklad"/>
              <w:spacing w:before="80" w:after="80"/>
              <w:ind w:left="170" w:firstLine="0"/>
              <w:rPr>
                <w:sz w:val="24"/>
                <w:szCs w:val="24"/>
              </w:rPr>
            </w:pPr>
            <w:r w:rsidRPr="00CA3FFE">
              <w:rPr>
                <w:sz w:val="24"/>
                <w:szCs w:val="24"/>
              </w:rPr>
              <w:t xml:space="preserve">Nízký počet zaměstnanců na jednotlivých útvarech bude negativně ovlivňovat chod oddělení, může zapříčinit neplnění úkolů útvaru resp. </w:t>
            </w:r>
            <w:r w:rsidRPr="00CA3FFE">
              <w:rPr>
                <w:i/>
                <w:sz w:val="24"/>
                <w:szCs w:val="24"/>
              </w:rPr>
              <w:t>orgánu veřejné správy</w:t>
            </w:r>
            <w:r w:rsidRPr="00CA3FFE">
              <w:rPr>
                <w:sz w:val="24"/>
                <w:szCs w:val="24"/>
              </w:rPr>
              <w:t xml:space="preserve">. </w:t>
            </w:r>
          </w:p>
          <w:p w:rsidR="00D30C9D" w:rsidRPr="00CA3FFE" w:rsidP="00265D24">
            <w:pPr>
              <w:pStyle w:val="Pklad"/>
              <w:spacing w:before="80" w:after="80"/>
              <w:ind w:left="170" w:firstLine="0"/>
              <w:rPr>
                <w:b/>
                <w:sz w:val="24"/>
                <w:szCs w:val="24"/>
              </w:rPr>
            </w:pPr>
            <w:r w:rsidRPr="00CA3FFE">
              <w:rPr>
                <w:b/>
                <w:sz w:val="24"/>
                <w:szCs w:val="24"/>
              </w:rPr>
              <w:t>Hodnocení rizika:</w:t>
            </w:r>
          </w:p>
          <w:p w:rsidR="00D30C9D" w:rsidRPr="00CA3FFE" w:rsidP="00265D24">
            <w:pPr>
              <w:pStyle w:val="Pklad"/>
              <w:spacing w:before="80" w:after="80"/>
              <w:ind w:left="170" w:firstLine="0"/>
              <w:rPr>
                <w:sz w:val="24"/>
                <w:szCs w:val="24"/>
              </w:rPr>
            </w:pPr>
            <w:r w:rsidRPr="00CA3FFE">
              <w:rPr>
                <w:sz w:val="24"/>
                <w:szCs w:val="24"/>
              </w:rPr>
              <w:t>Pravděpodobnost rizika: 4 – S ohledem na věkovou strukturu zaměstnanců útvaru lze důvodně předpokládat, že část z nich v horizontu 2 let odejde do důchodu a část nastoupí na mateřskou/rodičovskou dovolenou. Vzhledem k situaci na trhu práce se obecně veřejný sektor potýká s nedostatkem kapacit a výhledově se tato situace nebude měnit.</w:t>
            </w:r>
          </w:p>
          <w:p w:rsidR="00D30C9D" w:rsidRPr="00CA3FFE" w:rsidP="00265D24">
            <w:pPr>
              <w:pStyle w:val="Pklad"/>
              <w:spacing w:before="80" w:after="80"/>
              <w:ind w:left="170" w:firstLine="0"/>
              <w:rPr>
                <w:sz w:val="24"/>
                <w:szCs w:val="24"/>
              </w:rPr>
            </w:pPr>
            <w:r w:rsidRPr="00CA3FFE">
              <w:rPr>
                <w:sz w:val="24"/>
                <w:szCs w:val="24"/>
              </w:rPr>
              <w:t xml:space="preserve">Dopad rizika: 4 – Jedná se o riziko s vysokým dopadem, které přinese snížení kvality služeb pro občany a v extrémním případě povede až k pozastavení spravovaných agend </w:t>
            </w:r>
            <w:r w:rsidRPr="00CA3FFE">
              <w:rPr>
                <w:i/>
                <w:sz w:val="24"/>
                <w:szCs w:val="24"/>
              </w:rPr>
              <w:t>orgánu veřejné správy</w:t>
            </w:r>
            <w:r w:rsidRPr="00CA3FFE">
              <w:rPr>
                <w:sz w:val="24"/>
                <w:szCs w:val="24"/>
              </w:rPr>
              <w:t xml:space="preserve">. </w:t>
            </w:r>
          </w:p>
          <w:p w:rsidR="00D30C9D" w:rsidRPr="00CA3FFE" w:rsidP="00265D24">
            <w:pPr>
              <w:pStyle w:val="Pklad"/>
              <w:spacing w:before="80" w:after="80"/>
              <w:ind w:left="170" w:firstLine="0"/>
              <w:rPr>
                <w:sz w:val="24"/>
                <w:szCs w:val="24"/>
              </w:rPr>
            </w:pPr>
            <w:r w:rsidRPr="00CA3FFE">
              <w:rPr>
                <w:sz w:val="24"/>
                <w:szCs w:val="24"/>
              </w:rPr>
              <w:t xml:space="preserve">Míra významnosti rizika: 16 – </w:t>
            </w:r>
            <w:r w:rsidRPr="00CA3FFE">
              <w:rPr>
                <w:b/>
                <w:sz w:val="24"/>
                <w:szCs w:val="24"/>
              </w:rPr>
              <w:t>Vysoký význam</w:t>
            </w:r>
            <w:r w:rsidRPr="00CA3FFE">
              <w:rPr>
                <w:sz w:val="24"/>
                <w:szCs w:val="24"/>
              </w:rPr>
              <w:t xml:space="preserve"> - </w:t>
            </w:r>
            <w:r w:rsidR="00265D24">
              <w:rPr>
                <w:sz w:val="24"/>
                <w:szCs w:val="24"/>
              </w:rPr>
              <w:t>Relativní důležitost rizika je </w:t>
            </w:r>
            <w:r w:rsidRPr="00CA3FFE">
              <w:rPr>
                <w:sz w:val="24"/>
                <w:szCs w:val="24"/>
              </w:rPr>
              <w:t xml:space="preserve">v tomto případě vysoká, jelikož nízký počet zaměstnanců ohrozí plnění úkolů </w:t>
            </w:r>
            <w:r w:rsidRPr="00CA3FFE">
              <w:rPr>
                <w:i/>
                <w:sz w:val="24"/>
                <w:szCs w:val="24"/>
              </w:rPr>
              <w:t>orgánu veřejné správy</w:t>
            </w:r>
            <w:r w:rsidRPr="00CA3FFE">
              <w:rPr>
                <w:sz w:val="24"/>
                <w:szCs w:val="24"/>
              </w:rPr>
              <w:t>, stejně tak jako neúměrně zatíží současné zaměstnance a sníží jejich pracovní výkonost. Vysoká míra významnosti rizika znamená, že je potřeba přijmout adekvátní opatření k řízení rizik nedostatku personálních kapacit.</w:t>
            </w:r>
          </w:p>
          <w:p w:rsidR="00D30C9D" w:rsidRPr="00CA3FFE" w:rsidP="00265D24">
            <w:pPr>
              <w:pStyle w:val="Pklad"/>
              <w:spacing w:before="80" w:after="80"/>
              <w:ind w:left="170" w:firstLine="0"/>
              <w:rPr>
                <w:b/>
                <w:sz w:val="24"/>
                <w:szCs w:val="24"/>
              </w:rPr>
            </w:pPr>
            <w:r w:rsidRPr="00CA3FFE">
              <w:rPr>
                <w:b/>
                <w:sz w:val="24"/>
                <w:szCs w:val="24"/>
              </w:rPr>
              <w:t xml:space="preserve">Opatření: </w:t>
            </w:r>
          </w:p>
          <w:p w:rsidR="00D30C9D" w:rsidRPr="00CA3FFE" w:rsidP="00265D24">
            <w:pPr>
              <w:pStyle w:val="Pklad"/>
              <w:spacing w:before="80" w:after="80"/>
              <w:ind w:firstLine="0"/>
              <w:rPr>
                <w:sz w:val="24"/>
                <w:szCs w:val="24"/>
              </w:rPr>
            </w:pPr>
            <w:r w:rsidRPr="00CA3FFE">
              <w:rPr>
                <w:sz w:val="24"/>
                <w:szCs w:val="24"/>
              </w:rPr>
              <w:t>Ve výše uvedeném případě, nelze ovli</w:t>
            </w:r>
            <w:r w:rsidR="00265D24">
              <w:rPr>
                <w:sz w:val="24"/>
                <w:szCs w:val="24"/>
              </w:rPr>
              <w:t>vnit pravděpodobnost odchodu na </w:t>
            </w:r>
            <w:r w:rsidRPr="00CA3FFE">
              <w:rPr>
                <w:sz w:val="24"/>
                <w:szCs w:val="24"/>
              </w:rPr>
              <w:t>mateřskou/rodičovskou dovolenou. Pravděp</w:t>
            </w:r>
            <w:r w:rsidR="00265D24">
              <w:rPr>
                <w:sz w:val="24"/>
                <w:szCs w:val="24"/>
              </w:rPr>
              <w:t>odobnost odchodu do důchodu lze </w:t>
            </w:r>
            <w:r w:rsidRPr="00CA3FFE">
              <w:rPr>
                <w:sz w:val="24"/>
                <w:szCs w:val="24"/>
              </w:rPr>
              <w:t xml:space="preserve">snížit jen částečně – např. motivací zaměstnance, aby zůstal pracovat navzdory důchodovému věku (v případě, že mu to zdravotní a rodinné poměry umožní). </w:t>
            </w:r>
          </w:p>
          <w:p w:rsidR="00D30C9D" w:rsidRPr="00CA3FFE" w:rsidP="00265D24">
            <w:pPr>
              <w:pStyle w:val="Pklad"/>
              <w:numPr>
                <w:ilvl w:val="0"/>
                <w:numId w:val="16"/>
              </w:numPr>
              <w:spacing w:before="80" w:after="80"/>
              <w:rPr>
                <w:sz w:val="24"/>
                <w:szCs w:val="24"/>
              </w:rPr>
            </w:pPr>
            <w:r w:rsidRPr="00CA3FFE">
              <w:rPr>
                <w:sz w:val="24"/>
                <w:szCs w:val="24"/>
              </w:rPr>
              <w:t>Opatření na</w:t>
            </w:r>
            <w:r w:rsidRPr="00CA3FFE" w:rsidR="00023CF0">
              <w:rPr>
                <w:sz w:val="24"/>
                <w:szCs w:val="24"/>
              </w:rPr>
              <w:t xml:space="preserve"> nižší úrovni vedení</w:t>
            </w:r>
            <w:r w:rsidRPr="00CA3FFE">
              <w:rPr>
                <w:sz w:val="24"/>
                <w:szCs w:val="24"/>
              </w:rPr>
              <w:t xml:space="preserve">: </w:t>
            </w:r>
          </w:p>
          <w:p w:rsidR="00D30C9D" w:rsidRPr="00CA3FFE" w:rsidP="00265D24">
            <w:pPr>
              <w:pStyle w:val="Pklad"/>
              <w:numPr>
                <w:ilvl w:val="1"/>
                <w:numId w:val="16"/>
              </w:numPr>
              <w:spacing w:before="80" w:after="80"/>
              <w:rPr>
                <w:sz w:val="24"/>
                <w:szCs w:val="24"/>
              </w:rPr>
            </w:pPr>
            <w:r w:rsidRPr="00CA3FFE">
              <w:rPr>
                <w:sz w:val="24"/>
                <w:szCs w:val="24"/>
              </w:rPr>
              <w:t xml:space="preserve">Dbát na spokojenost zaměstnanců, pružně reagovat na jejich pracovní úspěchy, umožnit osobní růst a nabídnout adekvátní finanční </w:t>
            </w:r>
            <w:r w:rsidRPr="00CA3FFE">
              <w:rPr>
                <w:sz w:val="24"/>
                <w:szCs w:val="24"/>
              </w:rPr>
              <w:t>ohodnocení;</w:t>
            </w:r>
          </w:p>
          <w:p w:rsidR="00D30C9D" w:rsidRPr="00CA3FFE" w:rsidP="00265D24">
            <w:pPr>
              <w:pStyle w:val="Pklad"/>
              <w:numPr>
                <w:ilvl w:val="1"/>
                <w:numId w:val="16"/>
              </w:numPr>
              <w:spacing w:before="80" w:after="80"/>
              <w:rPr>
                <w:sz w:val="24"/>
                <w:szCs w:val="24"/>
              </w:rPr>
            </w:pPr>
            <w:r w:rsidRPr="00CA3FFE">
              <w:rPr>
                <w:sz w:val="24"/>
                <w:szCs w:val="24"/>
              </w:rPr>
              <w:t xml:space="preserve">Zajistit postupné předávání agendy měsíc před plánovaným odchodem; </w:t>
            </w:r>
          </w:p>
          <w:p w:rsidR="00D30C9D" w:rsidRPr="00CA3FFE" w:rsidP="00265D24">
            <w:pPr>
              <w:pStyle w:val="Pklad"/>
              <w:numPr>
                <w:ilvl w:val="1"/>
                <w:numId w:val="16"/>
              </w:numPr>
              <w:spacing w:before="80" w:after="80"/>
              <w:rPr>
                <w:sz w:val="24"/>
                <w:szCs w:val="24"/>
              </w:rPr>
            </w:pPr>
            <w:r w:rsidRPr="00CA3FFE">
              <w:rPr>
                <w:sz w:val="24"/>
                <w:szCs w:val="24"/>
              </w:rPr>
              <w:t xml:space="preserve">Vývoj rizika průběžně sledovat a v případě zvýšení jeho míry významnosti navzdory realizovaným opatřením předat na vyšší úroveň řízení tzv. eskalovat na </w:t>
            </w:r>
            <w:r w:rsidRPr="00CA3FFE" w:rsidR="00023CF0">
              <w:rPr>
                <w:sz w:val="24"/>
                <w:szCs w:val="24"/>
              </w:rPr>
              <w:t>vyšší úroveň.</w:t>
            </w:r>
          </w:p>
          <w:p w:rsidR="00D30C9D" w:rsidRPr="00CA3FFE" w:rsidP="00265D24">
            <w:pPr>
              <w:pStyle w:val="Pklad"/>
              <w:numPr>
                <w:ilvl w:val="0"/>
                <w:numId w:val="16"/>
              </w:numPr>
              <w:spacing w:before="80" w:after="80"/>
              <w:rPr>
                <w:sz w:val="24"/>
                <w:szCs w:val="24"/>
              </w:rPr>
            </w:pPr>
            <w:r w:rsidRPr="00CA3FFE">
              <w:rPr>
                <w:sz w:val="24"/>
                <w:szCs w:val="24"/>
              </w:rPr>
              <w:t>Op</w:t>
            </w:r>
            <w:r w:rsidRPr="00CA3FFE" w:rsidR="00023CF0">
              <w:rPr>
                <w:sz w:val="24"/>
                <w:szCs w:val="24"/>
              </w:rPr>
              <w:t>atření na vyšší úrovni vedení</w:t>
            </w:r>
            <w:r w:rsidRPr="00CA3FFE">
              <w:rPr>
                <w:sz w:val="24"/>
                <w:szCs w:val="24"/>
              </w:rPr>
              <w:t>:</w:t>
            </w:r>
          </w:p>
          <w:p w:rsidR="00D30C9D" w:rsidRPr="00CA3FFE" w:rsidP="00265D24">
            <w:pPr>
              <w:pStyle w:val="Pklad"/>
              <w:numPr>
                <w:ilvl w:val="0"/>
                <w:numId w:val="17"/>
              </w:numPr>
              <w:spacing w:before="80" w:after="80"/>
              <w:rPr>
                <w:sz w:val="24"/>
                <w:szCs w:val="24"/>
              </w:rPr>
            </w:pPr>
            <w:r w:rsidRPr="00CA3FFE">
              <w:rPr>
                <w:sz w:val="24"/>
                <w:szCs w:val="24"/>
              </w:rPr>
              <w:t xml:space="preserve">Podat žádost o vypsání výběrového řízení; </w:t>
            </w:r>
          </w:p>
          <w:p w:rsidR="00023CF0" w:rsidRPr="00CA3FFE" w:rsidP="00265D24">
            <w:pPr>
              <w:pStyle w:val="Pklad"/>
              <w:numPr>
                <w:ilvl w:val="0"/>
                <w:numId w:val="17"/>
              </w:numPr>
              <w:spacing w:before="80" w:after="80"/>
              <w:rPr>
                <w:sz w:val="24"/>
                <w:szCs w:val="24"/>
              </w:rPr>
            </w:pPr>
            <w:r w:rsidRPr="00CA3FFE">
              <w:rPr>
                <w:sz w:val="24"/>
                <w:szCs w:val="24"/>
              </w:rPr>
              <w:t>Zvážit možnost využití dočasného zajištění agendy dle § 178 odst. 2 zákona o státní službě v případ</w:t>
            </w:r>
            <w:r w:rsidRPr="00CA3FFE">
              <w:rPr>
                <w:sz w:val="24"/>
                <w:szCs w:val="24"/>
              </w:rPr>
              <w:t>ě, že se jedná o služební místo;</w:t>
            </w:r>
          </w:p>
          <w:p w:rsidR="00D30C9D" w:rsidRPr="00023CF0" w:rsidP="00265D24">
            <w:pPr>
              <w:pStyle w:val="Pklad"/>
              <w:numPr>
                <w:ilvl w:val="0"/>
                <w:numId w:val="17"/>
              </w:numPr>
              <w:spacing w:before="80" w:after="80"/>
              <w:rPr>
                <w:sz w:val="20"/>
              </w:rPr>
            </w:pPr>
            <w:r w:rsidRPr="00CA3FFE">
              <w:rPr>
                <w:sz w:val="24"/>
                <w:szCs w:val="24"/>
              </w:rPr>
              <w:t>Podat žádost o navýšení počtu syste</w:t>
            </w:r>
            <w:r w:rsidRPr="00CA3FFE" w:rsidR="00023CF0">
              <w:rPr>
                <w:sz w:val="24"/>
                <w:szCs w:val="24"/>
              </w:rPr>
              <w:t>mizovaných nebo pracovních míst.</w:t>
            </w:r>
          </w:p>
        </w:tc>
      </w:tr>
      <w:tr w:rsidTr="00C56A37">
        <w:tblPrEx>
          <w:tblW w:w="9185" w:type="dxa"/>
          <w:tblInd w:w="113" w:type="dxa"/>
          <w:tblLayout w:type="fixed"/>
          <w:tblCellMar>
            <w:left w:w="70" w:type="dxa"/>
            <w:right w:w="70" w:type="dxa"/>
          </w:tblCellMar>
          <w:tblLook w:val="04A0"/>
        </w:tblPrEx>
        <w:trPr>
          <w:trHeight w:hRule="exact" w:val="113"/>
        </w:trPr>
        <w:tc>
          <w:tcPr>
            <w:tcW w:w="9185" w:type="dxa"/>
            <w:tcBorders>
              <w:top w:val="single" w:sz="24" w:space="0" w:color="D9D9D9" w:themeColor="background1" w:themeShade="D9"/>
              <w:left w:val="nil"/>
              <w:bottom w:val="single" w:sz="24" w:space="0" w:color="00B0F0"/>
              <w:right w:val="nil"/>
            </w:tcBorders>
            <w:shd w:val="clear" w:color="auto" w:fill="D9D9D9" w:themeFill="background1" w:themeFillShade="D9"/>
            <w:tcMar>
              <w:top w:w="28" w:type="dxa"/>
              <w:left w:w="113" w:type="dxa"/>
              <w:bottom w:w="28" w:type="dxa"/>
              <w:right w:w="113" w:type="dxa"/>
            </w:tcMar>
            <w:vAlign w:val="center"/>
          </w:tcPr>
          <w:p w:rsidR="00D30C9D" w:rsidRPr="00A5439B" w:rsidP="00C56A37">
            <w:pPr>
              <w:pStyle w:val="PkladFooter"/>
            </w:pPr>
          </w:p>
        </w:tc>
      </w:tr>
    </w:tbl>
    <w:p w:rsidR="003F599C" w:rsidRPr="00023CF0" w:rsidP="00265D24">
      <w:pPr>
        <w:spacing w:before="240"/>
        <w:rPr>
          <w:szCs w:val="24"/>
        </w:rPr>
      </w:pPr>
      <w:r w:rsidRPr="00023CF0">
        <w:rPr>
          <w:szCs w:val="24"/>
        </w:rPr>
        <w:t>K řízení určitého rizika lze zvolit jeden z následujících přístupů:</w:t>
      </w:r>
    </w:p>
    <w:p w:rsidR="003F599C" w:rsidRPr="00023CF0" w:rsidP="00265D24">
      <w:pPr>
        <w:pStyle w:val="Odrka1"/>
        <w:spacing w:line="276" w:lineRule="auto"/>
        <w:jc w:val="both"/>
        <w:rPr>
          <w:sz w:val="24"/>
          <w:szCs w:val="24"/>
        </w:rPr>
      </w:pPr>
      <w:r w:rsidRPr="00023CF0">
        <w:rPr>
          <w:sz w:val="24"/>
          <w:szCs w:val="24"/>
        </w:rPr>
        <w:t>Vyvarování se rizika (např. neschválit rizikovou operaci, zákaz vykonávání rizikové aktivity);</w:t>
      </w:r>
    </w:p>
    <w:p w:rsidR="003F599C" w:rsidRPr="00023CF0" w:rsidP="00265D24">
      <w:pPr>
        <w:pStyle w:val="Odrka1"/>
        <w:spacing w:line="276" w:lineRule="auto"/>
        <w:jc w:val="both"/>
        <w:rPr>
          <w:sz w:val="24"/>
          <w:szCs w:val="24"/>
        </w:rPr>
      </w:pPr>
      <w:r w:rsidRPr="00023CF0">
        <w:rPr>
          <w:sz w:val="24"/>
          <w:szCs w:val="24"/>
        </w:rPr>
        <w:t>Udržování rizika na stávající míře významnosti, tj. akceptace rizika a sledování jeho vývoje bez dalších opatření k jeho eliminaci;</w:t>
      </w:r>
    </w:p>
    <w:p w:rsidR="003F599C" w:rsidRPr="00023CF0" w:rsidP="00265D24">
      <w:pPr>
        <w:pStyle w:val="Odrka1"/>
        <w:spacing w:line="276" w:lineRule="auto"/>
        <w:jc w:val="both"/>
        <w:rPr>
          <w:sz w:val="24"/>
          <w:szCs w:val="24"/>
        </w:rPr>
      </w:pPr>
      <w:r w:rsidRPr="00023CF0">
        <w:rPr>
          <w:sz w:val="24"/>
          <w:szCs w:val="24"/>
        </w:rPr>
        <w:t>Redukce rizika přijetím opatření vedoucích ke snížení pravděpodobnosti a/nebo</w:t>
      </w:r>
      <w:r w:rsidR="00C56A37">
        <w:rPr>
          <w:sz w:val="24"/>
          <w:szCs w:val="24"/>
        </w:rPr>
        <w:t> </w:t>
      </w:r>
      <w:r w:rsidRPr="00023CF0">
        <w:rPr>
          <w:sz w:val="24"/>
          <w:szCs w:val="24"/>
        </w:rPr>
        <w:t>dopadu na přijatelnou mez;</w:t>
      </w:r>
    </w:p>
    <w:p w:rsidR="003F599C" w:rsidRPr="00023CF0" w:rsidP="00265D24">
      <w:pPr>
        <w:pStyle w:val="Odrka1"/>
        <w:spacing w:line="276" w:lineRule="auto"/>
        <w:jc w:val="both"/>
        <w:rPr>
          <w:sz w:val="24"/>
          <w:szCs w:val="24"/>
        </w:rPr>
      </w:pPr>
      <w:r w:rsidRPr="00023CF0">
        <w:rPr>
          <w:sz w:val="24"/>
          <w:szCs w:val="24"/>
        </w:rPr>
        <w:t xml:space="preserve">Přenos/sdílení rizika (např. přenos rizika na dodavatele v rámci smluvního vztahu, pojištění). </w:t>
      </w:r>
    </w:p>
    <w:p w:rsidR="003F599C" w:rsidRPr="00023CF0" w:rsidP="00265D24">
      <w:pPr>
        <w:rPr>
          <w:szCs w:val="24"/>
        </w:rPr>
      </w:pPr>
      <w:r w:rsidRPr="00023CF0">
        <w:rPr>
          <w:szCs w:val="24"/>
        </w:rPr>
        <w:t>Při rozhodování o dalším postupu při řízení daného rizika je však nutné zohlednit rovněž:</w:t>
      </w:r>
    </w:p>
    <w:p w:rsidR="003F599C" w:rsidRPr="00023CF0" w:rsidP="00265D24">
      <w:pPr>
        <w:pStyle w:val="Odrka1"/>
        <w:spacing w:line="276" w:lineRule="auto"/>
        <w:jc w:val="both"/>
        <w:rPr>
          <w:sz w:val="24"/>
          <w:szCs w:val="24"/>
        </w:rPr>
      </w:pPr>
      <w:r w:rsidRPr="00023CF0">
        <w:rPr>
          <w:sz w:val="24"/>
          <w:szCs w:val="24"/>
        </w:rPr>
        <w:t xml:space="preserve">Schopnost dané riziko řídit (tj. ovlivnit jeho další vývoj), a to nikoliv pouze zaměstnanec osobně jako jedinec, ale zaměstnanec jako součást </w:t>
      </w:r>
      <w:r w:rsidRPr="00023CF0" w:rsidR="00023CF0">
        <w:rPr>
          <w:i/>
          <w:sz w:val="24"/>
          <w:szCs w:val="24"/>
        </w:rPr>
        <w:t>orgánu veřejné správy</w:t>
      </w:r>
      <w:r w:rsidRPr="00023CF0">
        <w:rPr>
          <w:sz w:val="24"/>
          <w:szCs w:val="24"/>
        </w:rPr>
        <w:t xml:space="preserve"> prostřednictvím všech kroků a nástrojů, které má jako součást této </w:t>
      </w:r>
      <w:r w:rsidRPr="00023CF0">
        <w:rPr>
          <w:i/>
          <w:sz w:val="24"/>
          <w:szCs w:val="24"/>
        </w:rPr>
        <w:t>organizace</w:t>
      </w:r>
      <w:r w:rsidRPr="00023CF0">
        <w:rPr>
          <w:sz w:val="24"/>
          <w:szCs w:val="24"/>
        </w:rPr>
        <w:t xml:space="preserve"> k dispozici (mohu např. požádat někoho dalšího o součinnost, informovat nadřízené atd.);</w:t>
      </w:r>
    </w:p>
    <w:p w:rsidR="003F599C" w:rsidRPr="00023CF0" w:rsidP="00265D24">
      <w:pPr>
        <w:pStyle w:val="Odrka1"/>
        <w:spacing w:line="276" w:lineRule="auto"/>
        <w:jc w:val="both"/>
        <w:rPr>
          <w:sz w:val="24"/>
          <w:szCs w:val="24"/>
        </w:rPr>
      </w:pPr>
      <w:r w:rsidRPr="00023CF0">
        <w:rPr>
          <w:sz w:val="24"/>
          <w:szCs w:val="24"/>
        </w:rPr>
        <w:t>Náklady spojené s řízením rizika – cílem jednoznačně je, aby náklady na řízení rizik nepřevyšovaly úspory plynoucí z jeho eliminace.</w:t>
      </w:r>
    </w:p>
    <w:p w:rsidR="003F599C" w:rsidRPr="00023CF0" w:rsidP="00265D24">
      <w:pPr>
        <w:autoSpaceDE w:val="0"/>
        <w:autoSpaceDN w:val="0"/>
        <w:adjustRightInd w:val="0"/>
        <w:rPr>
          <w:szCs w:val="24"/>
        </w:rPr>
      </w:pPr>
      <w:r w:rsidRPr="00023CF0">
        <w:rPr>
          <w:szCs w:val="24"/>
        </w:rPr>
        <w:t xml:space="preserve">Tyto faktory není nutné nijak </w:t>
      </w:r>
      <w:r w:rsidRPr="00023CF0">
        <w:rPr>
          <w:szCs w:val="24"/>
        </w:rPr>
        <w:t>formalizovaně</w:t>
      </w:r>
      <w:r w:rsidRPr="00023CF0">
        <w:rPr>
          <w:szCs w:val="24"/>
        </w:rPr>
        <w:t xml:space="preserve"> vyčíslovat či umisťovat na škálu</w:t>
      </w:r>
      <w:r w:rsidR="00C56A37">
        <w:rPr>
          <w:szCs w:val="24"/>
        </w:rPr>
        <w:t>, stačí je </w:t>
      </w:r>
      <w:r w:rsidRPr="00023CF0">
        <w:rPr>
          <w:szCs w:val="24"/>
        </w:rPr>
        <w:t>pouze přiměřeně zohlednit v úvaze o dalším postupu při řízení daného rizika.</w:t>
      </w:r>
    </w:p>
    <w:tbl>
      <w:tblPr>
        <w:tblW w:w="9331"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70" w:type="dxa"/>
          <w:right w:w="70" w:type="dxa"/>
        </w:tblCellMar>
        <w:tblLook w:val="04A0"/>
      </w:tblPr>
      <w:tblGrid>
        <w:gridCol w:w="9331"/>
      </w:tblGrid>
      <w:tr w:rsidTr="00C56A37">
        <w:tblPrEx>
          <w:tblW w:w="9331"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70" w:type="dxa"/>
            <w:right w:w="70" w:type="dxa"/>
          </w:tblCellMar>
          <w:tblLook w:val="04A0"/>
        </w:tblPrEx>
        <w:trPr>
          <w:trHeight w:val="200"/>
        </w:trPr>
        <w:tc>
          <w:tcPr>
            <w:tcW w:w="0" w:type="auto"/>
            <w:tcBorders>
              <w:top w:val="nil"/>
              <w:left w:val="nil"/>
              <w:bottom w:val="nil"/>
              <w:right w:val="nil"/>
            </w:tcBorders>
            <w:shd w:val="clear" w:color="auto" w:fill="92D050"/>
            <w:tcMar>
              <w:top w:w="28" w:type="dxa"/>
              <w:left w:w="113" w:type="dxa"/>
              <w:bottom w:w="28" w:type="dxa"/>
              <w:right w:w="113" w:type="dxa"/>
            </w:tcMar>
            <w:vAlign w:val="center"/>
          </w:tcPr>
          <w:p w:rsidR="003F599C" w:rsidRPr="00146A7B" w:rsidP="003F599C">
            <w:pPr>
              <w:pStyle w:val="ListParagraph"/>
              <w:keepNext/>
              <w:numPr>
                <w:ilvl w:val="0"/>
                <w:numId w:val="13"/>
              </w:numPr>
              <w:spacing w:before="40" w:after="40" w:line="240" w:lineRule="auto"/>
              <w:ind w:left="371" w:right="127" w:hanging="284"/>
              <w:contextualSpacing w:val="0"/>
              <w:rPr>
                <w:rFonts w:ascii="Segoe UI Semibold" w:hAnsi="Segoe UI Semibold" w:cs="Arial"/>
                <w:b/>
                <w:bCs/>
                <w:color w:val="FFFFFF"/>
              </w:rPr>
            </w:pPr>
            <w:r w:rsidRPr="00146A7B">
              <w:rPr>
                <w:rFonts w:ascii="Segoe UI Semibold" w:hAnsi="Segoe UI Semibold" w:cs="Arial"/>
                <w:b/>
                <w:bCs/>
                <w:color w:val="FFFFFF"/>
                <w:sz w:val="24"/>
              </w:rPr>
              <w:t xml:space="preserve">Příklad </w:t>
            </w:r>
            <w:r>
              <w:rPr>
                <w:rFonts w:ascii="Segoe UI Semibold" w:hAnsi="Segoe UI Semibold" w:cs="Arial"/>
                <w:b/>
                <w:bCs/>
                <w:color w:val="FFFFFF"/>
                <w:sz w:val="24"/>
              </w:rPr>
              <w:t>dobré</w:t>
            </w:r>
            <w:r w:rsidRPr="00146A7B">
              <w:rPr>
                <w:rFonts w:ascii="Segoe UI Semibold" w:hAnsi="Segoe UI Semibold" w:cs="Arial"/>
                <w:b/>
                <w:bCs/>
                <w:color w:val="FFFFFF"/>
                <w:sz w:val="24"/>
              </w:rPr>
              <w:t xml:space="preserve"> praxe</w:t>
            </w:r>
          </w:p>
        </w:tc>
      </w:tr>
      <w:tr w:rsidTr="00C56A37">
        <w:tblPrEx>
          <w:tblW w:w="9331" w:type="dxa"/>
          <w:tblInd w:w="113" w:type="dxa"/>
          <w:tblCellMar>
            <w:left w:w="70" w:type="dxa"/>
            <w:right w:w="70" w:type="dxa"/>
          </w:tblCellMar>
          <w:tblLook w:val="04A0"/>
        </w:tblPrEx>
        <w:trPr>
          <w:trHeight w:val="392"/>
        </w:trPr>
        <w:tc>
          <w:tcPr>
            <w:tcW w:w="9331"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3F599C" w:rsidRPr="00C56A37" w:rsidP="00265D24">
            <w:pPr>
              <w:pStyle w:val="Pklad"/>
              <w:ind w:firstLine="0"/>
              <w:rPr>
                <w:sz w:val="24"/>
                <w:szCs w:val="24"/>
              </w:rPr>
            </w:pPr>
            <w:r w:rsidRPr="00CA3FFE">
              <w:rPr>
                <w:i/>
                <w:sz w:val="24"/>
                <w:szCs w:val="24"/>
              </w:rPr>
              <w:t>Orgánu veřejné správy</w:t>
            </w:r>
            <w:r>
              <w:rPr>
                <w:sz w:val="24"/>
                <w:szCs w:val="24"/>
              </w:rPr>
              <w:t xml:space="preserve"> dorazila žádost o stanovisko. </w:t>
            </w:r>
            <w:r w:rsidRPr="00C56A37">
              <w:rPr>
                <w:sz w:val="24"/>
                <w:szCs w:val="24"/>
              </w:rPr>
              <w:t>Zaměstnanci</w:t>
            </w:r>
            <w:r w:rsidRPr="00C56A37">
              <w:rPr>
                <w:sz w:val="24"/>
                <w:szCs w:val="24"/>
              </w:rPr>
              <w:t xml:space="preserve"> </w:t>
            </w:r>
            <w:r>
              <w:rPr>
                <w:sz w:val="24"/>
                <w:szCs w:val="24"/>
              </w:rPr>
              <w:t>byl zadán od </w:t>
            </w:r>
            <w:r w:rsidRPr="00C56A37">
              <w:rPr>
                <w:sz w:val="24"/>
                <w:szCs w:val="24"/>
              </w:rPr>
              <w:t>vedoucího zaměstnance úkol vypracovat</w:t>
            </w:r>
            <w:r>
              <w:rPr>
                <w:sz w:val="24"/>
                <w:szCs w:val="24"/>
              </w:rPr>
              <w:t xml:space="preserve"> toto stanovisko </w:t>
            </w:r>
            <w:r w:rsidRPr="00C56A37">
              <w:rPr>
                <w:sz w:val="24"/>
                <w:szCs w:val="24"/>
              </w:rPr>
              <w:t xml:space="preserve">s termínem do konce pracovního týdne. Po prostudování všech podkladů dojde k závěru, že je nutné získat stanovisko </w:t>
            </w:r>
            <w:r>
              <w:rPr>
                <w:sz w:val="24"/>
                <w:szCs w:val="24"/>
              </w:rPr>
              <w:t>útvaru</w:t>
            </w:r>
            <w:r w:rsidRPr="00C56A37">
              <w:rPr>
                <w:sz w:val="24"/>
                <w:szCs w:val="24"/>
              </w:rPr>
              <w:t xml:space="preserve"> právního, aby </w:t>
            </w:r>
            <w:r>
              <w:rPr>
                <w:sz w:val="24"/>
                <w:szCs w:val="24"/>
              </w:rPr>
              <w:t>bylo možné stanovisko</w:t>
            </w:r>
            <w:r w:rsidRPr="00C56A37">
              <w:rPr>
                <w:sz w:val="24"/>
                <w:szCs w:val="24"/>
              </w:rPr>
              <w:t xml:space="preserve"> </w:t>
            </w:r>
            <w:r>
              <w:rPr>
                <w:sz w:val="24"/>
                <w:szCs w:val="24"/>
              </w:rPr>
              <w:t>zpracovat.</w:t>
            </w:r>
            <w:r w:rsidRPr="00C56A37">
              <w:rPr>
                <w:sz w:val="24"/>
                <w:szCs w:val="24"/>
              </w:rPr>
              <w:t xml:space="preserve"> </w:t>
            </w:r>
            <w:r w:rsidRPr="00C56A37">
              <w:rPr>
                <w:sz w:val="24"/>
                <w:szCs w:val="24"/>
              </w:rPr>
              <w:t>D</w:t>
            </w:r>
            <w:r>
              <w:rPr>
                <w:sz w:val="24"/>
                <w:szCs w:val="24"/>
              </w:rPr>
              <w:t>le interních směrnic má útvar právní</w:t>
            </w:r>
            <w:r w:rsidRPr="00C56A37">
              <w:rPr>
                <w:sz w:val="24"/>
                <w:szCs w:val="24"/>
              </w:rPr>
              <w:t xml:space="preserve"> na zpracování stanoviska lhůtu 15 dní.  </w:t>
            </w:r>
            <w:r w:rsidR="0057119E">
              <w:rPr>
                <w:sz w:val="24"/>
                <w:szCs w:val="24"/>
              </w:rPr>
              <w:t>Zaměstnanec se</w:t>
            </w:r>
            <w:r w:rsidR="005B2495">
              <w:rPr>
                <w:sz w:val="24"/>
                <w:szCs w:val="24"/>
              </w:rPr>
              <w:t> </w:t>
            </w:r>
            <w:r w:rsidR="0057119E">
              <w:rPr>
                <w:sz w:val="24"/>
                <w:szCs w:val="24"/>
              </w:rPr>
              <w:t xml:space="preserve">obrátí telefonicky na odbor právní s dotazem, zda nebude možné stanovisko zpracovat téhož dne nebo alespoň ve lhůtě kratší než 15 dnů. </w:t>
            </w:r>
            <w:r w:rsidR="005B2495">
              <w:rPr>
                <w:sz w:val="24"/>
                <w:szCs w:val="24"/>
              </w:rPr>
              <w:t>Odbor právní vypracování stanoviska v dřívějším termínu nemůž</w:t>
            </w:r>
            <w:r w:rsidR="00622240">
              <w:rPr>
                <w:sz w:val="24"/>
                <w:szCs w:val="24"/>
              </w:rPr>
              <w:t>e slíbit. Zaměstnanec tudíž</w:t>
            </w:r>
            <w:r w:rsidR="00265D24">
              <w:rPr>
                <w:sz w:val="24"/>
                <w:szCs w:val="24"/>
              </w:rPr>
              <w:t> </w:t>
            </w:r>
            <w:r w:rsidRPr="00C56A37">
              <w:rPr>
                <w:sz w:val="24"/>
                <w:szCs w:val="24"/>
              </w:rPr>
              <w:t>nemůže stihnout zpracovat stanovisko do termínu stanoveného vedoucím zaměstnancem.</w:t>
            </w:r>
          </w:p>
          <w:p w:rsidR="003F599C" w:rsidP="00265D24">
            <w:pPr>
              <w:pStyle w:val="Pklad"/>
              <w:ind w:firstLine="0"/>
            </w:pPr>
            <w:r w:rsidRPr="00C56A37">
              <w:rPr>
                <w:sz w:val="24"/>
                <w:szCs w:val="24"/>
              </w:rPr>
              <w:t xml:space="preserve">Tuto skutečnost sdělí </w:t>
            </w:r>
            <w:r w:rsidR="00022D03">
              <w:rPr>
                <w:sz w:val="24"/>
                <w:szCs w:val="24"/>
              </w:rPr>
              <w:t xml:space="preserve">bez zbytečného prodlení </w:t>
            </w:r>
            <w:r w:rsidRPr="00C56A37">
              <w:rPr>
                <w:sz w:val="24"/>
                <w:szCs w:val="24"/>
              </w:rPr>
              <w:t>vedo</w:t>
            </w:r>
            <w:r w:rsidR="00265D24">
              <w:rPr>
                <w:sz w:val="24"/>
                <w:szCs w:val="24"/>
              </w:rPr>
              <w:t>ucímu zaměstnanci jako riziko a </w:t>
            </w:r>
            <w:r w:rsidRPr="00C56A37">
              <w:rPr>
                <w:sz w:val="24"/>
                <w:szCs w:val="24"/>
              </w:rPr>
              <w:t>navrhne mu jako opatření posunutí termínu pro zpracování stanoviska o pět</w:t>
            </w:r>
            <w:r w:rsidR="00C56A37">
              <w:rPr>
                <w:sz w:val="24"/>
                <w:szCs w:val="24"/>
              </w:rPr>
              <w:t xml:space="preserve"> pracovních dnů. Žádost na útvar</w:t>
            </w:r>
            <w:r w:rsidRPr="00C56A37">
              <w:rPr>
                <w:sz w:val="24"/>
                <w:szCs w:val="24"/>
              </w:rPr>
              <w:t xml:space="preserve"> právní včetně e-ma</w:t>
            </w:r>
            <w:r w:rsidR="00C56A37">
              <w:rPr>
                <w:sz w:val="24"/>
                <w:szCs w:val="24"/>
              </w:rPr>
              <w:t>ilové komun</w:t>
            </w:r>
            <w:r w:rsidR="00265D24">
              <w:rPr>
                <w:sz w:val="24"/>
                <w:szCs w:val="24"/>
              </w:rPr>
              <w:t>ikace mezi </w:t>
            </w:r>
            <w:r w:rsidR="00C56A37">
              <w:rPr>
                <w:sz w:val="24"/>
                <w:szCs w:val="24"/>
              </w:rPr>
              <w:t>zaměstnancem</w:t>
            </w:r>
            <w:r w:rsidRPr="00C56A37">
              <w:rPr>
                <w:sz w:val="24"/>
                <w:szCs w:val="24"/>
              </w:rPr>
              <w:t xml:space="preserve"> a vedoucím zaměstnancem bude sloužit jako dostatečná auditní stopa (není nutné zpracovávat speciál</w:t>
            </w:r>
            <w:r w:rsidR="004E5FF6">
              <w:rPr>
                <w:sz w:val="24"/>
                <w:szCs w:val="24"/>
              </w:rPr>
              <w:t>ní záznam nebo zápis</w:t>
            </w:r>
            <w:r w:rsidRPr="00C56A37">
              <w:rPr>
                <w:sz w:val="24"/>
                <w:szCs w:val="24"/>
              </w:rPr>
              <w:t>).</w:t>
            </w:r>
            <w:r>
              <w:rPr>
                <w:sz w:val="20"/>
              </w:rPr>
              <w:t xml:space="preserve"> </w:t>
            </w:r>
          </w:p>
        </w:tc>
      </w:tr>
    </w:tbl>
    <w:p w:rsidR="003F599C" w:rsidP="003F599C">
      <w:pPr>
        <w:rPr>
          <w:b/>
        </w:rPr>
      </w:pPr>
    </w:p>
    <w:tbl>
      <w:tblPr>
        <w:tblW w:w="927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
      <w:tblGrid>
        <w:gridCol w:w="9273"/>
      </w:tblGrid>
      <w:tr w:rsidTr="00C56A37">
        <w:tblPrEx>
          <w:tblW w:w="927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70" w:type="dxa"/>
            <w:right w:w="70" w:type="dxa"/>
          </w:tblCellMar>
          <w:tblLook w:val="04A0"/>
        </w:tblPrEx>
        <w:trPr>
          <w:trHeight w:val="94"/>
          <w:tblHeader/>
        </w:trPr>
        <w:tc>
          <w:tcPr>
            <w:tcW w:w="9273" w:type="dxa"/>
            <w:tcBorders>
              <w:top w:val="nil"/>
              <w:left w:val="nil"/>
              <w:bottom w:val="nil"/>
              <w:right w:val="nil"/>
            </w:tcBorders>
            <w:shd w:val="clear" w:color="000000" w:fill="C00000"/>
            <w:tcMar>
              <w:top w:w="57" w:type="dxa"/>
              <w:left w:w="113" w:type="dxa"/>
              <w:bottom w:w="57" w:type="dxa"/>
              <w:right w:w="113" w:type="dxa"/>
            </w:tcMar>
            <w:vAlign w:val="center"/>
          </w:tcPr>
          <w:p w:rsidR="003F599C" w:rsidRPr="00146A7B" w:rsidP="003F599C">
            <w:pPr>
              <w:pStyle w:val="ListParagraph"/>
              <w:keepNext/>
              <w:numPr>
                <w:ilvl w:val="0"/>
                <w:numId w:val="13"/>
              </w:numPr>
              <w:spacing w:after="0" w:line="240" w:lineRule="auto"/>
              <w:ind w:left="369" w:right="125" w:hanging="284"/>
              <w:contextualSpacing w:val="0"/>
              <w:rPr>
                <w:rFonts w:ascii="Segoe UI Semibold" w:hAnsi="Segoe UI Semibold" w:cs="Arial"/>
                <w:b/>
                <w:bCs/>
                <w:color w:val="FFFFFF"/>
              </w:rPr>
            </w:pPr>
            <w:r w:rsidRPr="00146A7B">
              <w:rPr>
                <w:rFonts w:ascii="Segoe UI Semibold" w:hAnsi="Segoe UI Semibold" w:cs="Arial"/>
                <w:b/>
                <w:bCs/>
                <w:color w:val="FFFFFF"/>
                <w:sz w:val="24"/>
              </w:rPr>
              <w:t>Příklad špatné praxe</w:t>
            </w:r>
          </w:p>
        </w:tc>
      </w:tr>
      <w:tr w:rsidTr="004E5FF6">
        <w:tblPrEx>
          <w:tblW w:w="9273" w:type="dxa"/>
          <w:tblInd w:w="113" w:type="dxa"/>
          <w:tblLayout w:type="fixed"/>
          <w:tblCellMar>
            <w:left w:w="70" w:type="dxa"/>
            <w:right w:w="70" w:type="dxa"/>
          </w:tblCellMar>
          <w:tblLook w:val="04A0"/>
        </w:tblPrEx>
        <w:trPr>
          <w:trHeight w:hRule="exact" w:val="148"/>
          <w:tblHeader/>
        </w:trPr>
        <w:tc>
          <w:tcPr>
            <w:tcW w:w="9273" w:type="dxa"/>
            <w:tcBorders>
              <w:top w:val="nil"/>
              <w:left w:val="nil"/>
              <w:bottom w:val="nil"/>
              <w:right w:val="nil"/>
            </w:tcBorders>
            <w:shd w:val="clear" w:color="auto" w:fill="FAD6D5" w:themeFill="background2" w:themeFillTint="33"/>
            <w:tcMar>
              <w:top w:w="28" w:type="dxa"/>
              <w:left w:w="113" w:type="dxa"/>
              <w:bottom w:w="28" w:type="dxa"/>
              <w:right w:w="113" w:type="dxa"/>
            </w:tcMar>
            <w:vAlign w:val="center"/>
          </w:tcPr>
          <w:p w:rsidR="003F599C" w:rsidRPr="002603D2" w:rsidP="00C56A37">
            <w:pPr>
              <w:pStyle w:val="Pklad"/>
              <w:spacing w:after="0"/>
              <w:ind w:left="170" w:firstLine="0"/>
            </w:pPr>
          </w:p>
        </w:tc>
      </w:tr>
      <w:tr w:rsidTr="00C56A37">
        <w:tblPrEx>
          <w:tblW w:w="9273" w:type="dxa"/>
          <w:tblInd w:w="113" w:type="dxa"/>
          <w:tblLayout w:type="fixed"/>
          <w:tblCellMar>
            <w:left w:w="70" w:type="dxa"/>
            <w:right w:w="70" w:type="dxa"/>
          </w:tblCellMar>
          <w:tblLook w:val="04A0"/>
        </w:tblPrEx>
        <w:trPr>
          <w:trHeight w:val="1169"/>
        </w:trPr>
        <w:tc>
          <w:tcPr>
            <w:tcW w:w="9273"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3F599C" w:rsidRPr="004E5FF6" w:rsidP="00265D24">
            <w:pPr>
              <w:pStyle w:val="Pklad"/>
              <w:ind w:firstLine="0"/>
              <w:rPr>
                <w:sz w:val="24"/>
                <w:szCs w:val="24"/>
              </w:rPr>
            </w:pPr>
            <w:r w:rsidRPr="004E5FF6">
              <w:rPr>
                <w:sz w:val="24"/>
                <w:szCs w:val="24"/>
              </w:rPr>
              <w:t>Zaměstnanec věří, že termín zpracování dokumen</w:t>
            </w:r>
            <w:r w:rsidR="00265D24">
              <w:rPr>
                <w:sz w:val="24"/>
                <w:szCs w:val="24"/>
              </w:rPr>
              <w:t>tu stihne. Nicméně tři dny před </w:t>
            </w:r>
            <w:r w:rsidRPr="004E5FF6">
              <w:rPr>
                <w:sz w:val="24"/>
                <w:szCs w:val="24"/>
              </w:rPr>
              <w:t xml:space="preserve">termínem </w:t>
            </w:r>
            <w:r w:rsidR="002F0762">
              <w:rPr>
                <w:sz w:val="24"/>
                <w:szCs w:val="24"/>
              </w:rPr>
              <w:t xml:space="preserve">vzhledem k jiným urgentním úkolům </w:t>
            </w:r>
            <w:r w:rsidRPr="004E5FF6">
              <w:rPr>
                <w:sz w:val="24"/>
                <w:szCs w:val="24"/>
              </w:rPr>
              <w:t>stále nezačal stanovisko zpracovávat a je tedy vzhledem ke všem okolnostem zřejmé, že do stanoveného termín</w:t>
            </w:r>
            <w:r w:rsidR="004E5FF6">
              <w:rPr>
                <w:sz w:val="24"/>
                <w:szCs w:val="24"/>
              </w:rPr>
              <w:t>u dokument nezpracuje. Nikomu o </w:t>
            </w:r>
            <w:r w:rsidRPr="004E5FF6">
              <w:rPr>
                <w:sz w:val="24"/>
                <w:szCs w:val="24"/>
              </w:rPr>
              <w:t>vzni</w:t>
            </w:r>
            <w:r w:rsidR="00265D24">
              <w:rPr>
                <w:sz w:val="24"/>
                <w:szCs w:val="24"/>
              </w:rPr>
              <w:t>klém riziku nesplnění lhůty pro </w:t>
            </w:r>
            <w:r w:rsidRPr="004E5FF6">
              <w:rPr>
                <w:sz w:val="24"/>
                <w:szCs w:val="24"/>
              </w:rPr>
              <w:t xml:space="preserve">odeslání dokumentu nepodá zprávu. </w:t>
            </w:r>
            <w:r w:rsidR="002F0762">
              <w:rPr>
                <w:sz w:val="24"/>
                <w:szCs w:val="24"/>
              </w:rPr>
              <w:t>Vedoucí zaměstnanec se</w:t>
            </w:r>
            <w:r w:rsidR="00265D24">
              <w:rPr>
                <w:sz w:val="24"/>
                <w:szCs w:val="24"/>
              </w:rPr>
              <w:t xml:space="preserve"> tak o riziku dozvídá teprve ve </w:t>
            </w:r>
            <w:r w:rsidR="002F0762">
              <w:rPr>
                <w:sz w:val="24"/>
                <w:szCs w:val="24"/>
              </w:rPr>
              <w:t>chvíli, kdy uplynula lhůta pro plnění úkolu, a kdy již není možné příslušné riziko nijak řídit (např. delegací úkolu nebo jiných urgentních úkolů na jiné zaměstnance, žádostí o prodloužení termínu apod.)</w:t>
            </w:r>
            <w:r w:rsidR="00622240">
              <w:rPr>
                <w:sz w:val="24"/>
                <w:szCs w:val="24"/>
              </w:rPr>
              <w:t>.</w:t>
            </w:r>
          </w:p>
        </w:tc>
      </w:tr>
      <w:tr w:rsidTr="00C56A37">
        <w:tblPrEx>
          <w:tblW w:w="9273" w:type="dxa"/>
          <w:tblInd w:w="113" w:type="dxa"/>
          <w:tblLayout w:type="fixed"/>
          <w:tblCellMar>
            <w:left w:w="70" w:type="dxa"/>
            <w:right w:w="70" w:type="dxa"/>
          </w:tblCellMar>
          <w:tblLook w:val="04A0"/>
        </w:tblPrEx>
        <w:trPr>
          <w:trHeight w:hRule="exact" w:val="46"/>
        </w:trPr>
        <w:tc>
          <w:tcPr>
            <w:tcW w:w="9273" w:type="dxa"/>
            <w:tcBorders>
              <w:top w:val="single" w:sz="24" w:space="0" w:color="D9D9D9" w:themeColor="background1" w:themeShade="D9"/>
              <w:left w:val="nil"/>
              <w:bottom w:val="single" w:sz="24" w:space="0" w:color="C00000"/>
              <w:right w:val="nil"/>
            </w:tcBorders>
            <w:shd w:val="clear" w:color="auto" w:fill="D9D9D9" w:themeFill="background1" w:themeFillShade="D9"/>
            <w:tcMar>
              <w:top w:w="28" w:type="dxa"/>
              <w:left w:w="113" w:type="dxa"/>
              <w:bottom w:w="28" w:type="dxa"/>
              <w:right w:w="113" w:type="dxa"/>
            </w:tcMar>
            <w:vAlign w:val="center"/>
          </w:tcPr>
          <w:p w:rsidR="003F599C" w:rsidRPr="00A5439B" w:rsidP="00C56A37">
            <w:pPr>
              <w:pStyle w:val="PkladFooter"/>
            </w:pPr>
          </w:p>
        </w:tc>
      </w:tr>
    </w:tbl>
    <w:p w:rsidR="003F599C" w:rsidRPr="00C56A37" w:rsidP="003F599C">
      <w:pPr>
        <w:pStyle w:val="Subtitle"/>
        <w:rPr>
          <w:rFonts w:eastAsiaTheme="majorEastAsia" w:cstheme="majorBidi"/>
          <w:bCs/>
          <w:caps/>
          <w:color w:val="C00000"/>
          <w:sz w:val="24"/>
          <w:szCs w:val="26"/>
        </w:rPr>
      </w:pPr>
      <w:r w:rsidRPr="00C56A37">
        <w:rPr>
          <w:rFonts w:eastAsiaTheme="majorEastAsia" w:cstheme="majorBidi"/>
          <w:bCs/>
          <w:caps/>
          <w:color w:val="C00000"/>
          <w:sz w:val="24"/>
          <w:szCs w:val="26"/>
        </w:rPr>
        <w:t>Auditní stopa k přijímání opatření</w:t>
      </w:r>
    </w:p>
    <w:p w:rsidR="003F599C" w:rsidP="00265D24">
      <w:pPr>
        <w:autoSpaceDE w:val="0"/>
        <w:autoSpaceDN w:val="0"/>
        <w:adjustRightInd w:val="0"/>
        <w:spacing w:after="0"/>
        <w:rPr>
          <w:rFonts w:cs="Cambria"/>
          <w:lang w:eastAsia="cs-CZ"/>
        </w:rPr>
      </w:pPr>
      <w:r>
        <w:rPr>
          <w:rFonts w:cs="Cambria"/>
          <w:lang w:eastAsia="cs-CZ"/>
        </w:rPr>
        <w:t xml:space="preserve">Optimálním a přirozeným nosičem informací </w:t>
      </w:r>
      <w:r w:rsidR="002F0762">
        <w:rPr>
          <w:rFonts w:cs="Cambria"/>
          <w:lang w:eastAsia="cs-CZ"/>
        </w:rPr>
        <w:t xml:space="preserve">potřebných k řízení rizik </w:t>
      </w:r>
      <w:r w:rsidR="00265D24">
        <w:rPr>
          <w:rFonts w:cs="Cambria"/>
          <w:lang w:eastAsia="cs-CZ"/>
        </w:rPr>
        <w:t>je </w:t>
      </w:r>
      <w:r w:rsidR="004E5FF6">
        <w:rPr>
          <w:rFonts w:cs="Cambria"/>
          <w:lang w:eastAsia="cs-CZ"/>
        </w:rPr>
        <w:t>referátník/košilka k materiálu,</w:t>
      </w:r>
      <w:r>
        <w:rPr>
          <w:rFonts w:cs="Cambria"/>
          <w:lang w:eastAsia="cs-CZ"/>
        </w:rPr>
        <w:t xml:space="preserve"> podklady pro poradu vedení, podklady připravované ke schválení veřejné zakázky, studie proveditelnosti, projektový záměr, investiční záměr, zhodnocení dopadů regulace, atd. Pro účely řízení rizik není nutné vytvářet nové samostatné dokumenty, stačí úplné a v maximální možné míře objektivní informace </w:t>
      </w:r>
      <w:r w:rsidR="00B413D3">
        <w:rPr>
          <w:rFonts w:cs="Cambria"/>
          <w:lang w:eastAsia="cs-CZ"/>
        </w:rPr>
        <w:br/>
      </w:r>
      <w:r>
        <w:rPr>
          <w:rFonts w:cs="Cambria"/>
          <w:lang w:eastAsia="cs-CZ"/>
        </w:rPr>
        <w:t xml:space="preserve">o rizicích v přehledné podobě (včetně návrhu souvisejících opatření k řízení rizik) zahrnout do podkladů, na základě kterých příslušná osoba o té které operaci rozhoduje. Dobrou praxí je, že součástí podkladu je i informace o termínu, ve kterém má být </w:t>
      </w:r>
      <w:r w:rsidR="004E5FF6">
        <w:rPr>
          <w:rFonts w:cs="Cambria"/>
          <w:lang w:eastAsia="cs-CZ"/>
        </w:rPr>
        <w:t>opatření splněno (v případě, že </w:t>
      </w:r>
      <w:r>
        <w:rPr>
          <w:rFonts w:cs="Cambria"/>
          <w:lang w:eastAsia="cs-CZ"/>
        </w:rPr>
        <w:t>opatření ještě splněno</w:t>
      </w:r>
      <w:r w:rsidRPr="00B413D3" w:rsidR="00B413D3">
        <w:rPr>
          <w:rFonts w:cs="Cambria"/>
          <w:lang w:eastAsia="cs-CZ"/>
        </w:rPr>
        <w:t xml:space="preserve"> </w:t>
      </w:r>
      <w:r w:rsidR="00B413D3">
        <w:rPr>
          <w:rFonts w:cs="Cambria"/>
          <w:lang w:eastAsia="cs-CZ"/>
        </w:rPr>
        <w:t>nebylo</w:t>
      </w:r>
      <w:r>
        <w:rPr>
          <w:rFonts w:cs="Cambria"/>
          <w:lang w:eastAsia="cs-CZ"/>
        </w:rPr>
        <w:t xml:space="preserve">).  </w:t>
      </w:r>
    </w:p>
    <w:p w:rsidR="003F599C" w:rsidP="003F599C">
      <w:pPr>
        <w:spacing w:after="0" w:line="240" w:lineRule="auto"/>
        <w:jc w:val="left"/>
        <w:rPr>
          <w:bCs/>
        </w:rPr>
      </w:pPr>
    </w:p>
    <w:tbl>
      <w:tblPr>
        <w:tblW w:w="924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70" w:type="dxa"/>
          <w:right w:w="70" w:type="dxa"/>
        </w:tblCellMar>
        <w:tblLook w:val="04A0"/>
      </w:tblPr>
      <w:tblGrid>
        <w:gridCol w:w="9298"/>
      </w:tblGrid>
      <w:tr w:rsidTr="004E5FF6">
        <w:tblPrEx>
          <w:tblW w:w="9243" w:type="dxa"/>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70" w:type="dxa"/>
            <w:right w:w="70" w:type="dxa"/>
          </w:tblCellMar>
          <w:tblLook w:val="04A0"/>
        </w:tblPrEx>
        <w:trPr>
          <w:trHeight w:val="176"/>
        </w:trPr>
        <w:tc>
          <w:tcPr>
            <w:tcW w:w="0" w:type="auto"/>
            <w:tcBorders>
              <w:top w:val="nil"/>
              <w:left w:val="nil"/>
              <w:bottom w:val="nil"/>
              <w:right w:val="nil"/>
            </w:tcBorders>
            <w:shd w:val="clear" w:color="auto" w:fill="92D050"/>
            <w:tcMar>
              <w:top w:w="28" w:type="dxa"/>
              <w:left w:w="113" w:type="dxa"/>
              <w:bottom w:w="28" w:type="dxa"/>
              <w:right w:w="113" w:type="dxa"/>
            </w:tcMar>
            <w:vAlign w:val="center"/>
          </w:tcPr>
          <w:p w:rsidR="003F599C" w:rsidRPr="00146A7B" w:rsidP="003F599C">
            <w:pPr>
              <w:pStyle w:val="ListParagraph"/>
              <w:keepNext/>
              <w:numPr>
                <w:ilvl w:val="0"/>
                <w:numId w:val="13"/>
              </w:numPr>
              <w:spacing w:before="40" w:after="40" w:line="240" w:lineRule="auto"/>
              <w:ind w:left="371" w:right="127" w:hanging="284"/>
              <w:contextualSpacing w:val="0"/>
              <w:rPr>
                <w:rFonts w:ascii="Segoe UI Semibold" w:hAnsi="Segoe UI Semibold" w:cs="Arial"/>
                <w:b/>
                <w:bCs/>
                <w:color w:val="FFFFFF"/>
              </w:rPr>
            </w:pPr>
            <w:r w:rsidRPr="00146A7B">
              <w:rPr>
                <w:rFonts w:ascii="Segoe UI Semibold" w:hAnsi="Segoe UI Semibold" w:cs="Arial"/>
                <w:b/>
                <w:bCs/>
                <w:color w:val="FFFFFF"/>
                <w:sz w:val="24"/>
              </w:rPr>
              <w:t xml:space="preserve">Příklad </w:t>
            </w:r>
            <w:r>
              <w:rPr>
                <w:rFonts w:ascii="Segoe UI Semibold" w:hAnsi="Segoe UI Semibold" w:cs="Arial"/>
                <w:b/>
                <w:bCs/>
                <w:color w:val="FFFFFF"/>
                <w:sz w:val="24"/>
              </w:rPr>
              <w:t>dobré</w:t>
            </w:r>
            <w:r w:rsidRPr="00146A7B">
              <w:rPr>
                <w:rFonts w:ascii="Segoe UI Semibold" w:hAnsi="Segoe UI Semibold" w:cs="Arial"/>
                <w:b/>
                <w:bCs/>
                <w:color w:val="FFFFFF"/>
                <w:sz w:val="24"/>
              </w:rPr>
              <w:t xml:space="preserve"> praxe</w:t>
            </w:r>
          </w:p>
        </w:tc>
      </w:tr>
      <w:tr w:rsidTr="004E5FF6">
        <w:tblPrEx>
          <w:tblW w:w="9243" w:type="dxa"/>
          <w:tblInd w:w="113" w:type="dxa"/>
          <w:tblCellMar>
            <w:left w:w="70" w:type="dxa"/>
            <w:right w:w="70" w:type="dxa"/>
          </w:tblCellMar>
          <w:tblLook w:val="04A0"/>
        </w:tblPrEx>
        <w:trPr>
          <w:trHeight w:val="518"/>
        </w:trPr>
        <w:tc>
          <w:tcPr>
            <w:tcW w:w="0" w:type="auto"/>
            <w:tcBorders>
              <w:top w:val="nil"/>
              <w:left w:val="nil"/>
              <w:bottom w:val="nil"/>
              <w:right w:val="nil"/>
            </w:tcBorders>
            <w:shd w:val="clear" w:color="auto" w:fill="D3ECB8" w:themeFill="accent3" w:themeFillTint="66"/>
            <w:tcMar>
              <w:top w:w="28" w:type="dxa"/>
              <w:left w:w="113" w:type="dxa"/>
              <w:bottom w:w="28" w:type="dxa"/>
              <w:right w:w="113" w:type="dxa"/>
            </w:tcMar>
            <w:vAlign w:val="center"/>
          </w:tcPr>
          <w:p w:rsidR="003F599C" w:rsidRPr="00146A7B" w:rsidP="00C56A37">
            <w:pPr>
              <w:pStyle w:val="ListParagraph"/>
              <w:spacing w:before="40" w:after="40"/>
              <w:ind w:left="171" w:right="312"/>
              <w:rPr>
                <w:rFonts w:cs="Arial"/>
                <w:b/>
                <w:bCs/>
                <w:color w:val="FFFFFF"/>
              </w:rPr>
            </w:pPr>
            <w:r>
              <w:rPr>
                <w:b/>
              </w:rPr>
              <w:t>„</w:t>
            </w:r>
            <w:r>
              <w:rPr>
                <w:b/>
              </w:rPr>
              <w:t>Úkolovník</w:t>
            </w:r>
            <w:r>
              <w:rPr>
                <w:b/>
              </w:rPr>
              <w:t>“ jako nástroj řízení rizik</w:t>
            </w:r>
          </w:p>
        </w:tc>
      </w:tr>
      <w:tr w:rsidTr="00C56A37">
        <w:tblPrEx>
          <w:tblW w:w="9243" w:type="dxa"/>
          <w:tblInd w:w="113" w:type="dxa"/>
          <w:tblCellMar>
            <w:left w:w="70" w:type="dxa"/>
            <w:right w:w="70" w:type="dxa"/>
          </w:tblCellMar>
          <w:tblLook w:val="04A0"/>
        </w:tblPrEx>
        <w:trPr>
          <w:trHeight w:val="1254"/>
        </w:trPr>
        <w:tc>
          <w:tcPr>
            <w:tcW w:w="9243" w:type="dxa"/>
            <w:tcBorders>
              <w:top w:val="nil"/>
              <w:left w:val="nil"/>
              <w:bottom w:val="single" w:sz="24" w:space="0" w:color="D9D9D9" w:themeColor="background1" w:themeShade="D9"/>
              <w:right w:val="nil"/>
            </w:tcBorders>
            <w:shd w:val="clear" w:color="auto" w:fill="F2F2F2" w:themeFill="background1" w:themeFillShade="F2"/>
            <w:tcMar>
              <w:top w:w="28" w:type="dxa"/>
              <w:left w:w="113" w:type="dxa"/>
              <w:bottom w:w="28" w:type="dxa"/>
              <w:right w:w="113" w:type="dxa"/>
            </w:tcMar>
            <w:vAlign w:val="center"/>
          </w:tcPr>
          <w:p w:rsidR="001A055A" w:rsidP="00265D24">
            <w:pPr>
              <w:pStyle w:val="Pklad"/>
              <w:spacing w:before="80" w:after="80"/>
              <w:ind w:left="0" w:firstLine="0"/>
              <w:rPr>
                <w:sz w:val="24"/>
                <w:szCs w:val="24"/>
              </w:rPr>
            </w:pPr>
            <w:r w:rsidRPr="00ED10CA">
              <w:rPr>
                <w:sz w:val="24"/>
                <w:szCs w:val="24"/>
              </w:rPr>
              <w:t xml:space="preserve">Nesplnění termínu pro odeslání dokumentu je riziko, které lze účinně řídit používáním tzv. </w:t>
            </w:r>
            <w:r w:rsidRPr="00ED10CA">
              <w:rPr>
                <w:sz w:val="24"/>
                <w:szCs w:val="24"/>
              </w:rPr>
              <w:t>úkolovníku</w:t>
            </w:r>
            <w:r w:rsidRPr="00ED10CA">
              <w:rPr>
                <w:sz w:val="24"/>
                <w:szCs w:val="24"/>
              </w:rPr>
              <w:t xml:space="preserve">, kde budou přehledně vyobrazeny úkoly, </w:t>
            </w:r>
            <w:r w:rsidR="00ED10CA">
              <w:rPr>
                <w:sz w:val="24"/>
                <w:szCs w:val="24"/>
              </w:rPr>
              <w:t>včetně termínu splnění</w:t>
            </w:r>
            <w:r w:rsidR="00265D24">
              <w:rPr>
                <w:sz w:val="24"/>
                <w:szCs w:val="24"/>
              </w:rPr>
              <w:t xml:space="preserve"> a </w:t>
            </w:r>
            <w:r w:rsidR="00B413D3">
              <w:rPr>
                <w:sz w:val="24"/>
                <w:szCs w:val="24"/>
              </w:rPr>
              <w:t>případně i průběžných kontrolních dnů</w:t>
            </w:r>
            <w:r w:rsidR="00ED10CA">
              <w:rPr>
                <w:sz w:val="24"/>
                <w:szCs w:val="24"/>
              </w:rPr>
              <w:t>, rizik a </w:t>
            </w:r>
            <w:r w:rsidRPr="00ED10CA">
              <w:rPr>
                <w:sz w:val="24"/>
                <w:szCs w:val="24"/>
              </w:rPr>
              <w:t>oso</w:t>
            </w:r>
            <w:r w:rsidR="00265D24">
              <w:rPr>
                <w:sz w:val="24"/>
                <w:szCs w:val="24"/>
              </w:rPr>
              <w:t xml:space="preserve">bní odpovědnosti. </w:t>
            </w:r>
            <w:r w:rsidR="00265D24">
              <w:rPr>
                <w:sz w:val="24"/>
                <w:szCs w:val="24"/>
              </w:rPr>
              <w:t>Úkolovník</w:t>
            </w:r>
            <w:r w:rsidR="00265D24">
              <w:rPr>
                <w:sz w:val="24"/>
                <w:szCs w:val="24"/>
              </w:rPr>
              <w:t xml:space="preserve"> lze </w:t>
            </w:r>
            <w:r w:rsidRPr="00ED10CA">
              <w:rPr>
                <w:sz w:val="24"/>
                <w:szCs w:val="24"/>
              </w:rPr>
              <w:t xml:space="preserve">jednoduše spravovat </w:t>
            </w:r>
            <w:r w:rsidR="00ED10CA">
              <w:rPr>
                <w:sz w:val="24"/>
                <w:szCs w:val="24"/>
              </w:rPr>
              <w:t>například na </w:t>
            </w:r>
            <w:r w:rsidRPr="00ED10CA">
              <w:rPr>
                <w:sz w:val="24"/>
                <w:szCs w:val="24"/>
              </w:rPr>
              <w:t xml:space="preserve">sdíleném disku v Excelu, aby byl přístupným všem zaměstnancům </w:t>
            </w:r>
            <w:r w:rsidR="00ED10CA">
              <w:rPr>
                <w:sz w:val="24"/>
                <w:szCs w:val="24"/>
              </w:rPr>
              <w:t>v útvaru</w:t>
            </w:r>
            <w:r w:rsidRPr="00ED10CA">
              <w:rPr>
                <w:sz w:val="24"/>
                <w:szCs w:val="24"/>
              </w:rPr>
              <w:t>.</w:t>
            </w:r>
          </w:p>
          <w:p w:rsidR="003F599C" w:rsidRPr="00E1331A" w:rsidP="00C56A37">
            <w:pPr>
              <w:pStyle w:val="Pklad"/>
              <w:spacing w:before="80" w:after="80"/>
              <w:ind w:left="0" w:firstLine="0"/>
              <w:rPr>
                <w:sz w:val="24"/>
                <w:szCs w:val="24"/>
              </w:rPr>
            </w:pPr>
            <w:r>
              <w:rPr>
                <w:noProof/>
                <w:sz w:val="24"/>
                <w:szCs w:val="24"/>
                <w:lang w:eastAsia="cs-CZ"/>
              </w:rPr>
              <w:drawing>
                <wp:inline distT="0" distB="0" distL="0" distR="0">
                  <wp:extent cx="5760720" cy="3655695"/>
                  <wp:effectExtent l="0" t="0" r="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zika.PN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760720" cy="3655695"/>
                          </a:xfrm>
                          <a:prstGeom prst="rect">
                            <a:avLst/>
                          </a:prstGeom>
                        </pic:spPr>
                      </pic:pic>
                    </a:graphicData>
                  </a:graphic>
                </wp:inline>
              </w:drawing>
            </w:r>
          </w:p>
        </w:tc>
      </w:tr>
    </w:tbl>
    <w:p w:rsidR="007154F0" w:rsidP="007154F0">
      <w:pPr>
        <w:pStyle w:val="Kapitolavodn"/>
        <w:ind w:left="360"/>
        <w:jc w:val="left"/>
        <w:rPr>
          <w:rFonts w:ascii="Segoe UI" w:hAnsi="Segoe UI" w:cs="Segoe UI"/>
          <w:b w:val="0"/>
          <w:color w:val="1B6092" w:themeColor="text2" w:themeShade="BF"/>
          <w:sz w:val="36"/>
          <w:szCs w:val="36"/>
        </w:rPr>
      </w:pPr>
      <w:bookmarkStart w:id="14" w:name="_Toc532452854"/>
    </w:p>
    <w:p w:rsidR="007154F0">
      <w:pPr>
        <w:jc w:val="left"/>
        <w:rPr>
          <w:rFonts w:ascii="Segoe UI" w:hAnsi="Segoe UI" w:cs="Segoe UI"/>
          <w:caps/>
          <w:color w:val="1B6092" w:themeColor="text2" w:themeShade="BF"/>
          <w:sz w:val="36"/>
          <w:szCs w:val="36"/>
        </w:rPr>
      </w:pPr>
      <w:r>
        <w:rPr>
          <w:rFonts w:ascii="Segoe UI" w:hAnsi="Segoe UI" w:cs="Segoe UI"/>
          <w:b/>
          <w:color w:val="1B6092" w:themeColor="text2" w:themeShade="BF"/>
          <w:sz w:val="36"/>
          <w:szCs w:val="36"/>
        </w:rPr>
        <w:br w:type="page"/>
      </w:r>
    </w:p>
    <w:p w:rsidR="003F599C" w:rsidRPr="007154F0" w:rsidP="007154F0">
      <w:pPr>
        <w:pStyle w:val="Kapitolavodn"/>
        <w:numPr>
          <w:ilvl w:val="0"/>
          <w:numId w:val="5"/>
        </w:numPr>
        <w:jc w:val="left"/>
        <w:rPr>
          <w:rFonts w:ascii="Segoe UI" w:hAnsi="Segoe UI" w:cs="Segoe UI"/>
          <w:b w:val="0"/>
          <w:color w:val="1B6092" w:themeColor="text2" w:themeShade="BF"/>
          <w:sz w:val="36"/>
          <w:szCs w:val="36"/>
        </w:rPr>
      </w:pPr>
      <w:r w:rsidRPr="007154F0">
        <w:rPr>
          <w:rFonts w:ascii="Segoe UI" w:hAnsi="Segoe UI" w:cs="Segoe UI"/>
          <w:b w:val="0"/>
          <w:color w:val="1B6092" w:themeColor="text2" w:themeShade="BF"/>
          <w:sz w:val="36"/>
          <w:szCs w:val="36"/>
        </w:rPr>
        <w:t>Karta rizika</w:t>
      </w:r>
      <w:bookmarkEnd w:id="14"/>
    </w:p>
    <w:p w:rsidR="003F599C" w:rsidP="003F599C">
      <w:r>
        <w:t xml:space="preserve">Karta rizika se zpracovává pouze u rizik, </w:t>
      </w:r>
      <w:r w:rsidRPr="002677F1">
        <w:t xml:space="preserve">která mají dopad na plnění zásadních úkolů </w:t>
      </w:r>
      <w:r w:rsidRPr="00E1331A" w:rsidR="00E1331A">
        <w:rPr>
          <w:i/>
        </w:rPr>
        <w:t>orgánu veřejné správy</w:t>
      </w:r>
      <w:r w:rsidRPr="002677F1">
        <w:t xml:space="preserve"> a</w:t>
      </w:r>
      <w:r>
        <w:t> </w:t>
      </w:r>
      <w:r w:rsidRPr="002677F1">
        <w:t>u</w:t>
      </w:r>
      <w:r>
        <w:t> </w:t>
      </w:r>
      <w:r w:rsidRPr="002677F1">
        <w:t xml:space="preserve">nichž musí být přijímána opatření na úrovni </w:t>
      </w:r>
      <w:r w:rsidRPr="00E1331A" w:rsidR="00E1331A">
        <w:rPr>
          <w:i/>
        </w:rPr>
        <w:t>vedoucího orgánu veřejné správy</w:t>
      </w:r>
      <w:r>
        <w:t>.</w:t>
      </w:r>
      <w:r w:rsidRPr="002677F1">
        <w:t xml:space="preserve"> </w:t>
      </w:r>
      <w:r w:rsidR="007154F0">
        <w:t xml:space="preserve">Příklad </w:t>
      </w:r>
      <w:r w:rsidR="001A4FE4">
        <w:t xml:space="preserve">vyplněné </w:t>
      </w:r>
      <w:r w:rsidR="007154F0">
        <w:t>karty rizika je uveden níže.</w:t>
      </w:r>
    </w:p>
    <w:p w:rsidR="007154F0" w:rsidRPr="00B95B5E" w:rsidP="007154F0">
      <w:pPr>
        <w:pStyle w:val="Kapitolavodn"/>
        <w:jc w:val="left"/>
        <w:rPr>
          <w:rFonts w:ascii="Segoe UI" w:hAnsi="Segoe UI" w:cs="Segoe UI"/>
          <w:b w:val="0"/>
          <w:color w:val="FF0000"/>
          <w:sz w:val="24"/>
          <w:szCs w:val="24"/>
        </w:rPr>
      </w:pPr>
      <w:r w:rsidRPr="00B95B5E">
        <w:rPr>
          <w:rFonts w:ascii="Segoe UI" w:hAnsi="Segoe UI" w:cs="Segoe UI"/>
          <w:b w:val="0"/>
          <w:color w:val="FF0000"/>
          <w:sz w:val="24"/>
          <w:szCs w:val="24"/>
        </w:rPr>
        <w:t>Karta rizika</w:t>
      </w:r>
    </w:p>
    <w:tbl>
      <w:tblPr>
        <w:tblW w:w="8867" w:type="dxa"/>
        <w:tblInd w:w="55" w:type="dxa"/>
        <w:tblCellMar>
          <w:left w:w="70" w:type="dxa"/>
          <w:right w:w="70" w:type="dxa"/>
        </w:tblCellMar>
        <w:tblLook w:val="04A0"/>
      </w:tblPr>
      <w:tblGrid>
        <w:gridCol w:w="2880"/>
        <w:gridCol w:w="2080"/>
        <w:gridCol w:w="1767"/>
        <w:gridCol w:w="376"/>
        <w:gridCol w:w="1764"/>
      </w:tblGrid>
      <w:tr w:rsidTr="007F17BF">
        <w:tblPrEx>
          <w:tblW w:w="8867" w:type="dxa"/>
          <w:tblInd w:w="55" w:type="dxa"/>
          <w:tblCellMar>
            <w:left w:w="70" w:type="dxa"/>
            <w:right w:w="70" w:type="dxa"/>
          </w:tblCellMar>
          <w:tblLook w:val="04A0"/>
        </w:tblPrEx>
        <w:trPr>
          <w:trHeight w:val="525"/>
        </w:trPr>
        <w:tc>
          <w:tcPr>
            <w:tcW w:w="2880" w:type="dxa"/>
            <w:tcBorders>
              <w:top w:val="nil"/>
              <w:left w:val="nil"/>
              <w:bottom w:val="single" w:sz="4" w:space="0" w:color="0070C0"/>
              <w:right w:val="single" w:sz="12" w:space="0" w:color="0070C0"/>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Útvar, v jehož činnosti se riziko vyskytuje: </w:t>
            </w:r>
          </w:p>
        </w:tc>
        <w:tc>
          <w:tcPr>
            <w:tcW w:w="5987" w:type="dxa"/>
            <w:gridSpan w:val="4"/>
            <w:tcBorders>
              <w:top w:val="nil"/>
              <w:left w:val="nil"/>
              <w:bottom w:val="single" w:sz="4" w:space="0" w:color="0070C0"/>
              <w:right w:val="nil"/>
            </w:tcBorders>
            <w:shd w:val="clear" w:color="auto" w:fill="auto"/>
            <w:noWrap/>
            <w:vAlign w:val="bottom"/>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Ú</w:t>
            </w:r>
            <w:r>
              <w:rPr>
                <w:rFonts w:eastAsia="Times New Roman" w:asciiTheme="minorHAnsi" w:hAnsiTheme="minorHAnsi" w:cs="Times New Roman"/>
                <w:color w:val="000000"/>
                <w:sz w:val="22"/>
                <w:szCs w:val="22"/>
                <w:lang w:eastAsia="cs-CZ"/>
              </w:rPr>
              <w:t xml:space="preserve">tvar </w:t>
            </w:r>
            <w:r>
              <w:rPr>
                <w:rFonts w:eastAsia="Times New Roman" w:asciiTheme="minorHAnsi" w:hAnsiTheme="minorHAnsi" w:cs="Times New Roman"/>
                <w:color w:val="000000"/>
                <w:sz w:val="22"/>
                <w:szCs w:val="22"/>
                <w:lang w:eastAsia="cs-CZ"/>
              </w:rPr>
              <w:t>hospodářské správy, Útvar veřejných zakázek</w:t>
            </w:r>
          </w:p>
        </w:tc>
      </w:tr>
      <w:tr w:rsidTr="007F17BF">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Projekt/agenda:</w:t>
            </w:r>
          </w:p>
        </w:tc>
        <w:tc>
          <w:tcPr>
            <w:tcW w:w="5987" w:type="dxa"/>
            <w:gridSpan w:val="4"/>
            <w:tcBorders>
              <w:top w:val="single" w:sz="4" w:space="0" w:color="0070C0"/>
              <w:left w:val="nil"/>
              <w:bottom w:val="single" w:sz="4" w:space="0" w:color="0070C0"/>
              <w:right w:val="nil"/>
            </w:tcBorders>
            <w:shd w:val="clear" w:color="auto" w:fill="auto"/>
            <w:noWrap/>
            <w:vAlign w:val="bottom"/>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Nákup energii</w:t>
            </w: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Název rizika: </w:t>
            </w:r>
          </w:p>
        </w:tc>
        <w:tc>
          <w:tcPr>
            <w:tcW w:w="5987" w:type="dxa"/>
            <w:gridSpan w:val="4"/>
            <w:tcBorders>
              <w:top w:val="single" w:sz="4" w:space="0" w:color="0070C0"/>
              <w:left w:val="nil"/>
              <w:bottom w:val="single" w:sz="4" w:space="0" w:color="0070C0"/>
              <w:right w:val="nil"/>
            </w:tcBorders>
            <w:shd w:val="clear" w:color="000000" w:fill="FFFFFF"/>
            <w:noWrap/>
            <w:vAlign w:val="bottom"/>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r w:rsidR="00B95B5E">
              <w:rPr>
                <w:rFonts w:eastAsia="Times New Roman" w:asciiTheme="minorHAnsi" w:hAnsiTheme="minorHAnsi" w:cs="Times New Roman"/>
                <w:color w:val="000000"/>
                <w:sz w:val="22"/>
                <w:szCs w:val="22"/>
                <w:lang w:eastAsia="cs-CZ"/>
              </w:rPr>
              <w:t>Nákup elektrické energie za vyšší cenu</w:t>
            </w:r>
          </w:p>
        </w:tc>
      </w:tr>
      <w:tr w:rsidTr="007F17BF">
        <w:tblPrEx>
          <w:tblW w:w="8867" w:type="dxa"/>
          <w:tblInd w:w="55" w:type="dxa"/>
          <w:tblCellMar>
            <w:left w:w="70" w:type="dxa"/>
            <w:right w:w="70" w:type="dxa"/>
          </w:tblCellMar>
          <w:tblLook w:val="04A0"/>
        </w:tblPrEx>
        <w:trPr>
          <w:trHeight w:val="315"/>
        </w:trPr>
        <w:tc>
          <w:tcPr>
            <w:tcW w:w="2880" w:type="dxa"/>
            <w:tcBorders>
              <w:top w:val="nil"/>
              <w:left w:val="nil"/>
              <w:bottom w:val="single" w:sz="4" w:space="0" w:color="0070C0"/>
              <w:right w:val="single" w:sz="12" w:space="0" w:color="0070C0"/>
            </w:tcBorders>
            <w:shd w:val="clear" w:color="000000" w:fill="FFFFFF"/>
            <w:noWrap/>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Popis rizika:</w:t>
            </w:r>
          </w:p>
        </w:tc>
        <w:tc>
          <w:tcPr>
            <w:tcW w:w="5987" w:type="dxa"/>
            <w:gridSpan w:val="4"/>
            <w:tcBorders>
              <w:top w:val="single" w:sz="4" w:space="0" w:color="0070C0"/>
              <w:left w:val="nil"/>
              <w:bottom w:val="single" w:sz="4" w:space="0" w:color="0070C0"/>
              <w:right w:val="nil"/>
            </w:tcBorders>
            <w:shd w:val="clear" w:color="000000" w:fill="FFFFFF"/>
            <w:noWrap/>
            <w:vAlign w:val="bottom"/>
            <w:hideMark/>
          </w:tcPr>
          <w:p w:rsidR="007154F0" w:rsidRPr="00A514FE" w:rsidP="00B95B5E">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r w:rsidR="00B95B5E">
              <w:rPr>
                <w:rFonts w:eastAsia="Times New Roman" w:asciiTheme="minorHAnsi" w:hAnsiTheme="minorHAnsi" w:cs="Times New Roman"/>
                <w:color w:val="000000"/>
                <w:sz w:val="22"/>
                <w:szCs w:val="22"/>
                <w:lang w:eastAsia="cs-CZ"/>
              </w:rPr>
              <w:t>Nákup elektrické energie během roku za vyšší cenu z důvodu kolísavosti nákupních cen</w:t>
            </w:r>
          </w:p>
        </w:tc>
      </w:tr>
      <w:tr w:rsidTr="007F17BF">
        <w:tblPrEx>
          <w:tblW w:w="8867" w:type="dxa"/>
          <w:tblInd w:w="55" w:type="dxa"/>
          <w:tblCellMar>
            <w:left w:w="70" w:type="dxa"/>
            <w:right w:w="70" w:type="dxa"/>
          </w:tblCellMar>
          <w:tblLook w:val="04A0"/>
        </w:tblPrEx>
        <w:trPr>
          <w:trHeight w:val="270"/>
        </w:trPr>
        <w:tc>
          <w:tcPr>
            <w:tcW w:w="2880" w:type="dxa"/>
            <w:tcBorders>
              <w:top w:val="nil"/>
              <w:left w:val="nil"/>
              <w:bottom w:val="single" w:sz="4" w:space="0" w:color="0070C0"/>
              <w:right w:val="single" w:sz="12" w:space="0" w:color="0070C0"/>
            </w:tcBorders>
            <w:shd w:val="clear" w:color="000000" w:fill="FFFFFF"/>
            <w:noWrap/>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Dopad rizika:</w:t>
            </w:r>
          </w:p>
        </w:tc>
        <w:tc>
          <w:tcPr>
            <w:tcW w:w="2080" w:type="dxa"/>
            <w:tcBorders>
              <w:top w:val="nil"/>
              <w:left w:val="nil"/>
              <w:bottom w:val="single" w:sz="4" w:space="0" w:color="0070C0"/>
              <w:right w:val="nil"/>
            </w:tcBorders>
            <w:shd w:val="clear" w:color="000000" w:fill="FFFFFF"/>
            <w:noWrap/>
            <w:vAlign w:val="center"/>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nil"/>
            </w:tcBorders>
            <w:shd w:val="clear" w:color="000000" w:fill="FFFFFF"/>
            <w:noWrap/>
            <w:vAlign w:val="bottom"/>
            <w:hideMark/>
          </w:tcPr>
          <w:p w:rsidR="007154F0" w:rsidRPr="00A514FE" w:rsidP="00B95B5E">
            <w:pPr>
              <w:spacing w:after="0" w:line="240" w:lineRule="auto"/>
              <w:jc w:val="center"/>
              <w:rPr>
                <w:rFonts w:eastAsia="Times New Roman" w:asciiTheme="minorHAnsi" w:hAnsiTheme="minorHAnsi" w:cs="Times New Roman"/>
                <w:bCs/>
                <w:color w:val="000000"/>
                <w:sz w:val="22"/>
                <w:szCs w:val="22"/>
                <w:lang w:eastAsia="cs-CZ"/>
              </w:rPr>
            </w:pPr>
            <w:r>
              <w:rPr>
                <w:rFonts w:eastAsia="Times New Roman" w:asciiTheme="minorHAnsi" w:hAnsiTheme="minorHAnsi" w:cs="Times New Roman"/>
                <w:bCs/>
                <w:color w:val="000000"/>
                <w:sz w:val="22"/>
                <w:szCs w:val="22"/>
                <w:lang w:eastAsia="cs-CZ"/>
              </w:rPr>
              <w:t>5</w:t>
            </w:r>
          </w:p>
        </w:tc>
        <w:tc>
          <w:tcPr>
            <w:tcW w:w="1764" w:type="dxa"/>
            <w:tcBorders>
              <w:top w:val="nil"/>
              <w:left w:val="nil"/>
              <w:bottom w:val="single" w:sz="4" w:space="0" w:color="0070C0"/>
              <w:right w:val="nil"/>
            </w:tcBorders>
            <w:shd w:val="clear" w:color="000000" w:fill="FFFFFF"/>
            <w:noWrap/>
            <w:vAlign w:val="center"/>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nil"/>
              <w:right w:val="single" w:sz="12" w:space="0" w:color="0070C0"/>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Pravděpodobnost výskytu rizika:</w:t>
            </w:r>
          </w:p>
        </w:tc>
        <w:tc>
          <w:tcPr>
            <w:tcW w:w="2080" w:type="dxa"/>
            <w:tcBorders>
              <w:top w:val="nil"/>
              <w:left w:val="nil"/>
              <w:bottom w:val="nil"/>
              <w:right w:val="nil"/>
            </w:tcBorders>
            <w:shd w:val="clear" w:color="000000" w:fill="FFFFFF"/>
            <w:vAlign w:val="center"/>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nil"/>
            </w:tcBorders>
            <w:shd w:val="clear" w:color="000000" w:fill="FFFFFF"/>
            <w:noWrap/>
            <w:vAlign w:val="center"/>
            <w:hideMark/>
          </w:tcPr>
          <w:p w:rsidR="007154F0" w:rsidRPr="00A514FE" w:rsidP="00B95B5E">
            <w:pPr>
              <w:spacing w:after="0" w:line="240" w:lineRule="auto"/>
              <w:jc w:val="center"/>
              <w:rPr>
                <w:rFonts w:eastAsia="Times New Roman" w:asciiTheme="minorHAnsi" w:hAnsiTheme="minorHAnsi" w:cs="Times New Roman"/>
                <w:bCs/>
                <w:color w:val="000000"/>
                <w:sz w:val="22"/>
                <w:szCs w:val="22"/>
                <w:lang w:eastAsia="cs-CZ"/>
              </w:rPr>
            </w:pPr>
            <w:r>
              <w:rPr>
                <w:rFonts w:eastAsia="Times New Roman" w:asciiTheme="minorHAnsi" w:hAnsiTheme="minorHAnsi" w:cs="Times New Roman"/>
                <w:bCs/>
                <w:color w:val="000000"/>
                <w:sz w:val="22"/>
                <w:szCs w:val="22"/>
                <w:lang w:eastAsia="cs-CZ"/>
              </w:rPr>
              <w:t>3</w:t>
            </w:r>
          </w:p>
        </w:tc>
        <w:tc>
          <w:tcPr>
            <w:tcW w:w="1764" w:type="dxa"/>
            <w:tcBorders>
              <w:top w:val="nil"/>
              <w:left w:val="nil"/>
              <w:bottom w:val="nil"/>
              <w:right w:val="nil"/>
            </w:tcBorders>
            <w:shd w:val="clear" w:color="000000" w:fill="FFFFFF"/>
            <w:vAlign w:val="center"/>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60"/>
        </w:trPr>
        <w:tc>
          <w:tcPr>
            <w:tcW w:w="2880" w:type="dxa"/>
            <w:tcBorders>
              <w:top w:val="single" w:sz="4" w:space="0" w:color="0070C0"/>
              <w:left w:val="nil"/>
              <w:bottom w:val="nil"/>
              <w:right w:val="single" w:sz="12" w:space="0" w:color="0070C0"/>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Významnost rizika:</w:t>
            </w:r>
          </w:p>
        </w:tc>
        <w:tc>
          <w:tcPr>
            <w:tcW w:w="2080" w:type="dxa"/>
            <w:tcBorders>
              <w:top w:val="single" w:sz="4" w:space="0" w:color="0070C0"/>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xml:space="preserve">  </w:t>
            </w:r>
          </w:p>
        </w:tc>
        <w:tc>
          <w:tcPr>
            <w:tcW w:w="2143" w:type="dxa"/>
            <w:gridSpan w:val="2"/>
            <w:tcBorders>
              <w:top w:val="nil"/>
              <w:left w:val="nil"/>
              <w:bottom w:val="nil"/>
              <w:right w:val="nil"/>
            </w:tcBorders>
            <w:shd w:val="clear" w:color="000000" w:fill="FFFFFF"/>
            <w:noWrap/>
            <w:vAlign w:val="center"/>
            <w:hideMark/>
          </w:tcPr>
          <w:p w:rsidR="007154F0" w:rsidRPr="00B95B5E" w:rsidP="007F17BF">
            <w:pPr>
              <w:spacing w:after="0" w:line="240" w:lineRule="auto"/>
              <w:jc w:val="center"/>
              <w:rPr>
                <w:rFonts w:eastAsia="Times New Roman" w:asciiTheme="minorHAnsi" w:hAnsiTheme="minorHAnsi" w:cs="Times New Roman"/>
                <w:color w:val="000000"/>
                <w:sz w:val="22"/>
                <w:szCs w:val="22"/>
                <w:lang w:eastAsia="cs-CZ"/>
              </w:rPr>
            </w:pPr>
            <w:r w:rsidRPr="00B95B5E">
              <w:rPr>
                <w:rFonts w:eastAsia="Times New Roman" w:asciiTheme="minorHAnsi" w:hAnsiTheme="minorHAnsi" w:cs="Times New Roman"/>
                <w:color w:val="000000"/>
                <w:sz w:val="22"/>
                <w:szCs w:val="22"/>
                <w:lang w:eastAsia="cs-CZ"/>
              </w:rPr>
              <w:t>15</w:t>
            </w:r>
          </w:p>
        </w:tc>
        <w:tc>
          <w:tcPr>
            <w:tcW w:w="1764" w:type="dxa"/>
            <w:tcBorders>
              <w:top w:val="single" w:sz="4" w:space="0" w:color="0070C0"/>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915"/>
        </w:trPr>
        <w:tc>
          <w:tcPr>
            <w:tcW w:w="2880" w:type="dxa"/>
            <w:tcBorders>
              <w:top w:val="nil"/>
              <w:left w:val="nil"/>
              <w:bottom w:val="single" w:sz="12" w:space="0" w:color="0070C0"/>
              <w:right w:val="single" w:sz="4" w:space="0" w:color="0070C0"/>
            </w:tcBorders>
            <w:shd w:val="clear" w:color="000000" w:fill="FFFFFF"/>
            <w:noWrap/>
            <w:vAlign w:val="center"/>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Opatření</w:t>
            </w:r>
          </w:p>
        </w:tc>
        <w:tc>
          <w:tcPr>
            <w:tcW w:w="2080" w:type="dxa"/>
            <w:tcBorders>
              <w:top w:val="nil"/>
              <w:left w:val="nil"/>
              <w:bottom w:val="single" w:sz="12" w:space="0" w:color="0070C0"/>
              <w:right w:val="single" w:sz="4" w:space="0" w:color="0070C0"/>
            </w:tcBorders>
            <w:shd w:val="clear" w:color="000000" w:fill="FFFFFF"/>
            <w:vAlign w:val="center"/>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Termín realizace opatření</w:t>
            </w:r>
          </w:p>
        </w:tc>
        <w:tc>
          <w:tcPr>
            <w:tcW w:w="2143" w:type="dxa"/>
            <w:gridSpan w:val="2"/>
            <w:tcBorders>
              <w:top w:val="nil"/>
              <w:left w:val="nil"/>
              <w:bottom w:val="single" w:sz="12" w:space="0" w:color="0070C0"/>
              <w:right w:val="single" w:sz="4" w:space="0" w:color="0070C0"/>
            </w:tcBorders>
            <w:shd w:val="clear" w:color="000000" w:fill="FFFFFF"/>
            <w:vAlign w:val="center"/>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 xml:space="preserve">Interval pro informování </w:t>
            </w:r>
            <w:r w:rsidRPr="00A514FE">
              <w:rPr>
                <w:rFonts w:eastAsia="Times New Roman" w:asciiTheme="minorHAnsi" w:hAnsiTheme="minorHAnsi" w:cs="Times New Roman"/>
                <w:bCs/>
                <w:i/>
                <w:color w:val="000000"/>
                <w:sz w:val="22"/>
                <w:szCs w:val="22"/>
                <w:lang w:eastAsia="cs-CZ"/>
              </w:rPr>
              <w:t>porady vedení</w:t>
            </w:r>
            <w:r w:rsidRPr="00367B02">
              <w:rPr>
                <w:rFonts w:eastAsia="Times New Roman" w:asciiTheme="minorHAnsi" w:hAnsiTheme="minorHAnsi" w:cs="Times New Roman"/>
                <w:bCs/>
                <w:i/>
                <w:color w:val="000000"/>
                <w:sz w:val="22"/>
                <w:szCs w:val="22"/>
                <w:lang w:eastAsia="cs-CZ"/>
              </w:rPr>
              <w:t>/vedoucího orgánu veřejné správy</w:t>
            </w:r>
          </w:p>
        </w:tc>
        <w:tc>
          <w:tcPr>
            <w:tcW w:w="1764" w:type="dxa"/>
            <w:tcBorders>
              <w:top w:val="nil"/>
              <w:left w:val="nil"/>
              <w:bottom w:val="single" w:sz="12" w:space="0" w:color="0070C0"/>
              <w:right w:val="nil"/>
            </w:tcBorders>
            <w:shd w:val="clear" w:color="000000" w:fill="FFFFFF"/>
            <w:vAlign w:val="center"/>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Odpovědný vedoucí zaměstnanec</w:t>
            </w:r>
          </w:p>
        </w:tc>
      </w:tr>
      <w:tr w:rsidTr="001C3D22">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auto" w:fill="auto"/>
            <w:noWrap/>
            <w:vAlign w:val="center"/>
            <w:hideMark/>
          </w:tcPr>
          <w:p w:rsidR="007154F0" w:rsidRPr="00A514FE" w:rsidP="001C3D22">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Analýza vývoje cen trhu s energiemi</w:t>
            </w:r>
          </w:p>
        </w:tc>
        <w:tc>
          <w:tcPr>
            <w:tcW w:w="2080" w:type="dxa"/>
            <w:tcBorders>
              <w:top w:val="nil"/>
              <w:left w:val="nil"/>
              <w:bottom w:val="single" w:sz="4" w:space="0" w:color="0070C0"/>
              <w:right w:val="single" w:sz="4" w:space="0" w:color="0070C0"/>
            </w:tcBorders>
            <w:shd w:val="clear" w:color="auto" w:fill="auto"/>
            <w:noWrap/>
            <w:vAlign w:val="center"/>
            <w:hideMark/>
          </w:tcPr>
          <w:p w:rsidR="007154F0" w:rsidRPr="00A514FE" w:rsidP="001C3D22">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Průběžně</w:t>
            </w:r>
          </w:p>
        </w:tc>
        <w:tc>
          <w:tcPr>
            <w:tcW w:w="2143" w:type="dxa"/>
            <w:gridSpan w:val="2"/>
            <w:tcBorders>
              <w:top w:val="nil"/>
              <w:left w:val="nil"/>
              <w:bottom w:val="single" w:sz="4" w:space="0" w:color="0070C0"/>
              <w:right w:val="single" w:sz="4" w:space="0" w:color="0070C0"/>
            </w:tcBorders>
            <w:shd w:val="clear" w:color="auto" w:fill="auto"/>
            <w:noWrap/>
            <w:vAlign w:val="center"/>
            <w:hideMark/>
          </w:tcPr>
          <w:p w:rsidR="007154F0" w:rsidRPr="00A514FE" w:rsidP="001C3D22">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Jednou za 6 měsíců</w:t>
            </w:r>
          </w:p>
        </w:tc>
        <w:tc>
          <w:tcPr>
            <w:tcW w:w="1764" w:type="dxa"/>
            <w:tcBorders>
              <w:top w:val="nil"/>
              <w:left w:val="nil"/>
              <w:bottom w:val="single" w:sz="4" w:space="0" w:color="0070C0"/>
              <w:right w:val="nil"/>
            </w:tcBorders>
            <w:shd w:val="clear" w:color="auto" w:fill="auto"/>
            <w:noWrap/>
            <w:vAlign w:val="center"/>
            <w:hideMark/>
          </w:tcPr>
          <w:p w:rsidR="007154F0" w:rsidRPr="00A514FE" w:rsidP="001C3D22">
            <w:pPr>
              <w:spacing w:after="0" w:line="240" w:lineRule="auto"/>
              <w:jc w:val="center"/>
              <w:rPr>
                <w:rFonts w:eastAsia="Times New Roman" w:asciiTheme="minorHAnsi" w:hAnsiTheme="minorHAnsi" w:cs="Times New Roman"/>
                <w:color w:val="000000"/>
                <w:sz w:val="22"/>
                <w:szCs w:val="22"/>
                <w:lang w:eastAsia="cs-CZ"/>
              </w:rPr>
            </w:pPr>
            <w:r>
              <w:rPr>
                <w:rFonts w:eastAsia="Times New Roman" w:asciiTheme="minorHAnsi" w:hAnsiTheme="minorHAnsi" w:cs="Times New Roman"/>
                <w:color w:val="000000"/>
                <w:sz w:val="22"/>
                <w:szCs w:val="22"/>
                <w:lang w:eastAsia="cs-CZ"/>
              </w:rPr>
              <w:t>Ředitel útvaru hospodářské správy</w:t>
            </w:r>
          </w:p>
        </w:tc>
      </w:tr>
      <w:tr w:rsidTr="007F17BF">
        <w:tblPrEx>
          <w:tblW w:w="8867" w:type="dxa"/>
          <w:tblInd w:w="55" w:type="dxa"/>
          <w:tblCellMar>
            <w:left w:w="70" w:type="dxa"/>
            <w:right w:w="70" w:type="dxa"/>
          </w:tblCellMar>
          <w:tblLook w:val="04A0"/>
        </w:tblPrEx>
        <w:trPr>
          <w:trHeight w:val="855"/>
        </w:trPr>
        <w:tc>
          <w:tcPr>
            <w:tcW w:w="2880" w:type="dxa"/>
            <w:tcBorders>
              <w:top w:val="nil"/>
              <w:left w:val="nil"/>
              <w:bottom w:val="single" w:sz="4" w:space="0" w:color="0070C0"/>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single" w:sz="4" w:space="0" w:color="0070C0"/>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single" w:sz="4" w:space="0" w:color="0070C0"/>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single" w:sz="4" w:space="0" w:color="0070C0"/>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855"/>
        </w:trPr>
        <w:tc>
          <w:tcPr>
            <w:tcW w:w="2880" w:type="dxa"/>
            <w:tcBorders>
              <w:top w:val="nil"/>
              <w:left w:val="nil"/>
              <w:bottom w:val="nil"/>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080" w:type="dxa"/>
            <w:tcBorders>
              <w:top w:val="nil"/>
              <w:left w:val="nil"/>
              <w:bottom w:val="nil"/>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2143" w:type="dxa"/>
            <w:gridSpan w:val="2"/>
            <w:tcBorders>
              <w:top w:val="nil"/>
              <w:left w:val="nil"/>
              <w:bottom w:val="nil"/>
              <w:right w:val="single" w:sz="4" w:space="0" w:color="0070C0"/>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4"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90"/>
        </w:trPr>
        <w:tc>
          <w:tcPr>
            <w:tcW w:w="28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20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2143" w:type="dxa"/>
            <w:gridSpan w:val="2"/>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1764"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r>
      <w:tr w:rsidTr="007F17BF">
        <w:tblPrEx>
          <w:tblW w:w="8867" w:type="dxa"/>
          <w:tblInd w:w="55" w:type="dxa"/>
          <w:tblCellMar>
            <w:left w:w="70" w:type="dxa"/>
            <w:right w:w="70" w:type="dxa"/>
          </w:tblCellMar>
          <w:tblLook w:val="04A0"/>
        </w:tblPrEx>
        <w:trPr>
          <w:trHeight w:val="405"/>
        </w:trPr>
        <w:tc>
          <w:tcPr>
            <w:tcW w:w="8867" w:type="dxa"/>
            <w:gridSpan w:val="5"/>
            <w:tcBorders>
              <w:top w:val="nil"/>
              <w:left w:val="nil"/>
              <w:bottom w:val="nil"/>
              <w:right w:val="nil"/>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
                <w:bCs/>
                <w:color w:val="000000"/>
                <w:sz w:val="22"/>
                <w:szCs w:val="22"/>
                <w:lang w:eastAsia="cs-CZ"/>
              </w:rPr>
            </w:pPr>
            <w:r w:rsidRPr="00A514FE">
              <w:rPr>
                <w:rFonts w:eastAsia="Times New Roman" w:asciiTheme="minorHAnsi" w:hAnsiTheme="minorHAnsi" w:cs="Times New Roman"/>
                <w:b/>
                <w:bCs/>
                <w:color w:val="000000"/>
                <w:sz w:val="22"/>
                <w:szCs w:val="22"/>
                <w:lang w:eastAsia="cs-CZ"/>
              </w:rPr>
              <w:t>Závažnost rizika po implementaci opatření</w:t>
            </w: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single" w:sz="4" w:space="0" w:color="0070C0"/>
              <w:right w:val="single" w:sz="12" w:space="0" w:color="0070C0"/>
            </w:tcBorders>
            <w:shd w:val="clear" w:color="000000" w:fill="FFFFFF"/>
            <w:noWrap/>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Dopad rizika:</w:t>
            </w:r>
          </w:p>
        </w:tc>
        <w:tc>
          <w:tcPr>
            <w:tcW w:w="2080" w:type="dxa"/>
            <w:tcBorders>
              <w:top w:val="nil"/>
              <w:left w:val="nil"/>
              <w:bottom w:val="single" w:sz="4" w:space="0" w:color="0070C0"/>
              <w:right w:val="nil"/>
            </w:tcBorders>
            <w:shd w:val="clear" w:color="000000" w:fill="FFFFFF"/>
            <w:noWrap/>
            <w:vAlign w:val="bottom"/>
            <w:hideMark/>
          </w:tcPr>
          <w:p w:rsidR="007154F0" w:rsidRPr="00A514FE" w:rsidP="007F17BF">
            <w:pPr>
              <w:spacing w:after="0" w:line="240" w:lineRule="auto"/>
              <w:jc w:val="righ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single" w:sz="4" w:space="0" w:color="0070C0"/>
              <w:right w:val="nil"/>
            </w:tcBorders>
            <w:shd w:val="clear" w:color="000000" w:fill="FFFFFF"/>
            <w:noWrap/>
            <w:vAlign w:val="bottom"/>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Pr>
                <w:rFonts w:eastAsia="Times New Roman" w:asciiTheme="minorHAnsi" w:hAnsiTheme="minorHAnsi" w:cs="Times New Roman"/>
                <w:bCs/>
                <w:color w:val="000000"/>
                <w:sz w:val="22"/>
                <w:szCs w:val="22"/>
                <w:lang w:eastAsia="cs-CZ"/>
              </w:rPr>
              <w:t>5</w:t>
            </w:r>
          </w:p>
        </w:tc>
        <w:tc>
          <w:tcPr>
            <w:tcW w:w="2140" w:type="dxa"/>
            <w:gridSpan w:val="2"/>
            <w:tcBorders>
              <w:top w:val="nil"/>
              <w:left w:val="nil"/>
              <w:bottom w:val="single" w:sz="4" w:space="0" w:color="0070C0"/>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nil"/>
              <w:right w:val="single" w:sz="12" w:space="0" w:color="0070C0"/>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Pravděpodobnost výskytu rizika:</w:t>
            </w:r>
          </w:p>
        </w:tc>
        <w:tc>
          <w:tcPr>
            <w:tcW w:w="2080" w:type="dxa"/>
            <w:tcBorders>
              <w:top w:val="nil"/>
              <w:left w:val="nil"/>
              <w:bottom w:val="nil"/>
              <w:right w:val="nil"/>
            </w:tcBorders>
            <w:shd w:val="clear" w:color="000000" w:fill="FFFFFF"/>
            <w:noWrap/>
            <w:vAlign w:val="bottom"/>
            <w:hideMark/>
          </w:tcPr>
          <w:p w:rsidR="007154F0" w:rsidRPr="00A514FE" w:rsidP="007F17BF">
            <w:pPr>
              <w:spacing w:after="0" w:line="240" w:lineRule="auto"/>
              <w:jc w:val="righ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single" w:sz="4" w:space="0" w:color="0070C0"/>
              <w:right w:val="nil"/>
            </w:tcBorders>
            <w:shd w:val="clear" w:color="000000" w:fill="FFFFFF"/>
            <w:noWrap/>
            <w:vAlign w:val="center"/>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Pr>
                <w:rFonts w:eastAsia="Times New Roman" w:asciiTheme="minorHAnsi" w:hAnsiTheme="minorHAnsi" w:cs="Times New Roman"/>
                <w:bCs/>
                <w:color w:val="000000"/>
                <w:sz w:val="22"/>
                <w:szCs w:val="22"/>
                <w:lang w:eastAsia="cs-CZ"/>
              </w:rPr>
              <w:t>1</w:t>
            </w:r>
          </w:p>
        </w:tc>
        <w:tc>
          <w:tcPr>
            <w:tcW w:w="2140" w:type="dxa"/>
            <w:gridSpan w:val="2"/>
            <w:tcBorders>
              <w:top w:val="nil"/>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345"/>
        </w:trPr>
        <w:tc>
          <w:tcPr>
            <w:tcW w:w="2880" w:type="dxa"/>
            <w:tcBorders>
              <w:top w:val="single" w:sz="4" w:space="0" w:color="0070C0"/>
              <w:left w:val="nil"/>
              <w:bottom w:val="nil"/>
              <w:right w:val="single" w:sz="12" w:space="0" w:color="0070C0"/>
            </w:tcBorders>
            <w:shd w:val="clear" w:color="000000" w:fill="FFFFFF"/>
            <w:vAlign w:val="center"/>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Významnost rizika:</w:t>
            </w:r>
          </w:p>
        </w:tc>
        <w:tc>
          <w:tcPr>
            <w:tcW w:w="2080" w:type="dxa"/>
            <w:tcBorders>
              <w:top w:val="single" w:sz="4" w:space="0" w:color="0070C0"/>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c>
          <w:tcPr>
            <w:tcW w:w="1767" w:type="dxa"/>
            <w:tcBorders>
              <w:top w:val="nil"/>
              <w:left w:val="nil"/>
              <w:bottom w:val="nil"/>
              <w:right w:val="nil"/>
            </w:tcBorders>
            <w:shd w:val="clear" w:color="000000" w:fill="FFFFFF"/>
            <w:noWrap/>
            <w:vAlign w:val="center"/>
            <w:hideMark/>
          </w:tcPr>
          <w:p w:rsidR="007154F0" w:rsidRPr="001C3D22" w:rsidP="007F17BF">
            <w:pPr>
              <w:spacing w:after="0" w:line="240" w:lineRule="auto"/>
              <w:jc w:val="center"/>
              <w:rPr>
                <w:rFonts w:eastAsia="Times New Roman" w:asciiTheme="minorHAnsi" w:hAnsiTheme="minorHAnsi" w:cs="Times New Roman"/>
                <w:color w:val="000000"/>
                <w:sz w:val="22"/>
                <w:szCs w:val="22"/>
                <w:lang w:eastAsia="cs-CZ"/>
              </w:rPr>
            </w:pPr>
            <w:r w:rsidRPr="001C3D22">
              <w:rPr>
                <w:rFonts w:eastAsia="Times New Roman" w:asciiTheme="minorHAnsi" w:hAnsiTheme="minorHAnsi" w:cs="Times New Roman"/>
                <w:color w:val="000000"/>
                <w:sz w:val="22"/>
                <w:szCs w:val="22"/>
                <w:lang w:eastAsia="cs-CZ"/>
              </w:rPr>
              <w:t>5</w:t>
            </w:r>
          </w:p>
        </w:tc>
        <w:tc>
          <w:tcPr>
            <w:tcW w:w="2140" w:type="dxa"/>
            <w:gridSpan w:val="2"/>
            <w:tcBorders>
              <w:top w:val="single" w:sz="4" w:space="0" w:color="0070C0"/>
              <w:left w:val="nil"/>
              <w:bottom w:val="nil"/>
              <w:right w:val="nil"/>
            </w:tcBorders>
            <w:shd w:val="clear" w:color="000000" w:fill="FFFFFF"/>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 </w:t>
            </w:r>
          </w:p>
        </w:tc>
      </w:tr>
      <w:tr w:rsidTr="007F17BF">
        <w:tblPrEx>
          <w:tblW w:w="8867" w:type="dxa"/>
          <w:tblInd w:w="55" w:type="dxa"/>
          <w:tblCellMar>
            <w:left w:w="70" w:type="dxa"/>
            <w:right w:w="70" w:type="dxa"/>
          </w:tblCellMar>
          <w:tblLook w:val="04A0"/>
        </w:tblPrEx>
        <w:trPr>
          <w:trHeight w:val="945"/>
        </w:trPr>
        <w:tc>
          <w:tcPr>
            <w:tcW w:w="28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20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1767"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2140" w:type="dxa"/>
            <w:gridSpan w:val="2"/>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auto" w:fill="auto"/>
            <w:noWrap/>
            <w:vAlign w:val="bottom"/>
            <w:hideMark/>
          </w:tcPr>
          <w:p w:rsidR="007154F0" w:rsidRPr="00A514FE" w:rsidP="007F17BF">
            <w:pPr>
              <w:spacing w:after="0" w:line="240" w:lineRule="auto"/>
              <w:jc w:val="center"/>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w:t>
            </w:r>
          </w:p>
        </w:tc>
        <w:tc>
          <w:tcPr>
            <w:tcW w:w="20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3907" w:type="dxa"/>
            <w:gridSpan w:val="3"/>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r w:rsidRPr="00A514FE">
              <w:rPr>
                <w:rFonts w:eastAsia="Times New Roman" w:asciiTheme="minorHAnsi" w:hAnsiTheme="minorHAnsi" w:cs="Times New Roman"/>
                <w:color w:val="000000"/>
                <w:sz w:val="22"/>
                <w:szCs w:val="22"/>
                <w:lang w:eastAsia="cs-CZ"/>
              </w:rPr>
              <w:t>……………..………………………………………..</w:t>
            </w:r>
          </w:p>
        </w:tc>
      </w:tr>
      <w:tr w:rsidTr="007F17BF">
        <w:tblPrEx>
          <w:tblW w:w="8867" w:type="dxa"/>
          <w:tblInd w:w="55" w:type="dxa"/>
          <w:tblCellMar>
            <w:left w:w="70" w:type="dxa"/>
            <w:right w:w="70" w:type="dxa"/>
          </w:tblCellMar>
          <w:tblLook w:val="04A0"/>
        </w:tblPrEx>
        <w:trPr>
          <w:trHeight w:val="300"/>
        </w:trPr>
        <w:tc>
          <w:tcPr>
            <w:tcW w:w="2880" w:type="dxa"/>
            <w:tcBorders>
              <w:top w:val="nil"/>
              <w:left w:val="nil"/>
              <w:bottom w:val="nil"/>
              <w:right w:val="nil"/>
            </w:tcBorders>
            <w:shd w:val="clear" w:color="auto" w:fill="auto"/>
            <w:noWrap/>
            <w:vAlign w:val="bottom"/>
            <w:hideMark/>
          </w:tcPr>
          <w:p w:rsidR="007154F0" w:rsidRPr="00A514FE" w:rsidP="007F17BF">
            <w:pPr>
              <w:spacing w:after="0" w:line="240" w:lineRule="auto"/>
              <w:jc w:val="center"/>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datum</w:t>
            </w:r>
          </w:p>
        </w:tc>
        <w:tc>
          <w:tcPr>
            <w:tcW w:w="2080" w:type="dxa"/>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color w:val="000000"/>
                <w:sz w:val="22"/>
                <w:szCs w:val="22"/>
                <w:lang w:eastAsia="cs-CZ"/>
              </w:rPr>
            </w:pPr>
          </w:p>
        </w:tc>
        <w:tc>
          <w:tcPr>
            <w:tcW w:w="3907" w:type="dxa"/>
            <w:gridSpan w:val="3"/>
            <w:tcBorders>
              <w:top w:val="nil"/>
              <w:left w:val="nil"/>
              <w:bottom w:val="nil"/>
              <w:right w:val="nil"/>
            </w:tcBorders>
            <w:shd w:val="clear" w:color="auto" w:fill="auto"/>
            <w:noWrap/>
            <w:vAlign w:val="bottom"/>
            <w:hideMark/>
          </w:tcPr>
          <w:p w:rsidR="007154F0" w:rsidRPr="00A514FE" w:rsidP="007F17BF">
            <w:pPr>
              <w:spacing w:after="0" w:line="240" w:lineRule="auto"/>
              <w:jc w:val="left"/>
              <w:rPr>
                <w:rFonts w:eastAsia="Times New Roman" w:asciiTheme="minorHAnsi" w:hAnsiTheme="minorHAnsi" w:cs="Times New Roman"/>
                <w:bCs/>
                <w:color w:val="000000"/>
                <w:sz w:val="22"/>
                <w:szCs w:val="22"/>
                <w:lang w:eastAsia="cs-CZ"/>
              </w:rPr>
            </w:pPr>
            <w:r w:rsidRPr="00A514FE">
              <w:rPr>
                <w:rFonts w:eastAsia="Times New Roman" w:asciiTheme="minorHAnsi" w:hAnsiTheme="minorHAnsi" w:cs="Times New Roman"/>
                <w:bCs/>
                <w:color w:val="000000"/>
                <w:sz w:val="22"/>
                <w:szCs w:val="22"/>
                <w:lang w:eastAsia="cs-CZ"/>
              </w:rPr>
              <w:t>podpis odpovědného zaměstnance</w:t>
            </w:r>
          </w:p>
        </w:tc>
      </w:tr>
    </w:tbl>
    <w:p w:rsidR="007154F0" w:rsidP="003F599C"/>
    <w:p w:rsidR="003F599C" w:rsidP="003F599C"/>
    <w:p w:rsidR="003F599C" w:rsidP="001C3D22">
      <w:pPr>
        <w:pStyle w:val="Kapitolavodn"/>
        <w:numPr>
          <w:ilvl w:val="0"/>
          <w:numId w:val="5"/>
        </w:numPr>
        <w:jc w:val="left"/>
        <w:rPr>
          <w:rFonts w:ascii="Segoe UI" w:hAnsi="Segoe UI" w:cs="Segoe UI"/>
          <w:b w:val="0"/>
          <w:color w:val="1B6092" w:themeColor="text2" w:themeShade="BF"/>
          <w:sz w:val="36"/>
          <w:szCs w:val="36"/>
        </w:rPr>
      </w:pPr>
      <w:bookmarkStart w:id="15" w:name="_Toc527633225"/>
      <w:bookmarkStart w:id="16" w:name="_Toc527633226"/>
      <w:bookmarkStart w:id="17" w:name="_Toc527633227"/>
      <w:bookmarkStart w:id="18" w:name="_Toc527633228"/>
      <w:bookmarkStart w:id="19" w:name="_Toc527633229"/>
      <w:bookmarkStart w:id="20" w:name="_Toc527633230"/>
      <w:bookmarkStart w:id="21" w:name="_Toc527633231"/>
      <w:bookmarkStart w:id="22" w:name="_Toc527633232"/>
      <w:bookmarkStart w:id="23" w:name="_Toc527633233"/>
      <w:bookmarkStart w:id="24" w:name="_Toc532452855"/>
      <w:bookmarkEnd w:id="15"/>
      <w:bookmarkEnd w:id="16"/>
      <w:bookmarkEnd w:id="17"/>
      <w:bookmarkEnd w:id="18"/>
      <w:bookmarkEnd w:id="19"/>
      <w:bookmarkEnd w:id="20"/>
      <w:bookmarkEnd w:id="21"/>
      <w:bookmarkEnd w:id="22"/>
      <w:bookmarkEnd w:id="23"/>
      <w:r w:rsidRPr="007154F0">
        <w:rPr>
          <w:rFonts w:ascii="Segoe UI" w:hAnsi="Segoe UI" w:cs="Segoe UI"/>
          <w:b w:val="0"/>
          <w:color w:val="1B6092" w:themeColor="text2" w:themeShade="BF"/>
          <w:sz w:val="36"/>
          <w:szCs w:val="36"/>
        </w:rPr>
        <w:t>Monitoring a vedení evidence</w:t>
      </w:r>
      <w:bookmarkEnd w:id="24"/>
      <w:r w:rsidRPr="007154F0">
        <w:rPr>
          <w:rFonts w:ascii="Segoe UI" w:hAnsi="Segoe UI" w:cs="Segoe UI"/>
          <w:b w:val="0"/>
          <w:color w:val="1B6092" w:themeColor="text2" w:themeShade="BF"/>
          <w:sz w:val="36"/>
          <w:szCs w:val="36"/>
        </w:rPr>
        <w:t xml:space="preserve"> </w:t>
      </w:r>
    </w:p>
    <w:p w:rsidR="001C3D22" w:rsidRPr="001C3D22" w:rsidP="001C3D22">
      <w:pPr>
        <w:pStyle w:val="Subtitle"/>
        <w:rPr>
          <w:rFonts w:eastAsiaTheme="majorEastAsia" w:cstheme="majorBidi"/>
          <w:bCs/>
          <w:caps/>
          <w:color w:val="C00000"/>
          <w:sz w:val="24"/>
          <w:szCs w:val="26"/>
        </w:rPr>
      </w:pPr>
      <w:r w:rsidRPr="001C3D22">
        <w:rPr>
          <w:rFonts w:eastAsiaTheme="majorEastAsia" w:cstheme="majorBidi"/>
          <w:bCs/>
          <w:caps/>
          <w:color w:val="C00000"/>
          <w:sz w:val="24"/>
          <w:szCs w:val="26"/>
        </w:rPr>
        <w:t>Monitoring</w:t>
      </w:r>
    </w:p>
    <w:p w:rsidR="003F599C" w:rsidP="003F599C">
      <w:r>
        <w:t>Monitoring p</w:t>
      </w:r>
      <w:r w:rsidRPr="00C82106">
        <w:t>robíhá spojitě v čase a je založen na pravidelném operativním sledování daného rizika</w:t>
      </w:r>
      <w:r>
        <w:t xml:space="preserve">. Monitoring spočívá ve sledování, zda dochází ke změně míry významnosti rizika (pravděpodobnosti nebo dopadu) a ve vyhodnocování účinnosti přijatých opatření. </w:t>
      </w:r>
      <w:r w:rsidRPr="00C82106">
        <w:t xml:space="preserve">Monitoringem se </w:t>
      </w:r>
      <w:r>
        <w:t xml:space="preserve">rovněž </w:t>
      </w:r>
      <w:r w:rsidRPr="00C82106">
        <w:t xml:space="preserve">identifikují případná nová rizika. </w:t>
      </w:r>
      <w:r>
        <w:t xml:space="preserve">Monitoring probíhá v rámci běžné činnosti na útvaru.  </w:t>
      </w:r>
    </w:p>
    <w:p w:rsidR="003F599C" w:rsidRPr="001C3D22" w:rsidP="003F599C">
      <w:pPr>
        <w:pStyle w:val="Subtitle"/>
        <w:rPr>
          <w:rFonts w:eastAsiaTheme="majorEastAsia" w:cstheme="majorBidi"/>
          <w:bCs/>
          <w:caps/>
          <w:color w:val="C00000"/>
          <w:sz w:val="24"/>
          <w:szCs w:val="26"/>
        </w:rPr>
      </w:pPr>
      <w:r w:rsidRPr="001C3D22">
        <w:rPr>
          <w:rFonts w:eastAsiaTheme="majorEastAsia" w:cstheme="majorBidi"/>
          <w:bCs/>
          <w:caps/>
          <w:color w:val="C00000"/>
          <w:sz w:val="24"/>
          <w:szCs w:val="26"/>
        </w:rPr>
        <w:t>Evidence</w:t>
      </w:r>
    </w:p>
    <w:p w:rsidR="003F599C" w:rsidP="003F599C">
      <w:r>
        <w:t xml:space="preserve">Na centrální úrovni je dle směrnice vedena evidence </w:t>
      </w:r>
      <w:r w:rsidR="001C3D22">
        <w:t>o nejvýznamnějších rizicích</w:t>
      </w:r>
      <w:r w:rsidR="008C77AC">
        <w:t>,</w:t>
      </w:r>
      <w:r w:rsidR="001C3D22">
        <w:t xml:space="preserve"> tj. </w:t>
      </w:r>
      <w:r>
        <w:t xml:space="preserve">rizicích, </w:t>
      </w:r>
      <w:r w:rsidRPr="00E850EA">
        <w:t xml:space="preserve">která mají dopad na plnění zásadních úkolů </w:t>
      </w:r>
      <w:r w:rsidRPr="001C3D22" w:rsidR="001C3D22">
        <w:rPr>
          <w:i/>
        </w:rPr>
        <w:t>orgánu veřejné správy</w:t>
      </w:r>
      <w:r w:rsidRPr="00E850EA">
        <w:t xml:space="preserve"> a u nichž musí být přijím</w:t>
      </w:r>
      <w:r>
        <w:t xml:space="preserve">ána opatření na úrovni </w:t>
      </w:r>
      <w:r w:rsidRPr="001C3D22" w:rsidR="001C3D22">
        <w:rPr>
          <w:i/>
        </w:rPr>
        <w:t>vedoucího orgánu veřejné správy</w:t>
      </w:r>
      <w:r>
        <w:t xml:space="preserve">. K těmto rizikům věcně příslušný útvar sestavuje kartu rizika (viz předchozí kapitola). Evidenci vede </w:t>
      </w:r>
      <w:r w:rsidRPr="001C3D22" w:rsidR="001C3D22">
        <w:rPr>
          <w:i/>
        </w:rPr>
        <w:t>odpovědný útvar</w:t>
      </w:r>
      <w:r>
        <w:t xml:space="preserve"> na základě vyplněných karet. Další informace nad rámec karty nebudou </w:t>
      </w:r>
      <w:r w:rsidRPr="001C3D22" w:rsidR="001C3D22">
        <w:rPr>
          <w:i/>
        </w:rPr>
        <w:t>odpovědným útvarem</w:t>
      </w:r>
      <w:r w:rsidR="001C3D22">
        <w:t xml:space="preserve"> </w:t>
      </w:r>
      <w:r>
        <w:t xml:space="preserve"> vyžadovány.  Souhrnná informace o všech nejvýznamnějších rizicích bude </w:t>
      </w:r>
      <w:r w:rsidRPr="001C3D22" w:rsidR="001C3D22">
        <w:rPr>
          <w:i/>
        </w:rPr>
        <w:t>vedoucím zaměstnancem odpovědného útvaru</w:t>
      </w:r>
      <w:r>
        <w:t xml:space="preserve"> předložena </w:t>
      </w:r>
      <w:r w:rsidRPr="005C46E4">
        <w:rPr>
          <w:i/>
        </w:rPr>
        <w:t>poradě vedení</w:t>
      </w:r>
      <w:r w:rsidRPr="005C46E4" w:rsidR="005C46E4">
        <w:rPr>
          <w:i/>
        </w:rPr>
        <w:t>/vedoucímu orgánu veřejné správy</w:t>
      </w:r>
      <w:r>
        <w:t xml:space="preserve"> jednou za 6 měsíců. Pro tyto účely budou útvary </w:t>
      </w:r>
      <w:r w:rsidRPr="005C46E4" w:rsidR="005C46E4">
        <w:rPr>
          <w:i/>
        </w:rPr>
        <w:t>orgánu veřejné správy</w:t>
      </w:r>
      <w:r>
        <w:t xml:space="preserve"> jednou za 6 měsíců obeslány </w:t>
      </w:r>
      <w:r w:rsidRPr="005C46E4" w:rsidR="005C46E4">
        <w:rPr>
          <w:i/>
        </w:rPr>
        <w:t>odpovědným útvarem</w:t>
      </w:r>
      <w:r>
        <w:t xml:space="preserve"> s lhůtou 10 pracovních dní k zaslání aktualizované karty rizik. </w:t>
      </w:r>
      <w:r w:rsidRPr="005C46E4" w:rsidR="005C46E4">
        <w:rPr>
          <w:i/>
        </w:rPr>
        <w:t>Odpovědný útvar</w:t>
      </w:r>
      <w:r>
        <w:t xml:space="preserve"> zpracuje přijaté karty a přenese rizika do katalogu rizik (seznam), ze kterého se bude vytv</w:t>
      </w:r>
      <w:r w:rsidR="005C46E4">
        <w:t xml:space="preserve">ářet materiál pro </w:t>
      </w:r>
      <w:r w:rsidRPr="005C46E4" w:rsidR="005C46E4">
        <w:rPr>
          <w:i/>
        </w:rPr>
        <w:t>poradu vedení/vedoucího orgánu veřejné správy</w:t>
      </w:r>
      <w:r w:rsidR="005C46E4">
        <w:t>.</w:t>
      </w:r>
      <w:r>
        <w:t xml:space="preserve"> V případě, že dojde ke změně míry významnosti nejvýznamnějšího rizika nebo k okolnostem, které budou mít významný dopad na účinnost opatření</w:t>
      </w:r>
      <w:r w:rsidRPr="008C77AC" w:rsidR="008C77AC">
        <w:t xml:space="preserve"> </w:t>
      </w:r>
      <w:r w:rsidR="008C77AC">
        <w:t>přijímaných k řízení rizika</w:t>
      </w:r>
      <w:r>
        <w:t xml:space="preserve">, příslušný vedoucí zaměstnanec </w:t>
      </w:r>
      <w:r w:rsidRPr="00931B26" w:rsidR="005C46E4">
        <w:rPr>
          <w:szCs w:val="24"/>
        </w:rPr>
        <w:t xml:space="preserve">v přímé </w:t>
      </w:r>
      <w:r w:rsidRPr="00952558" w:rsidR="005C46E4">
        <w:rPr>
          <w:szCs w:val="24"/>
        </w:rPr>
        <w:t xml:space="preserve">řídící působnosti </w:t>
      </w:r>
      <w:r w:rsidRPr="00D45EBD" w:rsidR="005C46E4">
        <w:rPr>
          <w:i/>
          <w:szCs w:val="24"/>
        </w:rPr>
        <w:t>vedoucího orgánu veřejné správy</w:t>
      </w:r>
      <w:r w:rsidR="005C46E4">
        <w:t xml:space="preserve"> </w:t>
      </w:r>
      <w:r>
        <w:t xml:space="preserve">informuje </w:t>
      </w:r>
      <w:r w:rsidRPr="00D45EBD" w:rsidR="00C94336">
        <w:rPr>
          <w:i/>
          <w:szCs w:val="24"/>
        </w:rPr>
        <w:t>vedoucího orgánu veřejné správy</w:t>
      </w:r>
      <w:r>
        <w:t xml:space="preserve"> o této skutečnosti neprodleně (nečeká na periodickou aktualizaci). </w:t>
      </w:r>
    </w:p>
    <w:p w:rsidR="00B7799D" w:rsidRPr="00B7799D" w:rsidP="00B7799D">
      <w:r>
        <w:t>O způsobu vedení evidence ostatních rizik, tedy rizik, ke kterým jsou přijímána</w:t>
      </w:r>
      <w:r w:rsidRPr="002B40A1">
        <w:t xml:space="preserve"> </w:t>
      </w:r>
      <w:r>
        <w:t>opatření na úrovni příslušného vedoucího zaměstnance, rozhoduj</w:t>
      </w:r>
      <w:r w:rsidR="00C94336">
        <w:t>e příslušný vedoucí zaměstnanec.</w:t>
      </w:r>
    </w:p>
    <w:sectPr w:rsidSect="00880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egoe UI Semibold">
    <w:panose1 w:val="020B0702040204020203"/>
    <w:charset w:val="EE"/>
    <w:family w:val="swiss"/>
    <w:pitch w:val="variable"/>
    <w:sig w:usb0="E00002FF" w:usb1="4000A47B"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Segoe UI Light">
    <w:panose1 w:val="020B0502040204020203"/>
    <w:charset w:val="EE"/>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3204783"/>
      <w:docPartObj>
        <w:docPartGallery w:val="Page Numbers (Bottom of Page)"/>
        <w:docPartUnique/>
      </w:docPartObj>
    </w:sdtPr>
    <w:sdtContent>
      <w:p w:rsidR="00496013">
        <w:pPr>
          <w:pStyle w:val="Footer"/>
          <w:jc w:val="center"/>
        </w:pPr>
        <w:r>
          <w:fldChar w:fldCharType="begin"/>
        </w:r>
        <w:r>
          <w:instrText>PAGE   \* MERGEFORMAT</w:instrText>
        </w:r>
        <w:r>
          <w:fldChar w:fldCharType="separate"/>
        </w:r>
        <w:r>
          <w:rPr>
            <w:noProof/>
          </w:rPr>
          <w:t>11</w:t>
        </w:r>
        <w:r>
          <w:fldChar w:fldCharType="end"/>
        </w:r>
      </w:p>
    </w:sdtContent>
  </w:sdt>
  <w:p w:rsidR="00496013" w:rsidRPr="007D6754" w:rsidP="00880254">
    <w:pPr>
      <w:pStyle w:val="Footer"/>
      <w:jc w:val="center"/>
      <w:rPr>
        <w:color w:val="7F7F7F" w:themeColor="text1" w:themeTint="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013" w:rsidRPr="00324612" w:rsidP="00880254">
    <w:pPr>
      <w:pStyle w:val="Footer"/>
      <w:jc w:val="center"/>
      <w:rPr>
        <w:rFonts w:asciiTheme="majorHAnsi" w:hAnsiTheme="majorHAnsi" w:cstheme="majorHAnsi"/>
        <w:b/>
        <w:color w:val="7F7F7F" w:themeColor="text1" w:themeTint="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539133"/>
      <w:docPartObj>
        <w:docPartGallery w:val="Page Numbers (Bottom of Page)"/>
        <w:docPartUnique/>
      </w:docPartObj>
    </w:sdtPr>
    <w:sdtContent>
      <w:p w:rsidR="00496013" w:rsidP="00C56A37">
        <w:pPr>
          <w:pStyle w:val="Footer"/>
          <w:jc w:val="right"/>
        </w:pPr>
        <w:r>
          <w:fldChar w:fldCharType="begin"/>
        </w:r>
        <w:r>
          <w:instrText>PAGE   \* MERGEFORMAT</w:instrText>
        </w:r>
        <w:r>
          <w:fldChar w:fldCharType="separate"/>
        </w:r>
        <w:r w:rsidR="00553F9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20055" w:rsidP="00880254">
      <w:pPr>
        <w:spacing w:after="0" w:line="240" w:lineRule="auto"/>
      </w:pPr>
      <w:r>
        <w:separator/>
      </w:r>
    </w:p>
  </w:footnote>
  <w:footnote w:type="continuationSeparator" w:id="1">
    <w:p w:rsidR="00420055" w:rsidP="00880254">
      <w:pPr>
        <w:spacing w:after="0" w:line="240" w:lineRule="auto"/>
      </w:pPr>
      <w:r>
        <w:continuationSeparator/>
      </w:r>
    </w:p>
  </w:footnote>
  <w:footnote w:id="2">
    <w:p w:rsidR="00496013" w:rsidP="007D0491">
      <w:pPr>
        <w:pStyle w:val="FootnoteText"/>
      </w:pPr>
      <w:r>
        <w:rPr>
          <w:rStyle w:val="FootnoteReference"/>
        </w:rPr>
        <w:footnoteRef/>
      </w:r>
      <w:r>
        <w:t xml:space="preserve"> odkaz na konkrétní ustanovení organizačního řádu</w:t>
      </w:r>
    </w:p>
  </w:footnote>
  <w:footnote w:id="3">
    <w:p w:rsidR="00496013" w:rsidP="003F599C">
      <w:pPr>
        <w:pStyle w:val="FootnoteText"/>
      </w:pPr>
      <w:r>
        <w:rPr>
          <w:rStyle w:val="FootnoteReference"/>
        </w:rPr>
        <w:footnoteRef/>
      </w:r>
      <w:r>
        <w:t xml:space="preserve"> </w:t>
      </w:r>
      <w:r w:rsidRPr="00EB79E4">
        <w:rPr>
          <w:sz w:val="20"/>
        </w:rPr>
        <w:t>Aby byla tato technika úspěšná, má brainstorming svá pravidla. Na úvod se problém, který má být řešen, zopakuje („Cílem je definovat všechna rizika, která mohou vzniknout v souvislosti s … např. s přípravou nového vnitřního předpisu“). Následně se každý zamyslí nad možným</w:t>
      </w:r>
      <w:r w:rsidR="00EB79E4">
        <w:rPr>
          <w:sz w:val="20"/>
        </w:rPr>
        <w:t xml:space="preserve"> řešením položené otázky a svůj </w:t>
      </w:r>
      <w:r w:rsidRPr="00EB79E4">
        <w:rPr>
          <w:sz w:val="20"/>
        </w:rPr>
        <w:t>nápad vysloví nahlas. Vždy mluví jen jeden. Všechny nápady se zapisují tak, aby je všichni zúčastnění viděli. V průběhu brainstormingu se jednotlivé nápady nehodnot</w:t>
      </w:r>
      <w:r w:rsidR="00EB79E4">
        <w:rPr>
          <w:sz w:val="20"/>
        </w:rPr>
        <w:t>í a nekritizují. I nápad, který </w:t>
      </w:r>
      <w:r w:rsidRPr="00EB79E4">
        <w:rPr>
          <w:sz w:val="20"/>
        </w:rPr>
        <w:t>vypadá na první pohled nepoužitelný, může inspirovat.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CA479D"/>
    <w:multiLevelType w:val="hybridMultilevel"/>
    <w:tmpl w:val="84680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63D12"/>
    <w:multiLevelType w:val="hybridMultilevel"/>
    <w:tmpl w:val="50CC0F9A"/>
    <w:lvl w:ilvl="0">
      <w:start w:val="1"/>
      <w:numFmt w:val="bullet"/>
      <w:lvlText w:val=""/>
      <w:lvlJc w:val="left"/>
      <w:pPr>
        <w:ind w:left="1174" w:hanging="360"/>
      </w:pPr>
      <w:rPr>
        <w:rFonts w:ascii="Symbol" w:hAnsi="Symbol" w:hint="default"/>
        <w:color w:val="auto"/>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
    <w:nsid w:val="13067928"/>
    <w:multiLevelType w:val="hybridMultilevel"/>
    <w:tmpl w:val="C2D28734"/>
    <w:lvl w:ilvl="0">
      <w:start w:val="1"/>
      <w:numFmt w:val="bullet"/>
      <w:pStyle w:val="Odrky"/>
      <w:lvlText w:val="̶"/>
      <w:lvlJc w:val="left"/>
      <w:pPr>
        <w:ind w:left="1287" w:hanging="360"/>
      </w:pPr>
      <w:rPr>
        <w:rFonts w:ascii="Arial" w:hAnsi="Arial" w:hint="default"/>
        <w:caps w:val="0"/>
        <w:strike w:val="0"/>
        <w:dstrike w:val="0"/>
        <w:vanish w:val="0"/>
        <w:color w:val="2581C4" w:themeColor="text2"/>
        <w:u w:val="none"/>
        <w:vertAlign w:val="baseline"/>
      </w:rPr>
    </w:lvl>
    <w:lvl w:ilvl="1">
      <w:start w:val="1"/>
      <w:numFmt w:val="bullet"/>
      <w:lvlText w:val="̶"/>
      <w:lvlJc w:val="left"/>
      <w:pPr>
        <w:ind w:left="2007" w:hanging="360"/>
      </w:pPr>
      <w:rPr>
        <w:rFonts w:ascii="Arial" w:hAnsi="Arial" w:hint="default"/>
        <w:caps w:val="0"/>
        <w:strike w:val="0"/>
        <w:dstrike w:val="0"/>
        <w:vanish w:val="0"/>
        <w:color w:val="2581C4" w:themeColor="text2"/>
        <w:u w:val="none"/>
        <w:vertAlign w:val="baseline"/>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8535112"/>
    <w:multiLevelType w:val="hybridMultilevel"/>
    <w:tmpl w:val="52D88732"/>
    <w:lvl w:ilvl="0">
      <w:start w:val="1"/>
      <w:numFmt w:val="bullet"/>
      <w:pStyle w:val="Odrka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EC7EE9"/>
    <w:multiLevelType w:val="hybridMultilevel"/>
    <w:tmpl w:val="28500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6171C8"/>
    <w:multiLevelType w:val="hybridMultilevel"/>
    <w:tmpl w:val="A01245FC"/>
    <w:lvl w:ilvl="0">
      <w:start w:val="1"/>
      <w:numFmt w:val="bullet"/>
      <w:lvlText w:val=""/>
      <w:lvlJc w:val="left"/>
      <w:pPr>
        <w:ind w:left="890" w:hanging="360"/>
      </w:pPr>
      <w:rPr>
        <w:rFonts w:ascii="Symbol" w:hAnsi="Symbol"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7">
    <w:nsid w:val="29706679"/>
    <w:multiLevelType w:val="hybridMultilevel"/>
    <w:tmpl w:val="0FF81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613AA3"/>
    <w:multiLevelType w:val="hybridMultilevel"/>
    <w:tmpl w:val="781A1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AD3BEE"/>
    <w:multiLevelType w:val="multilevel"/>
    <w:tmpl w:val="C5B8C540"/>
    <w:lvl w:ilvl="0">
      <w:start w:val="1"/>
      <w:numFmt w:val="lowerLetter"/>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451041C9"/>
    <w:multiLevelType w:val="hybridMultilevel"/>
    <w:tmpl w:val="F0F45E40"/>
    <w:lvl w:ilvl="0">
      <w:start w:val="0"/>
      <w:numFmt w:val="bullet"/>
      <w:lvlText w:val="-"/>
      <w:lvlJc w:val="left"/>
      <w:pPr>
        <w:ind w:left="890" w:hanging="360"/>
      </w:pPr>
      <w:rPr>
        <w:rFonts w:ascii="Cambria" w:eastAsia="Times New Roman" w:hAnsi="Cambria" w:cs="Tahoma" w:hint="default"/>
      </w:rPr>
    </w:lvl>
    <w:lvl w:ilvl="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1">
    <w:nsid w:val="4E347214"/>
    <w:multiLevelType w:val="multilevel"/>
    <w:tmpl w:val="8328F5D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4F610B3A"/>
    <w:multiLevelType w:val="hybridMultilevel"/>
    <w:tmpl w:val="CBA614E8"/>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4">
    <w:nsid w:val="5BF16698"/>
    <w:multiLevelType w:val="hybridMultilevel"/>
    <w:tmpl w:val="84680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7B1ACD"/>
    <w:multiLevelType w:val="hybridMultilevel"/>
    <w:tmpl w:val="CF64DD7C"/>
    <w:lvl w:ilvl="0">
      <w:start w:val="1"/>
      <w:numFmt w:val="bullet"/>
      <w:lvlText w:val="o"/>
      <w:lvlJc w:val="left"/>
      <w:pPr>
        <w:ind w:left="1610" w:hanging="360"/>
      </w:pPr>
      <w:rPr>
        <w:rFonts w:ascii="Courier New" w:hAnsi="Courier New" w:cs="Courier New" w:hint="default"/>
      </w:rPr>
    </w:lvl>
    <w:lvl w:ilvl="1" w:tentative="1">
      <w:start w:val="1"/>
      <w:numFmt w:val="bullet"/>
      <w:lvlText w:val="o"/>
      <w:lvlJc w:val="left"/>
      <w:pPr>
        <w:ind w:left="2330" w:hanging="360"/>
      </w:pPr>
      <w:rPr>
        <w:rFonts w:ascii="Courier New" w:hAnsi="Courier New" w:cs="Courier New" w:hint="default"/>
      </w:rPr>
    </w:lvl>
    <w:lvl w:ilvl="2" w:tentative="1">
      <w:start w:val="1"/>
      <w:numFmt w:val="bullet"/>
      <w:lvlText w:val=""/>
      <w:lvlJc w:val="left"/>
      <w:pPr>
        <w:ind w:left="3050" w:hanging="360"/>
      </w:pPr>
      <w:rPr>
        <w:rFonts w:ascii="Wingdings" w:hAnsi="Wingdings" w:hint="default"/>
      </w:rPr>
    </w:lvl>
    <w:lvl w:ilvl="3" w:tentative="1">
      <w:start w:val="1"/>
      <w:numFmt w:val="bullet"/>
      <w:lvlText w:val=""/>
      <w:lvlJc w:val="left"/>
      <w:pPr>
        <w:ind w:left="3770" w:hanging="360"/>
      </w:pPr>
      <w:rPr>
        <w:rFonts w:ascii="Symbol" w:hAnsi="Symbol" w:hint="default"/>
      </w:rPr>
    </w:lvl>
    <w:lvl w:ilvl="4" w:tentative="1">
      <w:start w:val="1"/>
      <w:numFmt w:val="bullet"/>
      <w:lvlText w:val="o"/>
      <w:lvlJc w:val="left"/>
      <w:pPr>
        <w:ind w:left="4490" w:hanging="360"/>
      </w:pPr>
      <w:rPr>
        <w:rFonts w:ascii="Courier New" w:hAnsi="Courier New" w:cs="Courier New" w:hint="default"/>
      </w:rPr>
    </w:lvl>
    <w:lvl w:ilvl="5" w:tentative="1">
      <w:start w:val="1"/>
      <w:numFmt w:val="bullet"/>
      <w:lvlText w:val=""/>
      <w:lvlJc w:val="left"/>
      <w:pPr>
        <w:ind w:left="5210" w:hanging="360"/>
      </w:pPr>
      <w:rPr>
        <w:rFonts w:ascii="Wingdings" w:hAnsi="Wingdings" w:hint="default"/>
      </w:rPr>
    </w:lvl>
    <w:lvl w:ilvl="6" w:tentative="1">
      <w:start w:val="1"/>
      <w:numFmt w:val="bullet"/>
      <w:lvlText w:val=""/>
      <w:lvlJc w:val="left"/>
      <w:pPr>
        <w:ind w:left="5930" w:hanging="360"/>
      </w:pPr>
      <w:rPr>
        <w:rFonts w:ascii="Symbol" w:hAnsi="Symbol" w:hint="default"/>
      </w:rPr>
    </w:lvl>
    <w:lvl w:ilvl="7" w:tentative="1">
      <w:start w:val="1"/>
      <w:numFmt w:val="bullet"/>
      <w:lvlText w:val="o"/>
      <w:lvlJc w:val="left"/>
      <w:pPr>
        <w:ind w:left="6650" w:hanging="360"/>
      </w:pPr>
      <w:rPr>
        <w:rFonts w:ascii="Courier New" w:hAnsi="Courier New" w:cs="Courier New" w:hint="default"/>
      </w:rPr>
    </w:lvl>
    <w:lvl w:ilvl="8" w:tentative="1">
      <w:start w:val="1"/>
      <w:numFmt w:val="bullet"/>
      <w:lvlText w:val=""/>
      <w:lvlJc w:val="left"/>
      <w:pPr>
        <w:ind w:left="7370" w:hanging="360"/>
      </w:pPr>
      <w:rPr>
        <w:rFonts w:ascii="Wingdings" w:hAnsi="Wingdings" w:hint="default"/>
      </w:rPr>
    </w:lvl>
  </w:abstractNum>
  <w:abstractNum w:abstractNumId="17">
    <w:nsid w:val="67D403DD"/>
    <w:multiLevelType w:val="hybridMultilevel"/>
    <w:tmpl w:val="26DE580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927942"/>
    <w:multiLevelType w:val="multilevel"/>
    <w:tmpl w:val="0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696926F3"/>
    <w:multiLevelType w:val="hybridMultilevel"/>
    <w:tmpl w:val="26DE580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C10545"/>
    <w:multiLevelType w:val="hybridMultilevel"/>
    <w:tmpl w:val="9556ADC4"/>
    <w:lvl w:ilvl="0">
      <w:start w:val="1"/>
      <w:numFmt w:val="bullet"/>
      <w:lvlText w:val=""/>
      <w:lvlJc w:val="left"/>
      <w:pPr>
        <w:ind w:left="891" w:hanging="360"/>
      </w:pPr>
      <w:rPr>
        <w:rFonts w:ascii="Symbol" w:hAnsi="Symbol" w:hint="default"/>
      </w:rPr>
    </w:lvl>
    <w:lvl w:ilvl="1" w:tentative="1">
      <w:start w:val="1"/>
      <w:numFmt w:val="bullet"/>
      <w:lvlText w:val="o"/>
      <w:lvlJc w:val="left"/>
      <w:pPr>
        <w:ind w:left="1611" w:hanging="360"/>
      </w:pPr>
      <w:rPr>
        <w:rFonts w:ascii="Courier New" w:hAnsi="Courier New" w:cs="Courier New" w:hint="default"/>
      </w:rPr>
    </w:lvl>
    <w:lvl w:ilvl="2" w:tentative="1">
      <w:start w:val="1"/>
      <w:numFmt w:val="bullet"/>
      <w:lvlText w:val=""/>
      <w:lvlJc w:val="left"/>
      <w:pPr>
        <w:ind w:left="2331" w:hanging="360"/>
      </w:pPr>
      <w:rPr>
        <w:rFonts w:ascii="Wingdings" w:hAnsi="Wingdings" w:hint="default"/>
      </w:rPr>
    </w:lvl>
    <w:lvl w:ilvl="3" w:tentative="1">
      <w:start w:val="1"/>
      <w:numFmt w:val="bullet"/>
      <w:lvlText w:val=""/>
      <w:lvlJc w:val="left"/>
      <w:pPr>
        <w:ind w:left="3051" w:hanging="360"/>
      </w:pPr>
      <w:rPr>
        <w:rFonts w:ascii="Symbol" w:hAnsi="Symbol" w:hint="default"/>
      </w:rPr>
    </w:lvl>
    <w:lvl w:ilvl="4" w:tentative="1">
      <w:start w:val="1"/>
      <w:numFmt w:val="bullet"/>
      <w:lvlText w:val="o"/>
      <w:lvlJc w:val="left"/>
      <w:pPr>
        <w:ind w:left="3771" w:hanging="360"/>
      </w:pPr>
      <w:rPr>
        <w:rFonts w:ascii="Courier New" w:hAnsi="Courier New" w:cs="Courier New" w:hint="default"/>
      </w:rPr>
    </w:lvl>
    <w:lvl w:ilvl="5" w:tentative="1">
      <w:start w:val="1"/>
      <w:numFmt w:val="bullet"/>
      <w:lvlText w:val=""/>
      <w:lvlJc w:val="left"/>
      <w:pPr>
        <w:ind w:left="4491" w:hanging="360"/>
      </w:pPr>
      <w:rPr>
        <w:rFonts w:ascii="Wingdings" w:hAnsi="Wingdings" w:hint="default"/>
      </w:rPr>
    </w:lvl>
    <w:lvl w:ilvl="6" w:tentative="1">
      <w:start w:val="1"/>
      <w:numFmt w:val="bullet"/>
      <w:lvlText w:val=""/>
      <w:lvlJc w:val="left"/>
      <w:pPr>
        <w:ind w:left="5211" w:hanging="360"/>
      </w:pPr>
      <w:rPr>
        <w:rFonts w:ascii="Symbol" w:hAnsi="Symbol" w:hint="default"/>
      </w:rPr>
    </w:lvl>
    <w:lvl w:ilvl="7" w:tentative="1">
      <w:start w:val="1"/>
      <w:numFmt w:val="bullet"/>
      <w:lvlText w:val="o"/>
      <w:lvlJc w:val="left"/>
      <w:pPr>
        <w:ind w:left="5931" w:hanging="360"/>
      </w:pPr>
      <w:rPr>
        <w:rFonts w:ascii="Courier New" w:hAnsi="Courier New" w:cs="Courier New" w:hint="default"/>
      </w:rPr>
    </w:lvl>
    <w:lvl w:ilvl="8" w:tentative="1">
      <w:start w:val="1"/>
      <w:numFmt w:val="bullet"/>
      <w:lvlText w:val=""/>
      <w:lvlJc w:val="left"/>
      <w:pPr>
        <w:ind w:left="6651" w:hanging="360"/>
      </w:pPr>
      <w:rPr>
        <w:rFonts w:ascii="Wingdings" w:hAnsi="Wingdings" w:hint="default"/>
      </w:rPr>
    </w:lvl>
  </w:abstractNum>
  <w:abstractNum w:abstractNumId="21">
    <w:nsid w:val="7B721ECD"/>
    <w:multiLevelType w:val="hybridMultilevel"/>
    <w:tmpl w:val="26DE580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11"/>
  </w:num>
  <w:num w:numId="5">
    <w:abstractNumId w:val="18"/>
  </w:num>
  <w:num w:numId="6">
    <w:abstractNumId w:val="8"/>
  </w:num>
  <w:num w:numId="7">
    <w:abstractNumId w:val="1"/>
  </w:num>
  <w:num w:numId="8">
    <w:abstractNumId w:val="14"/>
  </w:num>
  <w:num w:numId="9">
    <w:abstractNumId w:val="17"/>
  </w:num>
  <w:num w:numId="10">
    <w:abstractNumId w:val="21"/>
  </w:num>
  <w:num w:numId="11">
    <w:abstractNumId w:val="19"/>
  </w:num>
  <w:num w:numId="12">
    <w:abstractNumId w:val="4"/>
  </w:num>
  <w:num w:numId="13">
    <w:abstractNumId w:val="12"/>
  </w:num>
  <w:num w:numId="14">
    <w:abstractNumId w:val="13"/>
  </w:num>
  <w:num w:numId="15">
    <w:abstractNumId w:val="6"/>
  </w:num>
  <w:num w:numId="16">
    <w:abstractNumId w:val="10"/>
  </w:num>
  <w:num w:numId="17">
    <w:abstractNumId w:val="16"/>
  </w:num>
  <w:num w:numId="18">
    <w:abstractNumId w:val="7"/>
  </w:num>
  <w:num w:numId="19">
    <w:abstractNumId w:val="20"/>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hAnsi="Segoe UI Semibold" w:eastAsiaTheme="minorHAnsi" w:cs="Tahoma"/>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C8"/>
    <w:pPr>
      <w:jc w:val="both"/>
    </w:pPr>
    <w:rPr>
      <w:rFonts w:ascii="Cambria" w:hAnsi="Cambria" w:eastAsiaTheme="minorEastAsia"/>
      <w:sz w:val="24"/>
    </w:rPr>
  </w:style>
  <w:style w:type="paragraph" w:styleId="Heading1">
    <w:name w:val="heading 1"/>
    <w:basedOn w:val="Normal"/>
    <w:next w:val="Normal"/>
    <w:link w:val="Nadpis1Char"/>
    <w:uiPriority w:val="9"/>
    <w:qFormat/>
    <w:rsid w:val="000C0FA6"/>
    <w:pPr>
      <w:keepNext/>
      <w:keepLines/>
      <w:spacing w:before="480" w:after="240"/>
      <w:outlineLvl w:val="0"/>
    </w:pPr>
    <w:rPr>
      <w:rFonts w:asciiTheme="majorHAnsi" w:eastAsiaTheme="majorEastAsia" w:hAnsiTheme="majorHAnsi" w:cstheme="majorBidi"/>
      <w:b/>
      <w:bCs/>
      <w:caps/>
      <w:color w:val="E73431" w:themeColor="background2"/>
      <w:sz w:val="44"/>
      <w:szCs w:val="28"/>
    </w:rPr>
  </w:style>
  <w:style w:type="paragraph" w:styleId="Heading2">
    <w:name w:val="heading 2"/>
    <w:basedOn w:val="Normal"/>
    <w:next w:val="Normal"/>
    <w:link w:val="Nadpis2Char"/>
    <w:uiPriority w:val="9"/>
    <w:unhideWhenUsed/>
    <w:qFormat/>
    <w:rsid w:val="00367B02"/>
    <w:pPr>
      <w:keepNext/>
      <w:keepLines/>
      <w:spacing w:before="240" w:after="240"/>
      <w:outlineLvl w:val="1"/>
    </w:pPr>
    <w:rPr>
      <w:rFonts w:ascii="Segoe UI" w:hAnsi="Segoe UI" w:eastAsiaTheme="majorEastAsia" w:cstheme="majorBidi"/>
      <w:bCs/>
      <w:caps/>
      <w:color w:val="E73431" w:themeColor="background2"/>
      <w:sz w:val="32"/>
      <w:szCs w:val="26"/>
    </w:rPr>
  </w:style>
  <w:style w:type="paragraph" w:styleId="Heading3">
    <w:name w:val="heading 3"/>
    <w:basedOn w:val="Normal"/>
    <w:next w:val="Normal"/>
    <w:link w:val="Nadpis3Char"/>
    <w:uiPriority w:val="9"/>
    <w:unhideWhenUsed/>
    <w:qFormat/>
    <w:rsid w:val="00577B41"/>
    <w:pPr>
      <w:keepNext/>
      <w:keepLines/>
      <w:spacing w:before="240" w:after="240"/>
      <w:outlineLvl w:val="2"/>
    </w:pPr>
    <w:rPr>
      <w:rFonts w:asciiTheme="minorHAnsi" w:eastAsiaTheme="majorEastAsia" w:hAnsiTheme="minorHAnsi" w:cstheme="majorBidi"/>
      <w:b/>
      <w:bCs/>
      <w:sz w:val="28"/>
    </w:rPr>
  </w:style>
  <w:style w:type="paragraph" w:styleId="Heading4">
    <w:name w:val="heading 4"/>
    <w:basedOn w:val="Normal"/>
    <w:next w:val="Normal"/>
    <w:link w:val="Nadpis4Char"/>
    <w:uiPriority w:val="9"/>
    <w:unhideWhenUsed/>
    <w:qFormat/>
    <w:rsid w:val="000C0FA6"/>
    <w:pPr>
      <w:keepNext/>
      <w:keepLines/>
      <w:spacing w:before="200" w:after="0"/>
      <w:outlineLvl w:val="3"/>
    </w:pPr>
    <w:rPr>
      <w:rFonts w:asciiTheme="majorHAnsi" w:eastAsiaTheme="majorEastAsia" w:hAnsiTheme="majorHAnsi" w:cstheme="majorBidi"/>
      <w:b/>
      <w:bCs/>
      <w:i/>
      <w:iCs/>
      <w:color w:val="2581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hlav1sloupec">
    <w:name w:val="Záhlaví + 1 sloupec"/>
    <w:basedOn w:val="TableNormal"/>
    <w:uiPriority w:val="99"/>
    <w:rsid w:val="00FE493A"/>
    <w:pPr>
      <w:spacing w:after="0" w:line="240" w:lineRule="auto"/>
    </w:pPr>
    <w:rPr>
      <w:rFonts w:eastAsiaTheme="minorEastAsia"/>
    </w:rPr>
    <w:tblPr/>
  </w:style>
  <w:style w:type="paragraph" w:styleId="NoSpacing">
    <w:name w:val="No Spacing"/>
    <w:link w:val="BezmezerChar"/>
    <w:uiPriority w:val="1"/>
    <w:qFormat/>
    <w:rsid w:val="002B6C45"/>
    <w:pPr>
      <w:framePr w:hSpace="187" w:wrap="around" w:vAnchor="page" w:hAnchor="margin" w:xAlign="center" w:y="7670"/>
      <w:spacing w:after="0" w:line="240" w:lineRule="auto"/>
    </w:pPr>
    <w:rPr>
      <w:rFonts w:asciiTheme="majorHAnsi" w:eastAsiaTheme="majorEastAsia" w:hAnsiTheme="majorHAnsi" w:cstheme="majorBidi"/>
      <w:caps/>
      <w:color w:val="E73431" w:themeColor="background2"/>
      <w:sz w:val="32"/>
      <w:szCs w:val="22"/>
      <w:lang w:eastAsia="cs-CZ"/>
    </w:rPr>
  </w:style>
  <w:style w:type="character" w:customStyle="1" w:styleId="BezmezerChar">
    <w:name w:val="Bez mezer Char"/>
    <w:basedOn w:val="DefaultParagraphFont"/>
    <w:link w:val="NoSpacing"/>
    <w:uiPriority w:val="1"/>
    <w:rsid w:val="002B6C45"/>
    <w:rPr>
      <w:rFonts w:asciiTheme="majorHAnsi" w:eastAsiaTheme="majorEastAsia" w:hAnsiTheme="majorHAnsi" w:cstheme="majorBidi"/>
      <w:caps/>
      <w:color w:val="E73431" w:themeColor="background2"/>
      <w:sz w:val="32"/>
      <w:szCs w:val="22"/>
      <w:lang w:eastAsia="cs-CZ"/>
    </w:rPr>
  </w:style>
  <w:style w:type="paragraph" w:styleId="BalloonText">
    <w:name w:val="Balloon Text"/>
    <w:basedOn w:val="Normal"/>
    <w:link w:val="TextbublinyChar"/>
    <w:uiPriority w:val="99"/>
    <w:semiHidden/>
    <w:unhideWhenUsed/>
    <w:rsid w:val="00131670"/>
    <w:pPr>
      <w:spacing w:after="0" w:line="240" w:lineRule="auto"/>
    </w:pPr>
    <w:rPr>
      <w:rFonts w:ascii="Tahoma" w:hAnsi="Tahoma"/>
      <w:sz w:val="16"/>
      <w:szCs w:val="16"/>
    </w:rPr>
  </w:style>
  <w:style w:type="character" w:customStyle="1" w:styleId="TextbublinyChar">
    <w:name w:val="Text bubliny Char"/>
    <w:basedOn w:val="DefaultParagraphFont"/>
    <w:link w:val="BalloonText"/>
    <w:uiPriority w:val="99"/>
    <w:semiHidden/>
    <w:rsid w:val="00131670"/>
    <w:rPr>
      <w:rFonts w:ascii="Tahoma" w:hAnsi="Tahoma" w:eastAsiaTheme="minorEastAsia"/>
      <w:sz w:val="16"/>
      <w:szCs w:val="16"/>
    </w:rPr>
  </w:style>
  <w:style w:type="paragraph" w:customStyle="1" w:styleId="Podtituldokumentu">
    <w:name w:val="Podtitul dokumentu"/>
    <w:basedOn w:val="NoSpacing"/>
    <w:link w:val="PodtituldokumentuChar"/>
    <w:qFormat/>
    <w:rsid w:val="00131670"/>
    <w:pPr>
      <w:framePr w:wrap="around" w:vAnchor="margin" w:hAnchor="text" w:y="2881"/>
    </w:pPr>
  </w:style>
  <w:style w:type="paragraph" w:customStyle="1" w:styleId="Tituldokumentu">
    <w:name w:val="Titul dokumentu"/>
    <w:basedOn w:val="NoSpacing"/>
    <w:qFormat/>
    <w:rsid w:val="00B321E7"/>
    <w:pPr>
      <w:framePr w:wrap="around"/>
    </w:pPr>
    <w:rPr>
      <w:b/>
      <w:color w:val="2581C4" w:themeColor="accent1"/>
      <w:spacing w:val="-60"/>
      <w:sz w:val="112"/>
      <w:szCs w:val="112"/>
    </w:rPr>
  </w:style>
  <w:style w:type="character" w:customStyle="1" w:styleId="PodtituldokumentuChar">
    <w:name w:val="Podtitul dokumentu Char"/>
    <w:basedOn w:val="BezmezerChar"/>
    <w:link w:val="Podtituldokumentu"/>
    <w:rsid w:val="00131670"/>
    <w:rPr>
      <w:rFonts w:asciiTheme="majorHAnsi" w:eastAsiaTheme="majorEastAsia" w:hAnsiTheme="majorHAnsi" w:cstheme="majorBidi"/>
      <w:caps/>
      <w:color w:val="E73431" w:themeColor="background2"/>
      <w:sz w:val="32"/>
      <w:szCs w:val="22"/>
      <w:lang w:eastAsia="cs-CZ"/>
    </w:rPr>
  </w:style>
  <w:style w:type="paragraph" w:customStyle="1" w:styleId="Odstavec">
    <w:name w:val="Odstavec"/>
    <w:basedOn w:val="Normal"/>
    <w:qFormat/>
    <w:rsid w:val="00E42BFE"/>
    <w:pPr>
      <w:spacing w:after="240" w:line="288" w:lineRule="auto"/>
      <w:contextualSpacing/>
    </w:pPr>
  </w:style>
  <w:style w:type="paragraph" w:customStyle="1" w:styleId="Kapitola">
    <w:name w:val="Kapitola"/>
    <w:basedOn w:val="Normal"/>
    <w:qFormat/>
    <w:rsid w:val="00B321E7"/>
    <w:pPr>
      <w:jc w:val="right"/>
    </w:pPr>
    <w:rPr>
      <w:rFonts w:asciiTheme="majorHAnsi" w:hAnsiTheme="majorHAnsi" w:cstheme="majorHAnsi"/>
      <w:b/>
      <w:caps/>
      <w:color w:val="E73431" w:themeColor="background2"/>
      <w:sz w:val="112"/>
      <w:szCs w:val="112"/>
    </w:rPr>
  </w:style>
  <w:style w:type="character" w:customStyle="1" w:styleId="Nadpis1Char">
    <w:name w:val="Nadpis 1 Char"/>
    <w:basedOn w:val="DefaultParagraphFont"/>
    <w:link w:val="Heading1"/>
    <w:uiPriority w:val="9"/>
    <w:rsid w:val="000C0FA6"/>
    <w:rPr>
      <w:rFonts w:asciiTheme="majorHAnsi" w:eastAsiaTheme="majorEastAsia" w:hAnsiTheme="majorHAnsi" w:cstheme="majorBidi"/>
      <w:b/>
      <w:bCs/>
      <w:caps/>
      <w:color w:val="E73431" w:themeColor="background2"/>
      <w:sz w:val="44"/>
      <w:szCs w:val="28"/>
    </w:rPr>
  </w:style>
  <w:style w:type="character" w:customStyle="1" w:styleId="Nadpis2Char">
    <w:name w:val="Nadpis 2 Char"/>
    <w:basedOn w:val="DefaultParagraphFont"/>
    <w:link w:val="Heading2"/>
    <w:uiPriority w:val="9"/>
    <w:rsid w:val="00367B02"/>
    <w:rPr>
      <w:rFonts w:ascii="Segoe UI" w:hAnsi="Segoe UI" w:eastAsiaTheme="majorEastAsia" w:cstheme="majorBidi"/>
      <w:bCs/>
      <w:caps/>
      <w:color w:val="E73431" w:themeColor="background2"/>
      <w:sz w:val="32"/>
      <w:szCs w:val="26"/>
    </w:rPr>
  </w:style>
  <w:style w:type="character" w:customStyle="1" w:styleId="Nadpis3Char">
    <w:name w:val="Nadpis 3 Char"/>
    <w:basedOn w:val="DefaultParagraphFont"/>
    <w:link w:val="Heading3"/>
    <w:uiPriority w:val="9"/>
    <w:rsid w:val="00577B41"/>
    <w:rPr>
      <w:rFonts w:asciiTheme="minorHAnsi" w:eastAsiaTheme="majorEastAsia" w:hAnsiTheme="minorHAnsi" w:cstheme="majorBidi"/>
      <w:b/>
      <w:bCs/>
      <w:sz w:val="28"/>
    </w:rPr>
  </w:style>
  <w:style w:type="paragraph" w:customStyle="1" w:styleId="Poznmka">
    <w:name w:val="Poznámka"/>
    <w:basedOn w:val="Odstavec"/>
    <w:qFormat/>
    <w:rsid w:val="007D6754"/>
    <w:rPr>
      <w:sz w:val="20"/>
    </w:rPr>
  </w:style>
  <w:style w:type="paragraph" w:customStyle="1" w:styleId="Odrky">
    <w:name w:val="Odrážky"/>
    <w:basedOn w:val="Odstavec"/>
    <w:qFormat/>
    <w:rsid w:val="005E47A9"/>
    <w:pPr>
      <w:numPr>
        <w:numId w:val="1"/>
      </w:numPr>
      <w:spacing w:before="240"/>
    </w:pPr>
  </w:style>
  <w:style w:type="paragraph" w:styleId="Header">
    <w:name w:val="header"/>
    <w:basedOn w:val="Normal"/>
    <w:link w:val="ZhlavChar"/>
    <w:uiPriority w:val="99"/>
    <w:unhideWhenUsed/>
    <w:rsid w:val="003246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24612"/>
    <w:rPr>
      <w:rFonts w:ascii="Cambria" w:hAnsi="Cambria" w:eastAsiaTheme="minorEastAsia"/>
    </w:rPr>
  </w:style>
  <w:style w:type="paragraph" w:styleId="Footer">
    <w:name w:val="footer"/>
    <w:basedOn w:val="Normal"/>
    <w:link w:val="ZpatChar"/>
    <w:uiPriority w:val="99"/>
    <w:unhideWhenUsed/>
    <w:rsid w:val="003246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24612"/>
    <w:rPr>
      <w:rFonts w:ascii="Cambria" w:hAnsi="Cambria" w:eastAsiaTheme="minorEastAsia"/>
    </w:rPr>
  </w:style>
  <w:style w:type="paragraph" w:styleId="TOC2">
    <w:name w:val="toc 2"/>
    <w:basedOn w:val="Normal"/>
    <w:next w:val="Normal"/>
    <w:autoRedefine/>
    <w:uiPriority w:val="39"/>
    <w:unhideWhenUsed/>
    <w:rsid w:val="00DE2DF5"/>
    <w:pPr>
      <w:tabs>
        <w:tab w:val="right" w:leader="dot" w:pos="9062"/>
      </w:tabs>
      <w:spacing w:before="120" w:after="120"/>
      <w:ind w:left="709"/>
    </w:pPr>
    <w:rPr>
      <w:rFonts w:asciiTheme="minorHAnsi" w:hAnsiTheme="minorHAnsi"/>
      <w:sz w:val="22"/>
      <w:szCs w:val="22"/>
    </w:rPr>
  </w:style>
  <w:style w:type="paragraph" w:styleId="TOC1">
    <w:name w:val="toc 1"/>
    <w:basedOn w:val="Normal"/>
    <w:next w:val="Normal"/>
    <w:autoRedefine/>
    <w:uiPriority w:val="39"/>
    <w:unhideWhenUsed/>
    <w:rsid w:val="00DE2DF5"/>
    <w:pPr>
      <w:tabs>
        <w:tab w:val="right" w:leader="dot" w:pos="9062"/>
      </w:tabs>
      <w:spacing w:before="120" w:after="120"/>
      <w:ind w:left="709" w:hanging="142"/>
    </w:pPr>
    <w:rPr>
      <w:rFonts w:asciiTheme="minorHAnsi" w:hAnsiTheme="minorHAnsi"/>
      <w:bCs/>
      <w:sz w:val="22"/>
      <w:szCs w:val="22"/>
    </w:rPr>
  </w:style>
  <w:style w:type="paragraph" w:styleId="TOC3">
    <w:name w:val="toc 3"/>
    <w:basedOn w:val="Normal"/>
    <w:next w:val="Normal"/>
    <w:autoRedefine/>
    <w:uiPriority w:val="39"/>
    <w:unhideWhenUsed/>
    <w:rsid w:val="000C0FA6"/>
    <w:pPr>
      <w:tabs>
        <w:tab w:val="right" w:leader="dot" w:pos="9062"/>
      </w:tabs>
      <w:spacing w:before="120" w:after="120"/>
      <w:ind w:left="403"/>
    </w:pPr>
    <w:rPr>
      <w:rFonts w:asciiTheme="minorHAnsi" w:hAnsiTheme="minorHAnsi"/>
      <w:iCs/>
      <w:sz w:val="22"/>
      <w:szCs w:val="22"/>
    </w:rPr>
  </w:style>
  <w:style w:type="character" w:styleId="Hyperlink">
    <w:name w:val="Hyperlink"/>
    <w:basedOn w:val="DefaultParagraphFont"/>
    <w:uiPriority w:val="99"/>
    <w:unhideWhenUsed/>
    <w:rsid w:val="00A855BB"/>
    <w:rPr>
      <w:color w:val="00B0F0" w:themeColor="hyperlink"/>
      <w:u w:val="single"/>
    </w:rPr>
  </w:style>
  <w:style w:type="paragraph" w:customStyle="1" w:styleId="Kapitolavodn">
    <w:name w:val="Kapitola (úvodní)"/>
    <w:basedOn w:val="Kapitola"/>
    <w:qFormat/>
    <w:rsid w:val="003F599C"/>
    <w:pPr>
      <w:outlineLvl w:val="0"/>
    </w:pPr>
    <w:rPr>
      <w:sz w:val="96"/>
    </w:rPr>
  </w:style>
  <w:style w:type="paragraph" w:styleId="ListParagraph">
    <w:name w:val="List Paragraph"/>
    <w:aliases w:val="Odstavec cíl se seznamem,Odstavec se seznamem1"/>
    <w:basedOn w:val="Normal"/>
    <w:link w:val="OdstavecseseznamemChar"/>
    <w:uiPriority w:val="34"/>
    <w:qFormat/>
    <w:rsid w:val="00586DB1"/>
    <w:pPr>
      <w:spacing w:line="288" w:lineRule="auto"/>
      <w:ind w:left="720"/>
      <w:contextualSpacing/>
    </w:pPr>
    <w:rPr>
      <w:rFonts w:asciiTheme="minorHAnsi" w:hAnsiTheme="minorHAnsi" w:cstheme="minorBidi"/>
      <w:sz w:val="22"/>
      <w:szCs w:val="22"/>
      <w:lang w:eastAsia="cs-CZ"/>
    </w:rPr>
  </w:style>
  <w:style w:type="character" w:customStyle="1" w:styleId="OdstavecseseznamemChar">
    <w:name w:val="Odstavec se seznamem Char"/>
    <w:aliases w:val="Odstavec cíl se seznamem Char,Odstavec se seznamem1 Char"/>
    <w:basedOn w:val="DefaultParagraphFont"/>
    <w:link w:val="ListParagraph"/>
    <w:uiPriority w:val="34"/>
    <w:rsid w:val="00586DB1"/>
    <w:rPr>
      <w:rFonts w:asciiTheme="minorHAnsi" w:eastAsiaTheme="minorEastAsia" w:hAnsiTheme="minorHAnsi" w:cstheme="minorBidi"/>
      <w:sz w:val="22"/>
      <w:szCs w:val="22"/>
      <w:lang w:eastAsia="cs-CZ"/>
    </w:rPr>
  </w:style>
  <w:style w:type="table" w:styleId="TableGrid">
    <w:name w:val="Table Grid"/>
    <w:basedOn w:val="TableNormal"/>
    <w:uiPriority w:val="59"/>
    <w:rsid w:val="00586D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unhideWhenUsed/>
    <w:rsid w:val="009866C2"/>
    <w:pPr>
      <w:spacing w:after="0" w:line="240" w:lineRule="auto"/>
    </w:pPr>
    <w:rPr>
      <w:rFonts w:asciiTheme="minorHAnsi" w:eastAsiaTheme="minorHAnsi" w:hAnsiTheme="minorHAnsi" w:cstheme="minorBidi"/>
    </w:rPr>
  </w:style>
  <w:style w:type="character" w:customStyle="1" w:styleId="TextpoznpodarouChar">
    <w:name w:val="Text pozn. pod čarou Char"/>
    <w:basedOn w:val="DefaultParagraphFont"/>
    <w:link w:val="FootnoteText"/>
    <w:uiPriority w:val="99"/>
    <w:rsid w:val="009866C2"/>
    <w:rPr>
      <w:rFonts w:asciiTheme="minorHAnsi" w:hAnsiTheme="minorHAnsi" w:cstheme="minorBidi"/>
    </w:rPr>
  </w:style>
  <w:style w:type="character" w:styleId="FootnoteReference">
    <w:name w:val="footnote reference"/>
    <w:basedOn w:val="DefaultParagraphFont"/>
    <w:uiPriority w:val="99"/>
    <w:semiHidden/>
    <w:unhideWhenUsed/>
    <w:rsid w:val="009866C2"/>
    <w:rPr>
      <w:vertAlign w:val="superscript"/>
    </w:rPr>
  </w:style>
  <w:style w:type="paragraph" w:styleId="TOC4">
    <w:name w:val="toc 4"/>
    <w:basedOn w:val="Normal"/>
    <w:next w:val="Normal"/>
    <w:autoRedefine/>
    <w:uiPriority w:val="39"/>
    <w:unhideWhenUsed/>
    <w:rsid w:val="00F05097"/>
    <w:pPr>
      <w:spacing w:after="0"/>
      <w:ind w:left="600"/>
    </w:pPr>
    <w:rPr>
      <w:rFonts w:asciiTheme="minorHAnsi" w:hAnsiTheme="minorHAnsi"/>
      <w:sz w:val="18"/>
      <w:szCs w:val="18"/>
    </w:rPr>
  </w:style>
  <w:style w:type="paragraph" w:customStyle="1" w:styleId="Default">
    <w:name w:val="Default"/>
    <w:rsid w:val="007F26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verskrift2">
    <w:name w:val="Overskrift 2"/>
    <w:basedOn w:val="Default"/>
    <w:next w:val="Default"/>
    <w:uiPriority w:val="99"/>
    <w:rsid w:val="007F2621"/>
    <w:rPr>
      <w:color w:val="auto"/>
    </w:rPr>
  </w:style>
  <w:style w:type="paragraph" w:customStyle="1" w:styleId="Overskrift3">
    <w:name w:val="Overskrift 3"/>
    <w:basedOn w:val="Default"/>
    <w:next w:val="Default"/>
    <w:uiPriority w:val="99"/>
    <w:rsid w:val="007F2621"/>
    <w:rPr>
      <w:color w:val="auto"/>
    </w:rPr>
  </w:style>
  <w:style w:type="paragraph" w:customStyle="1" w:styleId="Text">
    <w:name w:val="•Text"/>
    <w:basedOn w:val="Default"/>
    <w:next w:val="Default"/>
    <w:uiPriority w:val="99"/>
    <w:rsid w:val="007F2621"/>
    <w:rPr>
      <w:color w:val="auto"/>
    </w:rPr>
  </w:style>
  <w:style w:type="paragraph" w:customStyle="1" w:styleId="CEberschr1">
    <w:name w:val="CE_Überschr_1"/>
    <w:basedOn w:val="Default"/>
    <w:next w:val="Default"/>
    <w:uiPriority w:val="99"/>
    <w:rsid w:val="007F2621"/>
    <w:rPr>
      <w:color w:val="auto"/>
    </w:rPr>
  </w:style>
  <w:style w:type="paragraph" w:customStyle="1" w:styleId="Bulletslevel1">
    <w:name w:val="Bullets level 1"/>
    <w:basedOn w:val="Normal"/>
    <w:link w:val="Bulletslevel1Char"/>
    <w:uiPriority w:val="99"/>
    <w:qFormat/>
    <w:rsid w:val="00462D2D"/>
    <w:pPr>
      <w:numPr>
        <w:numId w:val="2"/>
      </w:numPr>
      <w:spacing w:before="120" w:after="60" w:line="240" w:lineRule="auto"/>
    </w:pPr>
    <w:rPr>
      <w:rFonts w:ascii="Arial" w:eastAsia="Times" w:hAnsi="Arial" w:cs="Arial"/>
      <w:color w:val="000000"/>
      <w:sz w:val="19"/>
    </w:rPr>
  </w:style>
  <w:style w:type="character" w:customStyle="1" w:styleId="Bulletslevel1Char">
    <w:name w:val="Bullets level 1 Char"/>
    <w:basedOn w:val="DefaultParagraphFont"/>
    <w:link w:val="Bulletslevel1"/>
    <w:uiPriority w:val="99"/>
    <w:rsid w:val="00462D2D"/>
    <w:rPr>
      <w:rFonts w:ascii="Arial" w:eastAsia="Times" w:hAnsi="Arial" w:cs="Arial"/>
      <w:color w:val="000000"/>
      <w:sz w:val="19"/>
    </w:rPr>
  </w:style>
  <w:style w:type="table" w:customStyle="1" w:styleId="Mkatabulky1">
    <w:name w:val="Mřížka tabulky1"/>
    <w:basedOn w:val="TableNormal"/>
    <w:next w:val="TableGrid"/>
    <w:uiPriority w:val="59"/>
    <w:rsid w:val="00002FAC"/>
    <w:pPr>
      <w:spacing w:after="0" w:line="240" w:lineRule="auto"/>
    </w:pPr>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617"/>
    <w:rPr>
      <w:b/>
      <w:bCs/>
    </w:rPr>
  </w:style>
  <w:style w:type="paragraph" w:styleId="NormalWeb">
    <w:name w:val="Normal (Web)"/>
    <w:basedOn w:val="Normal"/>
    <w:uiPriority w:val="99"/>
    <w:unhideWhenUsed/>
    <w:rsid w:val="009C470B"/>
    <w:rPr>
      <w:rFonts w:ascii="Times New Roman" w:hAnsi="Times New Roman" w:cs="Times New Roman"/>
      <w:szCs w:val="24"/>
    </w:rPr>
  </w:style>
  <w:style w:type="character" w:styleId="CommentReference">
    <w:name w:val="annotation reference"/>
    <w:basedOn w:val="DefaultParagraphFont"/>
    <w:uiPriority w:val="99"/>
    <w:semiHidden/>
    <w:unhideWhenUsed/>
    <w:rsid w:val="0009081C"/>
    <w:rPr>
      <w:sz w:val="16"/>
      <w:szCs w:val="16"/>
    </w:rPr>
  </w:style>
  <w:style w:type="paragraph" w:styleId="CommentText">
    <w:name w:val="annotation text"/>
    <w:basedOn w:val="Normal"/>
    <w:link w:val="TextkomenteChar"/>
    <w:uiPriority w:val="99"/>
    <w:semiHidden/>
    <w:unhideWhenUsed/>
    <w:rsid w:val="0009081C"/>
    <w:pPr>
      <w:spacing w:line="240" w:lineRule="auto"/>
    </w:pPr>
  </w:style>
  <w:style w:type="character" w:customStyle="1" w:styleId="TextkomenteChar">
    <w:name w:val="Text komentáře Char"/>
    <w:basedOn w:val="DefaultParagraphFont"/>
    <w:link w:val="CommentText"/>
    <w:uiPriority w:val="99"/>
    <w:semiHidden/>
    <w:rsid w:val="0009081C"/>
    <w:rPr>
      <w:rFonts w:ascii="Cambria" w:hAnsi="Cambria" w:eastAsiaTheme="minorEastAsia"/>
    </w:rPr>
  </w:style>
  <w:style w:type="paragraph" w:styleId="CommentSubject">
    <w:name w:val="annotation subject"/>
    <w:basedOn w:val="CommentText"/>
    <w:next w:val="CommentText"/>
    <w:link w:val="PedmtkomenteChar"/>
    <w:uiPriority w:val="99"/>
    <w:semiHidden/>
    <w:unhideWhenUsed/>
    <w:rsid w:val="0009081C"/>
    <w:rPr>
      <w:b/>
      <w:bCs/>
    </w:rPr>
  </w:style>
  <w:style w:type="character" w:customStyle="1" w:styleId="PedmtkomenteChar">
    <w:name w:val="Předmět komentáře Char"/>
    <w:basedOn w:val="TextkomenteChar"/>
    <w:link w:val="CommentSubject"/>
    <w:uiPriority w:val="99"/>
    <w:semiHidden/>
    <w:rsid w:val="0009081C"/>
    <w:rPr>
      <w:rFonts w:ascii="Cambria" w:hAnsi="Cambria" w:eastAsiaTheme="minorEastAsia"/>
      <w:b/>
      <w:bCs/>
    </w:rPr>
  </w:style>
  <w:style w:type="paragraph" w:styleId="Revision">
    <w:name w:val="Revision"/>
    <w:hidden/>
    <w:uiPriority w:val="99"/>
    <w:semiHidden/>
    <w:rsid w:val="0086055B"/>
    <w:pPr>
      <w:spacing w:after="0" w:line="240" w:lineRule="auto"/>
    </w:pPr>
    <w:rPr>
      <w:rFonts w:ascii="Cambria" w:hAnsi="Cambria" w:eastAsiaTheme="minorEastAsia"/>
    </w:rPr>
  </w:style>
  <w:style w:type="paragraph" w:styleId="TOCHeading">
    <w:name w:val="TOC Heading"/>
    <w:basedOn w:val="Heading1"/>
    <w:next w:val="Normal"/>
    <w:uiPriority w:val="39"/>
    <w:unhideWhenUsed/>
    <w:qFormat/>
    <w:rsid w:val="0034110C"/>
    <w:pPr>
      <w:spacing w:after="0"/>
      <w:outlineLvl w:val="9"/>
    </w:pPr>
    <w:rPr>
      <w:caps w:val="0"/>
      <w:color w:val="1B6092" w:themeColor="accent1" w:themeShade="BF"/>
      <w:sz w:val="28"/>
      <w:lang w:eastAsia="cs-CZ"/>
    </w:rPr>
  </w:style>
  <w:style w:type="paragraph" w:styleId="TOC5">
    <w:name w:val="toc 5"/>
    <w:basedOn w:val="Normal"/>
    <w:next w:val="Normal"/>
    <w:autoRedefine/>
    <w:uiPriority w:val="39"/>
    <w:semiHidden/>
    <w:unhideWhenUsed/>
    <w:rsid w:val="0034110C"/>
    <w:pPr>
      <w:spacing w:after="0"/>
      <w:ind w:left="800"/>
    </w:pPr>
    <w:rPr>
      <w:rFonts w:asciiTheme="minorHAnsi" w:hAnsiTheme="minorHAnsi"/>
      <w:sz w:val="18"/>
      <w:szCs w:val="18"/>
    </w:rPr>
  </w:style>
  <w:style w:type="paragraph" w:styleId="TOC6">
    <w:name w:val="toc 6"/>
    <w:basedOn w:val="Normal"/>
    <w:next w:val="Normal"/>
    <w:autoRedefine/>
    <w:uiPriority w:val="39"/>
    <w:semiHidden/>
    <w:unhideWhenUsed/>
    <w:rsid w:val="0034110C"/>
    <w:pPr>
      <w:spacing w:after="0"/>
      <w:ind w:left="1000"/>
    </w:pPr>
    <w:rPr>
      <w:rFonts w:asciiTheme="minorHAnsi" w:hAnsiTheme="minorHAnsi"/>
      <w:sz w:val="18"/>
      <w:szCs w:val="18"/>
    </w:rPr>
  </w:style>
  <w:style w:type="paragraph" w:styleId="TOC7">
    <w:name w:val="toc 7"/>
    <w:basedOn w:val="Normal"/>
    <w:next w:val="Normal"/>
    <w:autoRedefine/>
    <w:uiPriority w:val="39"/>
    <w:semiHidden/>
    <w:unhideWhenUsed/>
    <w:rsid w:val="0034110C"/>
    <w:pPr>
      <w:spacing w:after="0"/>
      <w:ind w:left="1200"/>
    </w:pPr>
    <w:rPr>
      <w:rFonts w:asciiTheme="minorHAnsi" w:hAnsiTheme="minorHAnsi"/>
      <w:sz w:val="18"/>
      <w:szCs w:val="18"/>
    </w:rPr>
  </w:style>
  <w:style w:type="paragraph" w:styleId="TOC8">
    <w:name w:val="toc 8"/>
    <w:basedOn w:val="Normal"/>
    <w:next w:val="Normal"/>
    <w:autoRedefine/>
    <w:uiPriority w:val="39"/>
    <w:semiHidden/>
    <w:unhideWhenUsed/>
    <w:rsid w:val="0034110C"/>
    <w:pPr>
      <w:spacing w:after="0"/>
      <w:ind w:left="1400"/>
    </w:pPr>
    <w:rPr>
      <w:rFonts w:asciiTheme="minorHAnsi" w:hAnsiTheme="minorHAnsi"/>
      <w:sz w:val="18"/>
      <w:szCs w:val="18"/>
    </w:rPr>
  </w:style>
  <w:style w:type="paragraph" w:styleId="TOC9">
    <w:name w:val="toc 9"/>
    <w:basedOn w:val="Normal"/>
    <w:next w:val="Normal"/>
    <w:autoRedefine/>
    <w:uiPriority w:val="39"/>
    <w:semiHidden/>
    <w:unhideWhenUsed/>
    <w:rsid w:val="0034110C"/>
    <w:pPr>
      <w:spacing w:after="0"/>
      <w:ind w:left="1600"/>
    </w:pPr>
    <w:rPr>
      <w:rFonts w:asciiTheme="minorHAnsi" w:hAnsiTheme="minorHAnsi"/>
      <w:sz w:val="18"/>
      <w:szCs w:val="18"/>
    </w:rPr>
  </w:style>
  <w:style w:type="character" w:customStyle="1" w:styleId="Nadpis4Char">
    <w:name w:val="Nadpis 4 Char"/>
    <w:basedOn w:val="DefaultParagraphFont"/>
    <w:link w:val="Heading4"/>
    <w:uiPriority w:val="9"/>
    <w:rsid w:val="000C0FA6"/>
    <w:rPr>
      <w:rFonts w:asciiTheme="majorHAnsi" w:eastAsiaTheme="majorEastAsia" w:hAnsiTheme="majorHAnsi" w:cstheme="majorBidi"/>
      <w:b/>
      <w:bCs/>
      <w:i/>
      <w:iCs/>
      <w:color w:val="2581C4" w:themeColor="accent1"/>
    </w:rPr>
  </w:style>
  <w:style w:type="character" w:styleId="PlaceholderText">
    <w:name w:val="Placeholder Text"/>
    <w:basedOn w:val="DefaultParagraphFont"/>
    <w:uiPriority w:val="99"/>
    <w:semiHidden/>
    <w:rsid w:val="00671306"/>
    <w:rPr>
      <w:color w:val="808080"/>
    </w:rPr>
  </w:style>
  <w:style w:type="table" w:styleId="LightShading">
    <w:name w:val="Light Shading"/>
    <w:basedOn w:val="TableNormal"/>
    <w:uiPriority w:val="60"/>
    <w:rsid w:val="00F05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572E"/>
    <w:pPr>
      <w:spacing w:after="0" w:line="240" w:lineRule="auto"/>
    </w:pPr>
    <w:rPr>
      <w:color w:val="1B6092" w:themeColor="accent1" w:themeShade="BF"/>
    </w:rPr>
    <w:tblPr>
      <w:tblStyleRowBandSize w:val="1"/>
      <w:tblStyleColBandSize w:val="1"/>
      <w:tblBorders>
        <w:top w:val="single" w:sz="8" w:space="0" w:color="2581C4" w:themeColor="accent1"/>
        <w:bottom w:val="single" w:sz="8" w:space="0" w:color="2581C4" w:themeColor="accent1"/>
      </w:tblBorders>
    </w:tblPr>
    <w:tblStylePr w:type="fir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la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1" w:themeFillTint="3F"/>
      </w:tcPr>
    </w:tblStylePr>
    <w:tblStylePr w:type="band1Horz">
      <w:tblPr/>
      <w:tcPr>
        <w:tcBorders>
          <w:left w:val="nil"/>
          <w:right w:val="nil"/>
          <w:insideH w:val="nil"/>
          <w:insideV w:val="nil"/>
        </w:tcBorders>
        <w:shd w:val="clear" w:color="auto" w:fill="C5E0F4" w:themeFill="accent1" w:themeFillTint="3F"/>
      </w:tcPr>
    </w:tblStylePr>
  </w:style>
  <w:style w:type="table" w:customStyle="1" w:styleId="Styl1">
    <w:name w:val="Styl1"/>
    <w:basedOn w:val="TableNormal"/>
    <w:uiPriority w:val="99"/>
    <w:rsid w:val="00AC2DBE"/>
    <w:pPr>
      <w:spacing w:after="0" w:line="240" w:lineRule="auto"/>
      <w:jc w:val="center"/>
    </w:pPr>
    <w:rPr>
      <w:rFonts w:asciiTheme="minorHAnsi" w:hAnsiTheme="minorHAnsi"/>
    </w:rPr>
    <w:tblPr>
      <w:tblBorders>
        <w:insideH w:val="single" w:sz="6" w:space="0" w:color="auto"/>
        <w:insideV w:val="single" w:sz="6" w:space="0" w:color="auto"/>
      </w:tblBorders>
    </w:tblPr>
    <w:tcPr>
      <w:vAlign w:val="center"/>
    </w:tcPr>
    <w:tblStylePr w:type="firstRow">
      <w:rPr>
        <w:b w:val="0"/>
      </w:rPr>
    </w:tblStylePr>
    <w:tblStylePr w:type="firstCol">
      <w:pPr>
        <w:jc w:val="center"/>
      </w:pPr>
      <w:rPr>
        <w:b w:val="0"/>
      </w:rPr>
      <w:tblPr/>
      <w:tcPr>
        <w:tcBorders>
          <w:top w:val="nil"/>
          <w:left w:val="nil"/>
          <w:bottom w:val="nil"/>
          <w:right w:val="single" w:sz="12" w:space="0" w:color="auto"/>
          <w:insideH w:val="nil"/>
          <w:insideV w:val="nil"/>
        </w:tcBorders>
      </w:tcPr>
    </w:tblStylePr>
  </w:style>
  <w:style w:type="table" w:customStyle="1" w:styleId="Styl2">
    <w:name w:val="Styl2"/>
    <w:basedOn w:val="TableNormal"/>
    <w:uiPriority w:val="99"/>
    <w:rsid w:val="001878BA"/>
    <w:pPr>
      <w:spacing w:after="0" w:line="240" w:lineRule="auto"/>
    </w:p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paragraph" w:styleId="Subtitle">
    <w:name w:val="Subtitle"/>
    <w:basedOn w:val="TOCHeading"/>
    <w:next w:val="Normal"/>
    <w:link w:val="PodtitulChar"/>
    <w:uiPriority w:val="11"/>
    <w:qFormat/>
    <w:rsid w:val="003F599C"/>
    <w:pPr>
      <w:keepLines w:val="0"/>
      <w:spacing w:before="360" w:after="240" w:line="240" w:lineRule="auto"/>
      <w:jc w:val="left"/>
    </w:pPr>
    <w:rPr>
      <w:rFonts w:ascii="Segoe UI" w:eastAsia="Times New Roman" w:hAnsi="Segoe UI" w:cs="Tahoma"/>
      <w:b w:val="0"/>
      <w:bCs w:val="0"/>
      <w:color w:val="093D93"/>
      <w:sz w:val="32"/>
      <w:szCs w:val="20"/>
      <w:lang w:eastAsia="en-US"/>
    </w:rPr>
  </w:style>
  <w:style w:type="character" w:customStyle="1" w:styleId="PodtitulChar">
    <w:name w:val="Podtitul Char"/>
    <w:basedOn w:val="DefaultParagraphFont"/>
    <w:link w:val="Subtitle"/>
    <w:uiPriority w:val="11"/>
    <w:rsid w:val="003F599C"/>
    <w:rPr>
      <w:rFonts w:ascii="Segoe UI" w:eastAsia="Times New Roman" w:hAnsi="Segoe UI"/>
      <w:color w:val="093D93"/>
      <w:sz w:val="32"/>
    </w:rPr>
  </w:style>
  <w:style w:type="paragraph" w:customStyle="1" w:styleId="Pklad">
    <w:name w:val="Příklad"/>
    <w:basedOn w:val="Normal"/>
    <w:link w:val="PkladChar"/>
    <w:qFormat/>
    <w:rsid w:val="003F599C"/>
    <w:pPr>
      <w:spacing w:after="120"/>
      <w:ind w:left="171" w:right="170" w:firstLine="283"/>
    </w:pPr>
    <w:rPr>
      <w:rFonts w:eastAsia="Times New Roman"/>
      <w:sz w:val="18"/>
    </w:rPr>
  </w:style>
  <w:style w:type="character" w:customStyle="1" w:styleId="PkladChar">
    <w:name w:val="Příklad Char"/>
    <w:basedOn w:val="DefaultParagraphFont"/>
    <w:link w:val="Pklad"/>
    <w:rsid w:val="003F599C"/>
    <w:rPr>
      <w:rFonts w:ascii="Cambria" w:eastAsia="Times New Roman" w:hAnsi="Cambria"/>
      <w:sz w:val="18"/>
    </w:rPr>
  </w:style>
  <w:style w:type="paragraph" w:customStyle="1" w:styleId="PkladFooter">
    <w:name w:val="Příklad Footer"/>
    <w:basedOn w:val="Pklad"/>
    <w:link w:val="PkladFooterChar"/>
    <w:qFormat/>
    <w:rsid w:val="003F599C"/>
    <w:rPr>
      <w:sz w:val="2"/>
    </w:rPr>
  </w:style>
  <w:style w:type="character" w:customStyle="1" w:styleId="PkladFooterChar">
    <w:name w:val="Příklad Footer Char"/>
    <w:basedOn w:val="PkladChar"/>
    <w:link w:val="PkladFooter"/>
    <w:rsid w:val="003F599C"/>
    <w:rPr>
      <w:rFonts w:ascii="Cambria" w:eastAsia="Times New Roman" w:hAnsi="Cambria"/>
      <w:sz w:val="2"/>
    </w:rPr>
  </w:style>
  <w:style w:type="paragraph" w:customStyle="1" w:styleId="Popisobrzku">
    <w:name w:val="Popis obrázku"/>
    <w:basedOn w:val="Caption"/>
    <w:link w:val="PopisobrzkuChar"/>
    <w:qFormat/>
    <w:rsid w:val="003F599C"/>
    <w:pPr>
      <w:pBdr>
        <w:bottom w:val="single" w:sz="24" w:space="1" w:color="F2F2F2" w:themeColor="background1" w:themeShade="F2"/>
      </w:pBdr>
      <w:spacing w:before="60" w:after="120"/>
      <w:jc w:val="right"/>
    </w:pPr>
    <w:rPr>
      <w:rFonts w:eastAsia="Times New Roman"/>
      <w:color w:val="auto"/>
      <w:sz w:val="16"/>
      <w:szCs w:val="20"/>
    </w:rPr>
  </w:style>
  <w:style w:type="character" w:customStyle="1" w:styleId="PopisobrzkuChar">
    <w:name w:val="Popis obrázku Char"/>
    <w:basedOn w:val="DefaultParagraphFont"/>
    <w:link w:val="Popisobrzku"/>
    <w:rsid w:val="003F599C"/>
    <w:rPr>
      <w:rFonts w:ascii="Cambria" w:eastAsia="Times New Roman" w:hAnsi="Cambria"/>
      <w:b/>
      <w:bCs/>
      <w:sz w:val="16"/>
    </w:rPr>
  </w:style>
  <w:style w:type="paragraph" w:customStyle="1" w:styleId="Pkladodraen">
    <w:name w:val="Příklad odražení"/>
    <w:basedOn w:val="Normal"/>
    <w:link w:val="PkladodraenChar"/>
    <w:qFormat/>
    <w:rsid w:val="003F599C"/>
    <w:pPr>
      <w:numPr>
        <w:numId w:val="14"/>
      </w:numPr>
      <w:spacing w:after="120"/>
      <w:ind w:right="170"/>
      <w:contextualSpacing/>
    </w:pPr>
    <w:rPr>
      <w:rFonts w:eastAsia="Times New Roman"/>
      <w:sz w:val="18"/>
    </w:rPr>
  </w:style>
  <w:style w:type="character" w:customStyle="1" w:styleId="PkladodraenChar">
    <w:name w:val="Příklad odražení Char"/>
    <w:basedOn w:val="DefaultParagraphFont"/>
    <w:link w:val="Pkladodraen"/>
    <w:rsid w:val="003F599C"/>
    <w:rPr>
      <w:rFonts w:ascii="Cambria" w:eastAsia="Times New Roman" w:hAnsi="Cambria"/>
      <w:sz w:val="18"/>
    </w:rPr>
  </w:style>
  <w:style w:type="paragraph" w:customStyle="1" w:styleId="Odrka1">
    <w:name w:val="Odrážka 1"/>
    <w:basedOn w:val="ListParagraph"/>
    <w:link w:val="Odrka1Char"/>
    <w:qFormat/>
    <w:rsid w:val="003F599C"/>
    <w:pPr>
      <w:numPr>
        <w:numId w:val="12"/>
      </w:numPr>
      <w:spacing w:before="120" w:after="120" w:line="240" w:lineRule="auto"/>
      <w:ind w:left="714" w:hanging="357"/>
      <w:contextualSpacing w:val="0"/>
      <w:jc w:val="left"/>
    </w:pPr>
    <w:rPr>
      <w:rFonts w:ascii="Cambria" w:eastAsia="Times New Roman" w:hAnsi="Cambria"/>
    </w:rPr>
  </w:style>
  <w:style w:type="character" w:customStyle="1" w:styleId="Odrka1Char">
    <w:name w:val="Odrážka 1 Char"/>
    <w:basedOn w:val="OdstavecseseznamemChar"/>
    <w:link w:val="Odrka1"/>
    <w:rsid w:val="003F599C"/>
    <w:rPr>
      <w:rFonts w:ascii="Cambria" w:eastAsia="Times New Roman" w:hAnsi="Cambria" w:cstheme="minorBidi"/>
      <w:sz w:val="22"/>
      <w:szCs w:val="22"/>
      <w:lang w:eastAsia="cs-CZ"/>
    </w:rPr>
  </w:style>
  <w:style w:type="paragraph" w:customStyle="1" w:styleId="Nadpisproobsah">
    <w:name w:val="Nadpis pro obsah"/>
    <w:basedOn w:val="Heading1"/>
    <w:link w:val="NadpisproobsahChar"/>
    <w:qFormat/>
    <w:rsid w:val="003F599C"/>
    <w:pPr>
      <w:keepLines w:val="0"/>
      <w:spacing w:before="360" w:line="240" w:lineRule="auto"/>
      <w:jc w:val="left"/>
    </w:pPr>
    <w:rPr>
      <w:rFonts w:eastAsia="Times New Roman"/>
      <w:b w:val="0"/>
      <w:bCs w:val="0"/>
      <w:caps w:val="0"/>
      <w:color w:val="093D93"/>
      <w:sz w:val="32"/>
    </w:rPr>
  </w:style>
  <w:style w:type="character" w:customStyle="1" w:styleId="NadpisproobsahChar">
    <w:name w:val="Nadpis pro obsah Char"/>
    <w:basedOn w:val="Nadpis1Char"/>
    <w:link w:val="Nadpisproobsah"/>
    <w:rsid w:val="003F599C"/>
    <w:rPr>
      <w:rFonts w:eastAsia="Times New Roman" w:asciiTheme="majorHAnsi" w:hAnsiTheme="majorHAnsi" w:cstheme="majorBidi"/>
      <w:b w:val="0"/>
      <w:bCs w:val="0"/>
      <w:caps w:val="0"/>
      <w:color w:val="093D93"/>
      <w:sz w:val="32"/>
      <w:szCs w:val="28"/>
    </w:rPr>
  </w:style>
  <w:style w:type="paragraph" w:styleId="Caption">
    <w:name w:val="caption"/>
    <w:basedOn w:val="Normal"/>
    <w:next w:val="Normal"/>
    <w:uiPriority w:val="35"/>
    <w:semiHidden/>
    <w:unhideWhenUsed/>
    <w:qFormat/>
    <w:rsid w:val="003F599C"/>
    <w:pPr>
      <w:spacing w:line="240" w:lineRule="auto"/>
    </w:pPr>
    <w:rPr>
      <w:b/>
      <w:bCs/>
      <w:color w:val="2581C4" w:themeColor="accent1"/>
      <w:sz w:val="18"/>
      <w:szCs w:val="18"/>
    </w:rPr>
  </w:style>
  <w:style w:type="paragraph" w:customStyle="1" w:styleId="Nadpispkladu">
    <w:name w:val="Nadpis příkladu"/>
    <w:basedOn w:val="Pklad"/>
    <w:link w:val="NadpispkladuChar"/>
    <w:qFormat/>
    <w:rsid w:val="000129A4"/>
    <w:pPr>
      <w:ind w:firstLine="0"/>
    </w:pPr>
    <w:rPr>
      <w:sz w:val="24"/>
    </w:rPr>
  </w:style>
  <w:style w:type="character" w:customStyle="1" w:styleId="NadpispkladuChar">
    <w:name w:val="Nadpis příkladu Char"/>
    <w:basedOn w:val="PkladChar"/>
    <w:link w:val="Nadpispkladu"/>
    <w:rsid w:val="000129A4"/>
    <w:rPr>
      <w:rFonts w:ascii="Cambria" w:eastAsia="Times New Roman" w:hAnsi="Cambria"/>
      <w:sz w:val="24"/>
    </w:rPr>
  </w:style>
  <w:style w:type="paragraph" w:customStyle="1" w:styleId="Pkladnadpis">
    <w:name w:val="Příklad nadpis"/>
    <w:basedOn w:val="Pklad"/>
    <w:link w:val="PkladnadpisChar"/>
    <w:qFormat/>
    <w:rsid w:val="000129A4"/>
    <w:pPr>
      <w:ind w:left="170" w:firstLine="0"/>
    </w:pPr>
  </w:style>
  <w:style w:type="character" w:customStyle="1" w:styleId="PkladnadpisChar">
    <w:name w:val="Příklad nadpis Char"/>
    <w:basedOn w:val="PkladChar"/>
    <w:link w:val="Pkladnadpis"/>
    <w:rsid w:val="000129A4"/>
    <w:rPr>
      <w:rFonts w:ascii="Cambria" w:eastAsia="Times New Roman" w:hAnsi="Cambr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300"/>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2.png" /></Relationships>
</file>

<file path=word/theme/theme1.xml><?xml version="1.0" encoding="utf-8"?>
<a:theme xmlns:a="http://schemas.openxmlformats.org/drawingml/2006/main" name="Motiv systému Office">
  <a:themeElements>
    <a:clrScheme name="MFSazba">
      <a:dk1>
        <a:sysClr val="windowText" lastClr="000000"/>
      </a:dk1>
      <a:lt1>
        <a:sysClr val="window" lastClr="FFFFFF"/>
      </a:lt1>
      <a:dk2>
        <a:srgbClr val="2581C4"/>
      </a:dk2>
      <a:lt2>
        <a:srgbClr val="E73431"/>
      </a:lt2>
      <a:accent1>
        <a:srgbClr val="2581C4"/>
      </a:accent1>
      <a:accent2>
        <a:srgbClr val="E73431"/>
      </a:accent2>
      <a:accent3>
        <a:srgbClr val="92D050"/>
      </a:accent3>
      <a:accent4>
        <a:srgbClr val="7030A0"/>
      </a:accent4>
      <a:accent5>
        <a:srgbClr val="00B0F0"/>
      </a:accent5>
      <a:accent6>
        <a:srgbClr val="FFC000"/>
      </a:accent6>
      <a:hlink>
        <a:srgbClr val="00B0F0"/>
      </a:hlink>
      <a:folHlink>
        <a:srgbClr val="0070C0"/>
      </a:folHlink>
    </a:clrScheme>
    <a:fontScheme name="MFSazba">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6B7B-B9CA-48FE-B972-2A420611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162</TotalTime>
  <Pages>25</Pages>
  <Words>5419</Words>
  <Characters>31973</Characters>
  <Application>Microsoft Office Word</Application>
  <DocSecurity>0</DocSecurity>
  <Lines>266</Lines>
  <Paragraphs>74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vZOROVÁ SMĚRNICE</vt:lpstr>
      <vt:lpstr>Charta přezkumníka</vt:lpstr>
      <vt:lpstr>Charta přezkumníka</vt:lpstr>
    </vt:vector>
  </TitlesOfParts>
  <Company/>
  <LinksUpToDate>false</LinksUpToDate>
  <CharactersWithSpaces>37318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2020-03-26T14:09:00Z</dcterms:created>
</cp:coreProperties>
</file>