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10CE1" w:rsidP="00AA71C3">
      <w:pPr>
        <w:pStyle w:val="Heading1"/>
        <w:spacing w:before="120"/>
        <w:jc w:val="center"/>
        <w:rPr>
          <w:sz w:val="24"/>
          <w:szCs w:val="21"/>
        </w:rPr>
      </w:pPr>
      <w:r>
        <w:rPr>
          <w:sz w:val="24"/>
          <w:szCs w:val="21"/>
        </w:rPr>
        <w:t>272</w:t>
      </w:r>
    </w:p>
    <w:p w:rsidR="00AA71C3" w:rsidRPr="00204BA0" w:rsidP="00AA71C3">
      <w:pPr>
        <w:pStyle w:val="Heading1"/>
        <w:spacing w:before="120"/>
        <w:jc w:val="center"/>
        <w:rPr>
          <w:sz w:val="24"/>
          <w:szCs w:val="21"/>
        </w:rPr>
      </w:pPr>
      <w:r w:rsidRPr="00204BA0">
        <w:rPr>
          <w:sz w:val="24"/>
          <w:szCs w:val="21"/>
        </w:rPr>
        <w:t>VYHLÁŠKA</w:t>
      </w:r>
    </w:p>
    <w:p w:rsidR="00AA71C3" w:rsidRPr="00204BA0" w:rsidP="00AA71C3">
      <w:pPr>
        <w:pStyle w:val="List2"/>
        <w:ind w:left="0" w:firstLine="0"/>
        <w:jc w:val="center"/>
        <w:rPr>
          <w:szCs w:val="22"/>
        </w:rPr>
      </w:pPr>
      <w:r w:rsidRPr="00204BA0">
        <w:rPr>
          <w:szCs w:val="22"/>
        </w:rPr>
        <w:t>ze dne</w:t>
      </w:r>
      <w:r w:rsidR="00E10CE1">
        <w:rPr>
          <w:szCs w:val="22"/>
        </w:rPr>
        <w:t xml:space="preserve"> 25. </w:t>
      </w:r>
      <w:r w:rsidR="00D07E1D">
        <w:rPr>
          <w:szCs w:val="22"/>
        </w:rPr>
        <w:t xml:space="preserve">srpna </w:t>
      </w:r>
      <w:r w:rsidRPr="00204BA0">
        <w:rPr>
          <w:szCs w:val="22"/>
        </w:rPr>
        <w:t>20</w:t>
      </w:r>
      <w:r w:rsidRPr="00204BA0" w:rsidR="006E5213">
        <w:rPr>
          <w:szCs w:val="22"/>
        </w:rPr>
        <w:t>1</w:t>
      </w:r>
      <w:r w:rsidRPr="00204BA0" w:rsidR="00D37B1B">
        <w:rPr>
          <w:szCs w:val="22"/>
        </w:rPr>
        <w:t>6</w:t>
      </w:r>
    </w:p>
    <w:p w:rsidR="00AA71C3" w:rsidRPr="00204BA0" w:rsidP="00AA71C3">
      <w:pPr>
        <w:pStyle w:val="List2"/>
        <w:spacing w:before="0" w:after="0"/>
        <w:ind w:left="0" w:firstLine="0"/>
        <w:jc w:val="center"/>
        <w:rPr>
          <w:b/>
          <w:szCs w:val="22"/>
        </w:rPr>
      </w:pPr>
    </w:p>
    <w:p w:rsidR="00AA71C3" w:rsidRPr="00204BA0" w:rsidP="00AA71C3">
      <w:pPr>
        <w:pStyle w:val="List2"/>
        <w:spacing w:before="0" w:after="0"/>
        <w:ind w:left="0" w:firstLine="0"/>
        <w:jc w:val="center"/>
        <w:rPr>
          <w:b/>
          <w:szCs w:val="22"/>
        </w:rPr>
      </w:pPr>
      <w:r w:rsidRPr="00204BA0">
        <w:rPr>
          <w:b/>
          <w:szCs w:val="22"/>
        </w:rPr>
        <w:t>o podílu jednotlivých obcí</w:t>
      </w:r>
      <w:r w:rsidRPr="00204BA0">
        <w:rPr>
          <w:b/>
          <w:sz w:val="22"/>
          <w:szCs w:val="22"/>
        </w:rPr>
        <w:t xml:space="preserve"> </w:t>
      </w:r>
      <w:r w:rsidRPr="00204BA0">
        <w:rPr>
          <w:b/>
          <w:szCs w:val="22"/>
        </w:rPr>
        <w:t>na stanovených procentních částech</w:t>
      </w:r>
    </w:p>
    <w:p w:rsidR="00AA71C3" w:rsidRPr="00204BA0" w:rsidP="00AA71C3">
      <w:pPr>
        <w:pStyle w:val="List2"/>
        <w:spacing w:before="0" w:after="0"/>
        <w:ind w:left="0" w:firstLine="0"/>
        <w:jc w:val="center"/>
        <w:rPr>
          <w:b/>
          <w:szCs w:val="22"/>
        </w:rPr>
      </w:pPr>
      <w:r w:rsidRPr="00204BA0">
        <w:rPr>
          <w:b/>
          <w:szCs w:val="22"/>
        </w:rPr>
        <w:t>celostátního hrubého výnosu daně z přidané hodnoty a daní z příjmů</w:t>
      </w:r>
    </w:p>
    <w:p w:rsidR="00AA71C3" w:rsidRPr="00204BA0" w:rsidP="00AA71C3">
      <w:pPr>
        <w:pStyle w:val="BodyTextIndent"/>
        <w:spacing w:before="360"/>
        <w:jc w:val="center"/>
        <w:rPr>
          <w:szCs w:val="22"/>
        </w:rPr>
      </w:pPr>
    </w:p>
    <w:p w:rsidR="0081008C" w:rsidRPr="00204BA0" w:rsidP="00AA71C3">
      <w:pPr>
        <w:pStyle w:val="BodyTextIndent"/>
        <w:spacing w:before="360"/>
        <w:jc w:val="both"/>
        <w:rPr>
          <w:szCs w:val="22"/>
        </w:rPr>
      </w:pPr>
      <w:r w:rsidRPr="00204BA0">
        <w:rPr>
          <w:szCs w:val="22"/>
        </w:rPr>
        <w:t xml:space="preserve">Ministerstvo financí stanoví podle </w:t>
      </w:r>
      <w:r w:rsidRPr="00204BA0">
        <w:rPr>
          <w:color w:val="000000"/>
          <w:szCs w:val="22"/>
        </w:rPr>
        <w:t>§ 4 odst. 11</w:t>
      </w:r>
      <w:r w:rsidRPr="00204BA0">
        <w:rPr>
          <w:szCs w:val="22"/>
        </w:rPr>
        <w:t xml:space="preserve"> zákona č. 243/2000 Sb., o rozpočtovém určení výnosů některých daní územním samosprávným celkům a některým státním fondům </w:t>
      </w:r>
      <w:r w:rsidRPr="00204BA0">
        <w:rPr>
          <w:bCs/>
          <w:szCs w:val="22"/>
        </w:rPr>
        <w:t xml:space="preserve">(zákon o rozpočtovém určení daní), </w:t>
      </w:r>
      <w:r w:rsidRPr="00204BA0">
        <w:rPr>
          <w:bCs/>
          <w:szCs w:val="22"/>
        </w:rPr>
        <w:t>ve znění zákona č. 377/2007 Sb.</w:t>
      </w:r>
      <w:r w:rsidR="000727F4">
        <w:rPr>
          <w:bCs/>
          <w:szCs w:val="22"/>
        </w:rPr>
        <w:t>,</w:t>
      </w:r>
      <w:r w:rsidRPr="00204BA0">
        <w:rPr>
          <w:bCs/>
          <w:szCs w:val="22"/>
        </w:rPr>
        <w:t xml:space="preserve"> zákona č. 295/2012 Sb.</w:t>
      </w:r>
      <w:r w:rsidR="000727F4">
        <w:rPr>
          <w:bCs/>
          <w:szCs w:val="22"/>
        </w:rPr>
        <w:t xml:space="preserve"> a zákona č. 391/2015 Sb.</w:t>
      </w:r>
      <w:r w:rsidRPr="00204BA0">
        <w:rPr>
          <w:bCs/>
          <w:szCs w:val="22"/>
        </w:rPr>
        <w:t>:</w:t>
      </w:r>
    </w:p>
    <w:p w:rsidR="0081008C" w:rsidRPr="00204BA0" w:rsidP="0081008C">
      <w:pPr>
        <w:spacing w:before="240"/>
        <w:jc w:val="center"/>
        <w:rPr>
          <w:szCs w:val="22"/>
        </w:rPr>
      </w:pPr>
      <w:r w:rsidRPr="00204BA0">
        <w:rPr>
          <w:szCs w:val="22"/>
        </w:rPr>
        <w:t>§</w:t>
      </w:r>
      <w:r w:rsidRPr="00204BA0">
        <w:rPr>
          <w:b/>
          <w:szCs w:val="22"/>
        </w:rPr>
        <w:t> </w:t>
      </w:r>
      <w:r w:rsidRPr="00204BA0">
        <w:rPr>
          <w:szCs w:val="22"/>
        </w:rPr>
        <w:t>1</w:t>
      </w:r>
    </w:p>
    <w:p w:rsidR="00EA016A" w:rsidRPr="00204BA0" w:rsidP="00EA016A">
      <w:pPr>
        <w:pStyle w:val="Zkladntext21"/>
        <w:ind w:left="0" w:firstLine="709"/>
        <w:jc w:val="both"/>
      </w:pPr>
      <w:r w:rsidRPr="00204BA0">
        <w:t>Procento, kterým se jednotlivé obce podílejí na procentní části celostátního hrubého výnosu daní podle § 4 odst. 1 písm. b) až f) zákona o rozpočtovém určení daní, se stanoví ve sloupci 9 přílohy k této vyhlášce.</w:t>
      </w:r>
    </w:p>
    <w:p w:rsidR="0081008C" w:rsidRPr="00204BA0" w:rsidP="0081008C">
      <w:pPr>
        <w:spacing w:before="240"/>
        <w:jc w:val="center"/>
        <w:rPr>
          <w:szCs w:val="22"/>
        </w:rPr>
      </w:pPr>
      <w:r w:rsidRPr="00204BA0">
        <w:rPr>
          <w:szCs w:val="22"/>
        </w:rPr>
        <w:t>§ 2</w:t>
      </w:r>
    </w:p>
    <w:p w:rsidR="0081008C" w:rsidRPr="00204BA0" w:rsidP="0081008C">
      <w:pPr>
        <w:pStyle w:val="Zkladntext21"/>
        <w:ind w:left="0" w:firstLine="709"/>
        <w:jc w:val="both"/>
        <w:rPr>
          <w:szCs w:val="22"/>
        </w:rPr>
      </w:pPr>
      <w:r w:rsidRPr="00204BA0">
        <w:rPr>
          <w:szCs w:val="22"/>
        </w:rPr>
        <w:t>Procento, kterým se jednotlivé obce podílejí na procentní části celostátního hrubého výnosu daně podle § 4 odst. 1 písm. i) zákona o rozpočtovém určení daní, se stanoví ve sloupci 11 přílohy k této vyhlášce</w:t>
      </w:r>
      <w:r w:rsidRPr="00204BA0">
        <w:rPr>
          <w:szCs w:val="22"/>
        </w:rPr>
        <w:t>.</w:t>
      </w:r>
    </w:p>
    <w:p w:rsidR="0081008C" w:rsidRPr="00204BA0" w:rsidP="0081008C">
      <w:pPr>
        <w:spacing w:before="240"/>
        <w:jc w:val="center"/>
        <w:rPr>
          <w:szCs w:val="22"/>
        </w:rPr>
      </w:pPr>
      <w:r w:rsidRPr="00204BA0">
        <w:rPr>
          <w:szCs w:val="22"/>
        </w:rPr>
        <w:t>§ 3</w:t>
      </w:r>
    </w:p>
    <w:p w:rsidR="0081008C" w:rsidRPr="00204BA0" w:rsidP="0081008C">
      <w:pPr>
        <w:pStyle w:val="Zkladntext21"/>
        <w:ind w:left="0" w:firstLine="709"/>
        <w:jc w:val="both"/>
        <w:rPr>
          <w:szCs w:val="22"/>
        </w:rPr>
      </w:pPr>
      <w:r w:rsidRPr="00204BA0">
        <w:rPr>
          <w:szCs w:val="22"/>
        </w:rPr>
        <w:t xml:space="preserve">Celkové procento, kterým se obce, </w:t>
      </w:r>
      <w:r w:rsidRPr="00204BA0">
        <w:rPr>
          <w:color w:val="000000"/>
        </w:rPr>
        <w:t xml:space="preserve">s výjimkou </w:t>
      </w:r>
      <w:r w:rsidRPr="00204BA0">
        <w:rPr>
          <w:szCs w:val="22"/>
        </w:rPr>
        <w:t>hlavního města Prahy, Plzně, Ostravy a Brna, podílejí na části celostátního hrubého výnosu daní podle § 4 odst. 1 písm. b) až f) zákona o rozpočtovém určení daní, se stanoví v první větě přílohy k této vyhlášce.</w:t>
      </w:r>
    </w:p>
    <w:p w:rsidR="0081008C" w:rsidRPr="00204BA0" w:rsidP="0081008C">
      <w:pPr>
        <w:spacing w:before="240"/>
        <w:jc w:val="center"/>
        <w:rPr>
          <w:szCs w:val="22"/>
        </w:rPr>
      </w:pPr>
      <w:r w:rsidRPr="00204BA0">
        <w:rPr>
          <w:szCs w:val="22"/>
        </w:rPr>
        <w:t>§ 4</w:t>
      </w:r>
    </w:p>
    <w:p w:rsidR="0081008C" w:rsidRPr="00204BA0" w:rsidP="0081008C">
      <w:pPr>
        <w:pStyle w:val="List2"/>
        <w:ind w:left="0" w:firstLine="709"/>
        <w:jc w:val="both"/>
        <w:rPr>
          <w:szCs w:val="22"/>
        </w:rPr>
      </w:pPr>
      <w:r w:rsidRPr="00204BA0">
        <w:rPr>
          <w:szCs w:val="22"/>
        </w:rPr>
        <w:t xml:space="preserve">Vyhláška č. </w:t>
      </w:r>
      <w:r w:rsidRPr="00204BA0" w:rsidR="00D37B1B">
        <w:rPr>
          <w:szCs w:val="22"/>
        </w:rPr>
        <w:t>213/2015</w:t>
      </w:r>
      <w:r w:rsidRPr="00204BA0">
        <w:rPr>
          <w:szCs w:val="22"/>
        </w:rPr>
        <w:t xml:space="preserve"> Sb., o podílu jednotlivých obcí na stanovených procentních částech celostátního hrubého výnosu daně z přidané hodnoty a daní z příjmů, se zrušuje.</w:t>
      </w:r>
    </w:p>
    <w:p w:rsidR="0081008C" w:rsidRPr="00204BA0" w:rsidP="0081008C">
      <w:pPr>
        <w:spacing w:before="240"/>
        <w:jc w:val="center"/>
        <w:rPr>
          <w:szCs w:val="22"/>
        </w:rPr>
      </w:pPr>
      <w:r w:rsidRPr="00204BA0">
        <w:rPr>
          <w:szCs w:val="22"/>
        </w:rPr>
        <w:t>§ 5</w:t>
      </w:r>
    </w:p>
    <w:p w:rsidR="0081008C" w:rsidRPr="00204BA0" w:rsidP="0081008C">
      <w:pPr>
        <w:pStyle w:val="List2"/>
        <w:ind w:left="0" w:firstLine="709"/>
        <w:jc w:val="both"/>
        <w:rPr>
          <w:szCs w:val="22"/>
        </w:rPr>
      </w:pPr>
      <w:r w:rsidRPr="00204BA0">
        <w:rPr>
          <w:szCs w:val="22"/>
        </w:rPr>
        <w:t>Tato vyhláška nabývá účinnosti dnem 1. září 201</w:t>
      </w:r>
      <w:r w:rsidRPr="00204BA0" w:rsidR="00D37B1B">
        <w:rPr>
          <w:szCs w:val="22"/>
        </w:rPr>
        <w:t>6</w:t>
      </w:r>
      <w:r w:rsidRPr="00204BA0">
        <w:rPr>
          <w:szCs w:val="22"/>
        </w:rPr>
        <w:t>.</w:t>
      </w:r>
    </w:p>
    <w:p w:rsidR="008E2E72" w:rsidP="00DA7A22">
      <w:pPr>
        <w:pStyle w:val="List"/>
        <w:spacing w:before="300"/>
        <w:ind w:left="0" w:firstLine="0"/>
        <w:jc w:val="center"/>
      </w:pPr>
      <w:r w:rsidRPr="00204BA0">
        <w:t>Ministr</w:t>
      </w:r>
      <w:r w:rsidR="00D07E1D">
        <w:t>:</w:t>
      </w:r>
    </w:p>
    <w:p w:rsidR="00D07E1D" w:rsidRPr="00836D63" w:rsidP="00D07E1D">
      <w:pPr>
        <w:pStyle w:val="List"/>
        <w:spacing w:before="300"/>
        <w:ind w:left="0" w:firstLine="0"/>
        <w:jc w:val="center"/>
        <w:rPr>
          <w:szCs w:val="21"/>
        </w:rPr>
      </w:pPr>
      <w:r>
        <w:t xml:space="preserve">Ing. </w:t>
      </w:r>
      <w:bookmarkStart w:id="0" w:name="_GoBack"/>
      <w:bookmarkEnd w:id="0"/>
      <w:r>
        <w:t>Babiš</w:t>
      </w:r>
      <w:r>
        <w:t xml:space="preserve"> v. r.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E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B5AD5"/>
    <w:multiLevelType w:val="hybridMultilevel"/>
    <w:tmpl w:val="B65A2B32"/>
    <w:lvl w:ilvl="0">
      <w:start w:val="0"/>
      <w:numFmt w:val="bullet"/>
      <w:lvlText w:val="-"/>
      <w:lvlJc w:val="left"/>
      <w:pPr>
        <w:tabs>
          <w:tab w:val="num" w:pos="1069"/>
        </w:tabs>
        <w:ind w:left="964" w:hanging="2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D0C5046"/>
    <w:multiLevelType w:val="singleLevel"/>
    <w:tmpl w:val="B5481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3C9E3011"/>
    <w:multiLevelType w:val="singleLevel"/>
    <w:tmpl w:val="5998772E"/>
    <w:lvl w:ilvl="0">
      <w:start w:val="3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>
    <w:nsid w:val="3D0765A9"/>
    <w:multiLevelType w:val="singleLevel"/>
    <w:tmpl w:val="C0143B7A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4">
    <w:nsid w:val="40AF3DE6"/>
    <w:multiLevelType w:val="hybridMultilevel"/>
    <w:tmpl w:val="AAC60E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E7039"/>
    <w:multiLevelType w:val="hybridMultilevel"/>
    <w:tmpl w:val="B65A2B3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5195078F"/>
    <w:multiLevelType w:val="hybridMultilevel"/>
    <w:tmpl w:val="5E660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52171"/>
    <w:multiLevelType w:val="hybridMultilevel"/>
    <w:tmpl w:val="B65A2B32"/>
    <w:lvl w:ilvl="0">
      <w:start w:val="0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FC975C5"/>
    <w:multiLevelType w:val="hybridMultilevel"/>
    <w:tmpl w:val="B65A2B32"/>
    <w:lvl w:ilvl="0">
      <w:start w:val="0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9702A31"/>
    <w:multiLevelType w:val="hybridMultilevel"/>
    <w:tmpl w:val="B65A2B32"/>
    <w:lvl w:ilvl="0">
      <w:start w:val="0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70B2EFF"/>
    <w:multiLevelType w:val="hybridMultilevel"/>
    <w:tmpl w:val="B65A2B32"/>
    <w:lvl w:ilvl="0">
      <w:start w:val="0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firstLine="284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spacing w:before="0" w:after="0"/>
      <w:ind w:right="-30"/>
      <w:jc w:val="center"/>
      <w:outlineLvl w:val="6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Continue">
    <w:name w:val="List Continue"/>
    <w:basedOn w:val="Normal"/>
    <w:pPr>
      <w:ind w:left="283"/>
    </w:pPr>
  </w:style>
  <w:style w:type="paragraph" w:styleId="BodyText">
    <w:name w:val="Body Text"/>
    <w:basedOn w:val="Normal"/>
  </w:style>
  <w:style w:type="paragraph" w:customStyle="1" w:styleId="Zkladntext21">
    <w:name w:val="Základní text 21"/>
    <w:basedOn w:val="Normal"/>
    <w:pPr>
      <w:ind w:left="283"/>
    </w:pPr>
  </w:style>
  <w:style w:type="paragraph" w:styleId="BodyTextIndent">
    <w:name w:val="Body Text Indent"/>
    <w:basedOn w:val="Normal"/>
    <w:pPr>
      <w:ind w:firstLine="709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Rozvrendokumentu">
    <w:name w:val="Rozvržení dokumentu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before="0" w:after="0"/>
      <w:ind w:firstLine="709"/>
      <w:jc w:val="both"/>
    </w:pPr>
  </w:style>
  <w:style w:type="paragraph" w:customStyle="1" w:styleId="Nzevzkona">
    <w:name w:val="Název zákona"/>
    <w:basedOn w:val="Normal"/>
    <w:next w:val="Normal"/>
    <w:pPr>
      <w:spacing w:after="0"/>
      <w:jc w:val="center"/>
      <w:outlineLvl w:val="0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32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2013-07-01T09:42:00Z</dcterms:created>
</cp:coreProperties>
</file>