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610CBF" w:rsidRPr="00610CBF" w:rsidP="00133B5F">
      <w:pPr>
        <w:spacing w:after="0" w:line="240" w:lineRule="auto"/>
        <w:rPr>
          <w:rFonts w:cs="Times New Roman"/>
          <w:b/>
          <w:lang w:val="en-GB"/>
        </w:rPr>
      </w:pPr>
      <w:bookmarkStart w:id="0" w:name="_GoBack"/>
      <w:bookmarkEnd w:id="0"/>
      <w:r w:rsidRPr="00610CBF">
        <w:rPr>
          <w:rStyle w:val="Emphasis"/>
          <w:rFonts w:cs="Times New Roman"/>
          <w:color w:val="000000"/>
          <w:lang w:val="en-GB"/>
        </w:rPr>
        <w:t>DISCLAIMER: English is not an official language of the Czech Republic. This translation is provided for information purposes only and has no legal force. It has been edited by civil servants and employees of the Ministry of Finance of the Czech Republic in their capacities to the maximum extent possible, having regard to their ordinary duties in the Payment services unit (Financial Markets II Division). It should therefore serve as a public good and is not intended for commercial purposes. Should you wish to engage in legal cases, we recommend you to use professional translations and professional legal services.</w:t>
      </w:r>
      <w:r w:rsidRPr="00610CBF">
        <w:rPr>
          <w:rFonts w:cs="Times New Roman"/>
          <w:color w:val="000000"/>
          <w:lang w:val="en-GB"/>
        </w:rPr>
        <w:t xml:space="preserve"> </w:t>
      </w:r>
      <w:r w:rsidRPr="00610CBF">
        <w:rPr>
          <w:rStyle w:val="Emphasis"/>
          <w:rFonts w:cs="Times New Roman"/>
          <w:color w:val="000000"/>
          <w:lang w:val="en-GB"/>
        </w:rPr>
        <w:t>Due to the nature of translation, it is not possible to exclude possible translational nuances that may arise in connection with the translation of expert texts and which must be taken into account when accessing and working with the published materials.</w:t>
      </w:r>
      <w:r w:rsidRPr="00610CBF">
        <w:rPr>
          <w:rFonts w:cs="Times New Roman"/>
          <w:color w:val="000000"/>
          <w:lang w:val="en-GB"/>
        </w:rPr>
        <w:t xml:space="preserve"> </w:t>
      </w:r>
      <w:r w:rsidRPr="00610CBF">
        <w:rPr>
          <w:rStyle w:val="Emphasis"/>
          <w:rFonts w:cs="Times New Roman"/>
          <w:color w:val="000000"/>
          <w:lang w:val="en-GB"/>
        </w:rPr>
        <w:t>The word “Section” can be abbreviated, if appropriate, to “§” (section sign, signum sectiōnis) or “Sec.”. Words importing female persons include male persons and corporations and words importing male persons include female persons and corporations.</w:t>
      </w:r>
    </w:p>
    <w:p w:rsidR="00610CBF" w:rsidRPr="00610CBF" w:rsidP="00133B5F">
      <w:pPr>
        <w:spacing w:line="240" w:lineRule="auto"/>
        <w:rPr>
          <w:rFonts w:cs="Times New Roman"/>
          <w:b/>
          <w:lang w:val="en-GB"/>
        </w:rPr>
      </w:pPr>
    </w:p>
    <w:p w:rsidR="00C56236" w:rsidRPr="00133B5F" w:rsidP="00133B5F">
      <w:pPr>
        <w:spacing w:after="0" w:line="240" w:lineRule="auto"/>
        <w:jc w:val="center"/>
        <w:rPr>
          <w:rFonts w:cs="Times New Roman"/>
          <w:b/>
          <w:sz w:val="32"/>
          <w:szCs w:val="32"/>
          <w:lang w:val="en-GB"/>
        </w:rPr>
      </w:pPr>
      <w:r w:rsidRPr="00133B5F">
        <w:rPr>
          <w:rFonts w:cs="Times New Roman"/>
          <w:b/>
          <w:sz w:val="32"/>
          <w:szCs w:val="32"/>
          <w:lang w:val="en-GB"/>
        </w:rPr>
        <w:t>A</w:t>
      </w:r>
      <w:r w:rsidRPr="00133B5F" w:rsidR="00133B5F">
        <w:rPr>
          <w:rFonts w:cs="Times New Roman"/>
          <w:b/>
          <w:sz w:val="32"/>
          <w:szCs w:val="32"/>
          <w:lang w:val="en-GB"/>
        </w:rPr>
        <w:t>ct</w:t>
      </w:r>
    </w:p>
    <w:p w:rsidR="00C56236" w:rsidRPr="00133B5F" w:rsidP="00133B5F">
      <w:pPr>
        <w:spacing w:after="0" w:line="240" w:lineRule="auto"/>
        <w:jc w:val="center"/>
        <w:rPr>
          <w:rFonts w:cs="Times New Roman"/>
          <w:b/>
          <w:sz w:val="32"/>
          <w:szCs w:val="32"/>
          <w:lang w:val="en-GB"/>
        </w:rPr>
      </w:pPr>
      <w:r w:rsidRPr="00133B5F">
        <w:rPr>
          <w:rFonts w:cs="Times New Roman"/>
          <w:b/>
          <w:sz w:val="32"/>
          <w:szCs w:val="32"/>
          <w:lang w:val="en-GB"/>
        </w:rPr>
        <w:t>No 254</w:t>
      </w:r>
      <w:r w:rsidRPr="00133B5F" w:rsidR="00370DFF">
        <w:rPr>
          <w:rFonts w:cs="Times New Roman"/>
          <w:b/>
          <w:sz w:val="32"/>
          <w:szCs w:val="32"/>
          <w:lang w:val="en-GB"/>
        </w:rPr>
        <w:t>/2004 Sb.</w:t>
      </w:r>
    </w:p>
    <w:p w:rsidR="00C56236" w:rsidRPr="00133B5F" w:rsidP="00133B5F">
      <w:pPr>
        <w:spacing w:line="240" w:lineRule="auto"/>
        <w:jc w:val="center"/>
        <w:rPr>
          <w:rFonts w:cs="Times New Roman"/>
          <w:b/>
          <w:sz w:val="32"/>
          <w:szCs w:val="32"/>
          <w:lang w:val="en-GB"/>
        </w:rPr>
      </w:pPr>
      <w:r w:rsidRPr="00133B5F">
        <w:rPr>
          <w:rFonts w:cs="Times New Roman"/>
          <w:b/>
          <w:sz w:val="32"/>
          <w:szCs w:val="32"/>
          <w:lang w:val="en-GB"/>
        </w:rPr>
        <w:t>on Restriction of Cash Payments</w:t>
      </w:r>
    </w:p>
    <w:p w:rsidR="00133B5F" w:rsidP="00133B5F">
      <w:pPr>
        <w:spacing w:before="240" w:after="0" w:line="240" w:lineRule="auto"/>
        <w:jc w:val="left"/>
        <w:rPr>
          <w:rFonts w:cs="Times New Roman"/>
          <w:lang w:val="en-GB"/>
        </w:rPr>
      </w:pPr>
      <w:r w:rsidRPr="00610CBF">
        <w:rPr>
          <w:rFonts w:cs="Times New Roman"/>
          <w:lang w:val="en-GB"/>
        </w:rPr>
        <w:t xml:space="preserve">The </w:t>
      </w:r>
      <w:r w:rsidRPr="00610CBF" w:rsidR="00C56236">
        <w:rPr>
          <w:rFonts w:cs="Times New Roman"/>
          <w:lang w:val="en-GB"/>
        </w:rPr>
        <w:t>Parliament has adopted the following Act of the Czech Republic:</w:t>
      </w:r>
    </w:p>
    <w:p w:rsidR="00C56236" w:rsidRPr="00133B5F" w:rsidP="00133B5F">
      <w:pPr>
        <w:pStyle w:val="Heading1"/>
        <w:spacing w:before="36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 xml:space="preserve">PART </w:t>
      </w:r>
      <w:r w:rsidR="003F5ABD">
        <w:rPr>
          <w:rFonts w:ascii="Times New Roman" w:hAnsi="Times New Roman" w:cs="Times New Roman"/>
          <w:b w:val="0"/>
          <w:sz w:val="22"/>
          <w:szCs w:val="22"/>
          <w:lang w:val="en-GB"/>
        </w:rPr>
        <w:t>ONE</w:t>
      </w:r>
    </w:p>
    <w:p w:rsidR="00C56236" w:rsidRPr="00610CBF" w:rsidP="00133B5F">
      <w:pPr>
        <w:pStyle w:val="Heading1"/>
        <w:spacing w:before="360" w:after="0" w:line="240" w:lineRule="auto"/>
        <w:rPr>
          <w:rFonts w:ascii="Times New Roman" w:hAnsi="Times New Roman" w:cs="Times New Roman"/>
          <w:sz w:val="22"/>
          <w:szCs w:val="22"/>
          <w:lang w:val="en-GB"/>
        </w:rPr>
      </w:pPr>
      <w:r w:rsidRPr="00610CBF">
        <w:rPr>
          <w:rFonts w:ascii="Times New Roman" w:hAnsi="Times New Roman" w:cs="Times New Roman"/>
          <w:sz w:val="22"/>
          <w:szCs w:val="22"/>
          <w:lang w:val="en-GB"/>
        </w:rPr>
        <w:t>ACT ON RESTRICTION OF CASH PAYMENTS</w:t>
      </w:r>
    </w:p>
    <w:p w:rsidR="00C56236" w:rsidRPr="00133B5F" w:rsidP="00FE1074">
      <w:pPr>
        <w:pStyle w:val="Heading2"/>
        <w:spacing w:before="24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1</w:t>
      </w:r>
    </w:p>
    <w:p w:rsidR="00C56236" w:rsidRPr="00610CBF" w:rsidP="00FE1074">
      <w:pPr>
        <w:pStyle w:val="Heading2"/>
        <w:spacing w:before="240" w:after="0" w:line="240" w:lineRule="auto"/>
        <w:rPr>
          <w:rFonts w:ascii="Times New Roman" w:hAnsi="Times New Roman" w:cs="Times New Roman"/>
          <w:sz w:val="22"/>
          <w:szCs w:val="22"/>
          <w:lang w:val="en-GB"/>
        </w:rPr>
      </w:pPr>
      <w:r w:rsidRPr="00610CBF">
        <w:rPr>
          <w:rFonts w:ascii="Times New Roman" w:hAnsi="Times New Roman" w:cs="Times New Roman"/>
          <w:sz w:val="22"/>
          <w:szCs w:val="22"/>
          <w:lang w:val="en-GB"/>
        </w:rPr>
        <w:t>Purpose of the Act</w:t>
      </w:r>
    </w:p>
    <w:p w:rsidR="00C56236" w:rsidRPr="00610CBF" w:rsidP="001C754B">
      <w:pPr>
        <w:spacing w:before="120" w:after="0" w:line="240" w:lineRule="auto"/>
        <w:ind w:firstLine="482"/>
        <w:rPr>
          <w:rFonts w:cs="Times New Roman"/>
          <w:lang w:val="en-GB"/>
        </w:rPr>
      </w:pPr>
      <w:r w:rsidRPr="00610CBF">
        <w:rPr>
          <w:rFonts w:cs="Times New Roman"/>
          <w:lang w:val="en-GB"/>
        </w:rPr>
        <w:t>This Act defines situations in which both natural and legal persons (hereinafter ‘persons’) are obliged to make payments through authorized payment services providers or through postal vouchers provided by postal services providers (hereinafter the ‘money institution’) and regulates the supervisory mechanism over this provision.</w:t>
      </w:r>
    </w:p>
    <w:p w:rsidR="00C56236" w:rsidRPr="00133B5F" w:rsidP="00FE1074">
      <w:pPr>
        <w:pStyle w:val="Heading2"/>
        <w:spacing w:before="240" w:after="0" w:line="240" w:lineRule="auto"/>
        <w:contextualSpacing w:val="0"/>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2</w:t>
      </w:r>
    </w:p>
    <w:p w:rsidR="00C56236" w:rsidRPr="00610CBF" w:rsidP="00FE1074">
      <w:pPr>
        <w:pStyle w:val="Heading2"/>
        <w:spacing w:before="240" w:after="0" w:line="240" w:lineRule="auto"/>
        <w:rPr>
          <w:rFonts w:ascii="Times New Roman" w:hAnsi="Times New Roman" w:cs="Times New Roman"/>
          <w:sz w:val="22"/>
          <w:szCs w:val="22"/>
          <w:lang w:val="en-GB"/>
        </w:rPr>
      </w:pPr>
      <w:r w:rsidRPr="00610CBF">
        <w:rPr>
          <w:rFonts w:ascii="Times New Roman" w:hAnsi="Times New Roman" w:cs="Times New Roman"/>
          <w:sz w:val="22"/>
          <w:szCs w:val="22"/>
          <w:lang w:val="en-GB"/>
        </w:rPr>
        <w:t>Definitions</w:t>
      </w:r>
    </w:p>
    <w:p w:rsidR="00C56236" w:rsidRPr="00610CBF" w:rsidP="001C754B">
      <w:pPr>
        <w:pStyle w:val="ListParagraph"/>
        <w:numPr>
          <w:ilvl w:val="0"/>
          <w:numId w:val="25"/>
        </w:numPr>
        <w:spacing w:before="120" w:after="0" w:line="240" w:lineRule="auto"/>
        <w:ind w:left="851" w:hanging="369"/>
        <w:rPr>
          <w:rFonts w:cs="Times New Roman"/>
          <w:lang w:val="en-GB"/>
        </w:rPr>
      </w:pPr>
      <w:r w:rsidRPr="00610CBF">
        <w:rPr>
          <w:rFonts w:cs="Times New Roman"/>
          <w:lang w:val="en-GB"/>
        </w:rPr>
        <w:t>For the purposes of this Act, the following definitions apply:</w:t>
      </w:r>
    </w:p>
    <w:p w:rsidR="00A47926" w:rsidP="004405B4">
      <w:pPr>
        <w:pStyle w:val="ListParagraph"/>
        <w:numPr>
          <w:ilvl w:val="1"/>
          <w:numId w:val="25"/>
        </w:numPr>
        <w:spacing w:after="0" w:line="240" w:lineRule="auto"/>
        <w:ind w:left="312" w:hanging="312"/>
        <w:rPr>
          <w:rFonts w:cs="Times New Roman"/>
          <w:lang w:val="en-GB"/>
        </w:rPr>
      </w:pPr>
      <w:r w:rsidRPr="00610CBF">
        <w:rPr>
          <w:rFonts w:cs="Times New Roman"/>
          <w:lang w:val="en-GB"/>
        </w:rPr>
        <w:t>‘payment’ means a handover or a transfer of money from the payer to the payee,</w:t>
      </w:r>
    </w:p>
    <w:p w:rsidR="00C56236" w:rsidRPr="00A47926" w:rsidP="004405B4">
      <w:pPr>
        <w:pStyle w:val="ListParagraph"/>
        <w:numPr>
          <w:ilvl w:val="1"/>
          <w:numId w:val="25"/>
        </w:numPr>
        <w:spacing w:after="0" w:line="240" w:lineRule="auto"/>
        <w:ind w:left="312" w:hanging="312"/>
        <w:rPr>
          <w:rFonts w:cs="Times New Roman"/>
          <w:lang w:val="en-GB"/>
        </w:rPr>
      </w:pPr>
      <w:r w:rsidRPr="00A47926">
        <w:rPr>
          <w:rFonts w:cs="Times New Roman"/>
          <w:lang w:val="en-GB"/>
        </w:rPr>
        <w:t>‘cashless payment’ means a payment in Czech or foreign currency conducted through the money institution either in the Czech Republic or from the Czech Republic to another country.</w:t>
      </w:r>
    </w:p>
    <w:p w:rsidR="00C56236" w:rsidRPr="00610CBF" w:rsidP="00FF13CD">
      <w:pPr>
        <w:pStyle w:val="ListParagraph"/>
        <w:numPr>
          <w:ilvl w:val="0"/>
          <w:numId w:val="25"/>
        </w:numPr>
        <w:spacing w:before="120" w:after="0" w:line="240" w:lineRule="auto"/>
        <w:ind w:left="839" w:hanging="357"/>
        <w:contextualSpacing w:val="0"/>
        <w:rPr>
          <w:rFonts w:cs="Times New Roman"/>
          <w:lang w:val="en-GB"/>
        </w:rPr>
      </w:pPr>
      <w:r w:rsidRPr="00610CBF">
        <w:rPr>
          <w:rFonts w:cs="Times New Roman"/>
          <w:lang w:val="en-GB"/>
        </w:rPr>
        <w:t xml:space="preserve">For the purposes of this Act, the following activities </w:t>
      </w:r>
      <w:r w:rsidRPr="00610CBF" w:rsidR="003E4EC2">
        <w:rPr>
          <w:rFonts w:cs="Times New Roman"/>
          <w:lang w:val="en-GB"/>
        </w:rPr>
        <w:t xml:space="preserve">are </w:t>
      </w:r>
      <w:r w:rsidRPr="00610CBF">
        <w:rPr>
          <w:rFonts w:cs="Times New Roman"/>
          <w:lang w:val="en-GB"/>
        </w:rPr>
        <w:t>not considered as payments:</w:t>
      </w:r>
    </w:p>
    <w:p w:rsidR="00A47926" w:rsidP="00FF13CD">
      <w:pPr>
        <w:pStyle w:val="ListParagraph"/>
        <w:numPr>
          <w:ilvl w:val="1"/>
          <w:numId w:val="25"/>
        </w:numPr>
        <w:spacing w:before="120" w:after="0" w:line="240" w:lineRule="auto"/>
        <w:ind w:left="312" w:hanging="312"/>
        <w:rPr>
          <w:rFonts w:cs="Times New Roman"/>
          <w:lang w:val="en-GB"/>
        </w:rPr>
      </w:pPr>
      <w:r w:rsidRPr="00610CBF">
        <w:rPr>
          <w:rFonts w:cs="Times New Roman"/>
          <w:lang w:val="en-GB"/>
        </w:rPr>
        <w:t>a deposit of cash into an account held at a money institution or a withdrawal of cash from such an account,</w:t>
      </w:r>
    </w:p>
    <w:p w:rsidR="00A47926" w:rsidP="00FF13CD">
      <w:pPr>
        <w:pStyle w:val="ListParagraph"/>
        <w:numPr>
          <w:ilvl w:val="1"/>
          <w:numId w:val="25"/>
        </w:numPr>
        <w:spacing w:before="120" w:after="0" w:line="240" w:lineRule="auto"/>
        <w:ind w:left="312" w:hanging="312"/>
        <w:rPr>
          <w:rFonts w:cs="Times New Roman"/>
          <w:lang w:val="en-GB"/>
        </w:rPr>
      </w:pPr>
      <w:r w:rsidRPr="00A47926">
        <w:rPr>
          <w:rFonts w:cs="Times New Roman"/>
          <w:lang w:val="en-GB"/>
        </w:rPr>
        <w:t>a change of banknotes or coins for different banknotes or coins realized through a money institution,</w:t>
      </w:r>
    </w:p>
    <w:p w:rsidR="00A47926" w:rsidP="00FF13CD">
      <w:pPr>
        <w:pStyle w:val="ListParagraph"/>
        <w:numPr>
          <w:ilvl w:val="1"/>
          <w:numId w:val="25"/>
        </w:numPr>
        <w:spacing w:before="120" w:after="0" w:line="240" w:lineRule="auto"/>
        <w:ind w:left="312" w:hanging="312"/>
        <w:rPr>
          <w:rFonts w:cs="Times New Roman"/>
          <w:lang w:val="en-GB"/>
        </w:rPr>
      </w:pPr>
      <w:r w:rsidRPr="00A47926">
        <w:rPr>
          <w:rFonts w:cs="Times New Roman"/>
          <w:lang w:val="en-GB"/>
        </w:rPr>
        <w:t>a handover of unusually damaged banknotes or coins to the Czech National Bank,</w:t>
      </w:r>
    </w:p>
    <w:p w:rsidR="00A47926" w:rsidP="00FF13CD">
      <w:pPr>
        <w:pStyle w:val="ListParagraph"/>
        <w:numPr>
          <w:ilvl w:val="1"/>
          <w:numId w:val="25"/>
        </w:numPr>
        <w:spacing w:before="120" w:after="0" w:line="240" w:lineRule="auto"/>
        <w:ind w:left="312" w:hanging="312"/>
        <w:rPr>
          <w:rFonts w:cs="Times New Roman"/>
          <w:lang w:val="en-GB"/>
        </w:rPr>
      </w:pPr>
      <w:r w:rsidRPr="00A47926">
        <w:rPr>
          <w:rFonts w:cs="Times New Roman"/>
          <w:lang w:val="en-GB"/>
        </w:rPr>
        <w:t>a retention of banknotes or coins which are suspected to be counterfeit or modified, and their subsequent handover to the Czech National Bank,</w:t>
      </w:r>
    </w:p>
    <w:p w:rsidR="00A47926" w:rsidP="00A47926">
      <w:pPr>
        <w:pStyle w:val="ListParagraph"/>
        <w:numPr>
          <w:ilvl w:val="1"/>
          <w:numId w:val="25"/>
        </w:numPr>
        <w:spacing w:line="240" w:lineRule="auto"/>
        <w:ind w:left="312" w:hanging="312"/>
        <w:rPr>
          <w:rFonts w:cs="Times New Roman"/>
          <w:lang w:val="en-GB"/>
        </w:rPr>
      </w:pPr>
      <w:r w:rsidRPr="00A47926">
        <w:rPr>
          <w:rFonts w:cs="Times New Roman"/>
          <w:lang w:val="en-GB"/>
        </w:rPr>
        <w:t>a handover or a transfer of money by a person authorized to provide a currency exchange service,</w:t>
      </w:r>
    </w:p>
    <w:p w:rsidR="00A47926" w:rsidP="00A47926">
      <w:pPr>
        <w:pStyle w:val="ListParagraph"/>
        <w:numPr>
          <w:ilvl w:val="1"/>
          <w:numId w:val="25"/>
        </w:numPr>
        <w:spacing w:line="240" w:lineRule="auto"/>
        <w:ind w:left="312" w:hanging="312"/>
        <w:rPr>
          <w:rFonts w:cs="Times New Roman"/>
          <w:lang w:val="en-GB"/>
        </w:rPr>
      </w:pPr>
      <w:r w:rsidRPr="00A47926">
        <w:rPr>
          <w:rFonts w:cs="Times New Roman"/>
          <w:lang w:val="en-GB"/>
        </w:rPr>
        <w:t>a handover or a transfer of money by the person authorized to provide a service of transporting banknotes and coins,</w:t>
      </w:r>
    </w:p>
    <w:p w:rsidR="00C56236" w:rsidRPr="00A47926" w:rsidP="00A47926">
      <w:pPr>
        <w:pStyle w:val="ListParagraph"/>
        <w:numPr>
          <w:ilvl w:val="1"/>
          <w:numId w:val="25"/>
        </w:numPr>
        <w:spacing w:line="240" w:lineRule="auto"/>
        <w:ind w:left="312" w:hanging="312"/>
        <w:rPr>
          <w:rFonts w:cs="Times New Roman"/>
          <w:lang w:val="en-GB"/>
        </w:rPr>
      </w:pPr>
      <w:r w:rsidRPr="00A47926">
        <w:rPr>
          <w:rFonts w:cs="Times New Roman"/>
          <w:lang w:val="en-GB"/>
        </w:rPr>
        <w:t xml:space="preserve">a handover or a transfer of money by the person authorized to provide a service of processing banknotes and coins. </w:t>
      </w:r>
    </w:p>
    <w:p w:rsidR="00824C9A" w:rsidRPr="00824C9A" w:rsidP="00824C9A">
      <w:pPr>
        <w:pStyle w:val="Heading2"/>
        <w:spacing w:before="240" w:after="0" w:line="240" w:lineRule="auto"/>
        <w:contextualSpacing w:val="0"/>
        <w:rPr>
          <w:rFonts w:ascii="Times New Roman" w:hAnsi="Times New Roman" w:cs="Times New Roman"/>
          <w:sz w:val="22"/>
          <w:szCs w:val="22"/>
          <w:lang w:val="en-GB"/>
        </w:rPr>
      </w:pPr>
      <w:r w:rsidRPr="00610CBF">
        <w:rPr>
          <w:rFonts w:ascii="Times New Roman" w:hAnsi="Times New Roman" w:cs="Times New Roman"/>
          <w:sz w:val="22"/>
          <w:szCs w:val="22"/>
          <w:lang w:val="en-GB"/>
        </w:rPr>
        <w:t>Cashless Payments</w:t>
      </w:r>
    </w:p>
    <w:p w:rsidR="00C56236" w:rsidRPr="00133B5F" w:rsidP="00824C9A">
      <w:pPr>
        <w:pStyle w:val="Heading2"/>
        <w:spacing w:before="240" w:after="0" w:line="240" w:lineRule="auto"/>
        <w:contextualSpacing w:val="0"/>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3</w:t>
      </w:r>
    </w:p>
    <w:p w:rsidR="00C56236" w:rsidRPr="00610CBF" w:rsidP="00AB126B">
      <w:pPr>
        <w:pStyle w:val="ListParagraph"/>
        <w:numPr>
          <w:ilvl w:val="0"/>
          <w:numId w:val="26"/>
        </w:numPr>
        <w:spacing w:before="120" w:after="0" w:line="240" w:lineRule="auto"/>
        <w:ind w:left="851" w:hanging="369"/>
        <w:rPr>
          <w:rFonts w:cs="Times New Roman"/>
          <w:lang w:val="en-GB"/>
        </w:rPr>
      </w:pPr>
      <w:r w:rsidRPr="00610CBF">
        <w:rPr>
          <w:rFonts w:cs="Times New Roman"/>
          <w:lang w:val="en-GB"/>
        </w:rPr>
        <w:t>Payments shall be carried out as cashless payments if they are conducted</w:t>
      </w:r>
    </w:p>
    <w:p w:rsidR="00A47926" w:rsidP="00AB126B">
      <w:pPr>
        <w:pStyle w:val="ListParagraph"/>
        <w:numPr>
          <w:ilvl w:val="1"/>
          <w:numId w:val="26"/>
        </w:numPr>
        <w:spacing w:before="120" w:after="0" w:line="240" w:lineRule="auto"/>
        <w:ind w:left="369" w:hanging="369"/>
        <w:rPr>
          <w:rFonts w:cs="Times New Roman"/>
          <w:lang w:val="en-GB"/>
        </w:rPr>
      </w:pPr>
      <w:r w:rsidRPr="00610CBF">
        <w:rPr>
          <w:rFonts w:cs="Times New Roman"/>
          <w:lang w:val="en-GB"/>
        </w:rPr>
        <w:t>between natural persons with permanent or temporary residency in the Czech Republic, legal persons based in the Czech Republic and branches of foreign legal persons based in the Czech Republic, or</w:t>
      </w:r>
    </w:p>
    <w:p w:rsidR="00C56236" w:rsidRPr="00A47926" w:rsidP="00AB126B">
      <w:pPr>
        <w:pStyle w:val="ListParagraph"/>
        <w:numPr>
          <w:ilvl w:val="1"/>
          <w:numId w:val="26"/>
        </w:numPr>
        <w:spacing w:before="120" w:after="0" w:line="240" w:lineRule="auto"/>
        <w:ind w:left="369" w:hanging="369"/>
        <w:rPr>
          <w:rFonts w:cs="Times New Roman"/>
          <w:lang w:val="en-GB"/>
        </w:rPr>
      </w:pPr>
      <w:r w:rsidRPr="00A47926">
        <w:rPr>
          <w:rFonts w:cs="Times New Roman"/>
          <w:lang w:val="en-GB"/>
        </w:rPr>
        <w:t>by natural persons with permanent or temporary residency in the Czech Republic, legal persons based in the Czech Republic and branches of foreign legal persons based in the Czech Republic in favor of foreign natural or legal persons; and if they exceed the amount established by this Act.</w:t>
      </w:r>
    </w:p>
    <w:p w:rsidR="00C56236" w:rsidRPr="00610CBF" w:rsidP="00FF13CD">
      <w:pPr>
        <w:pStyle w:val="ListParagraph"/>
        <w:numPr>
          <w:ilvl w:val="0"/>
          <w:numId w:val="26"/>
        </w:numPr>
        <w:spacing w:before="120" w:after="0" w:line="240" w:lineRule="auto"/>
        <w:ind w:left="851" w:hanging="369"/>
        <w:contextualSpacing w:val="0"/>
        <w:rPr>
          <w:rFonts w:cs="Times New Roman"/>
          <w:lang w:val="en-GB"/>
        </w:rPr>
      </w:pPr>
      <w:r w:rsidRPr="00610CBF">
        <w:rPr>
          <w:rFonts w:cs="Times New Roman"/>
          <w:lang w:val="en-GB"/>
        </w:rPr>
        <w:t xml:space="preserve">Provisions of subsection </w:t>
      </w:r>
      <w:r w:rsidRPr="00610CBF" w:rsidR="00370DFF">
        <w:rPr>
          <w:rFonts w:cs="Times New Roman"/>
          <w:lang w:val="en-GB"/>
        </w:rPr>
        <w:t>(</w:t>
      </w:r>
      <w:r w:rsidRPr="00610CBF">
        <w:rPr>
          <w:rFonts w:cs="Times New Roman"/>
          <w:lang w:val="en-GB"/>
        </w:rPr>
        <w:t>1</w:t>
      </w:r>
      <w:r w:rsidRPr="00610CBF" w:rsidR="00370DFF">
        <w:rPr>
          <w:rFonts w:cs="Times New Roman"/>
          <w:lang w:val="en-GB"/>
        </w:rPr>
        <w:t>)</w:t>
      </w:r>
      <w:r w:rsidRPr="00610CBF">
        <w:rPr>
          <w:rFonts w:cs="Times New Roman"/>
          <w:lang w:val="en-GB"/>
        </w:rPr>
        <w:t xml:space="preserve"> </w:t>
      </w:r>
      <w:r w:rsidRPr="00610CBF" w:rsidR="003E4EC2">
        <w:rPr>
          <w:rFonts w:cs="Times New Roman"/>
          <w:lang w:val="en-GB"/>
        </w:rPr>
        <w:t xml:space="preserve">do </w:t>
      </w:r>
      <w:r w:rsidRPr="00610CBF">
        <w:rPr>
          <w:rFonts w:cs="Times New Roman"/>
          <w:lang w:val="en-GB"/>
        </w:rPr>
        <w:t>not apply to</w:t>
      </w:r>
    </w:p>
    <w:p w:rsidR="00A47926" w:rsidP="00A47926">
      <w:pPr>
        <w:pStyle w:val="ListParagraph"/>
        <w:numPr>
          <w:ilvl w:val="1"/>
          <w:numId w:val="26"/>
        </w:numPr>
        <w:spacing w:line="240" w:lineRule="auto"/>
        <w:ind w:left="369" w:hanging="369"/>
        <w:rPr>
          <w:rFonts w:cs="Times New Roman"/>
          <w:lang w:val="en-GB"/>
        </w:rPr>
      </w:pPr>
      <w:r w:rsidRPr="00610CBF">
        <w:rPr>
          <w:rFonts w:cs="Times New Roman"/>
          <w:lang w:val="en-GB"/>
        </w:rPr>
        <w:t>payments of taxes, fees or similar carried out in accordance with the pr</w:t>
      </w:r>
      <w:r w:rsidR="00803194">
        <w:rPr>
          <w:rFonts w:cs="Times New Roman"/>
          <w:lang w:val="en-GB"/>
        </w:rPr>
        <w:t>ovisions of the Tax Code or the </w:t>
      </w:r>
      <w:r w:rsidRPr="00610CBF">
        <w:rPr>
          <w:rFonts w:cs="Times New Roman"/>
          <w:lang w:val="en-GB"/>
        </w:rPr>
        <w:t>Customs Act, unless provided otherwise in these laws,</w:t>
      </w:r>
    </w:p>
    <w:p w:rsidR="00A47926" w:rsidP="00A47926">
      <w:pPr>
        <w:pStyle w:val="ListParagraph"/>
        <w:numPr>
          <w:ilvl w:val="1"/>
          <w:numId w:val="26"/>
        </w:numPr>
        <w:spacing w:line="240" w:lineRule="auto"/>
        <w:ind w:left="369" w:hanging="369"/>
        <w:rPr>
          <w:rFonts w:cs="Times New Roman"/>
          <w:lang w:val="en-GB"/>
        </w:rPr>
      </w:pPr>
      <w:r w:rsidRPr="00A47926">
        <w:rPr>
          <w:rFonts w:cs="Times New Roman"/>
          <w:lang w:val="en-GB"/>
        </w:rPr>
        <w:t xml:space="preserve">compulsory payments based on the labor-law relationships, </w:t>
      </w:r>
    </w:p>
    <w:p w:rsidR="00A47926" w:rsidP="00A47926">
      <w:pPr>
        <w:pStyle w:val="ListParagraph"/>
        <w:numPr>
          <w:ilvl w:val="1"/>
          <w:numId w:val="26"/>
        </w:numPr>
        <w:spacing w:line="240" w:lineRule="auto"/>
        <w:ind w:left="369" w:hanging="369"/>
        <w:rPr>
          <w:rFonts w:cs="Times New Roman"/>
          <w:lang w:val="en-GB"/>
        </w:rPr>
      </w:pPr>
      <w:r w:rsidRPr="00A47926">
        <w:rPr>
          <w:rFonts w:cs="Times New Roman"/>
          <w:lang w:val="en-GB"/>
        </w:rPr>
        <w:t>payments of pension benefits including lump-sum payments and disbursements from pension funds and participating funds operated by pension companies,</w:t>
      </w:r>
    </w:p>
    <w:p w:rsidR="00A47926" w:rsidP="00A47926">
      <w:pPr>
        <w:pStyle w:val="ListParagraph"/>
        <w:numPr>
          <w:ilvl w:val="1"/>
          <w:numId w:val="26"/>
        </w:numPr>
        <w:spacing w:line="240" w:lineRule="auto"/>
        <w:ind w:left="369" w:hanging="369"/>
        <w:rPr>
          <w:rFonts w:cs="Times New Roman"/>
          <w:lang w:val="en-GB"/>
        </w:rPr>
      </w:pPr>
      <w:r w:rsidRPr="00A47926">
        <w:rPr>
          <w:rFonts w:cs="Times New Roman"/>
          <w:lang w:val="en-GB"/>
        </w:rPr>
        <w:t>payments carried out during a state of a crisis declared according to a special legislative act,</w:t>
      </w:r>
    </w:p>
    <w:p w:rsidR="00A47926" w:rsidP="00A47926">
      <w:pPr>
        <w:pStyle w:val="ListParagraph"/>
        <w:numPr>
          <w:ilvl w:val="1"/>
          <w:numId w:val="26"/>
        </w:numPr>
        <w:spacing w:line="240" w:lineRule="auto"/>
        <w:ind w:left="369" w:hanging="369"/>
        <w:rPr>
          <w:rFonts w:cs="Times New Roman"/>
          <w:lang w:val="en-GB"/>
        </w:rPr>
      </w:pPr>
      <w:r w:rsidRPr="00A47926">
        <w:rPr>
          <w:rFonts w:cs="Times New Roman"/>
          <w:lang w:val="en-GB"/>
        </w:rPr>
        <w:t>payments of private insurance premiums and insurance benefits,</w:t>
      </w:r>
    </w:p>
    <w:p w:rsidR="00A47926" w:rsidP="00A47926">
      <w:pPr>
        <w:pStyle w:val="ListParagraph"/>
        <w:numPr>
          <w:ilvl w:val="1"/>
          <w:numId w:val="26"/>
        </w:numPr>
        <w:spacing w:line="240" w:lineRule="auto"/>
        <w:ind w:left="369" w:hanging="369"/>
        <w:rPr>
          <w:rFonts w:cs="Times New Roman"/>
          <w:lang w:val="en-GB"/>
        </w:rPr>
      </w:pPr>
      <w:r w:rsidRPr="00A47926">
        <w:rPr>
          <w:rFonts w:cs="Times New Roman"/>
          <w:lang w:val="en-GB"/>
        </w:rPr>
        <w:t>payments carried out by the Czech National Bank when selling commemorative coins, or</w:t>
      </w:r>
    </w:p>
    <w:p w:rsidR="00C56236" w:rsidRPr="00A47926" w:rsidP="00A47926">
      <w:pPr>
        <w:pStyle w:val="ListParagraph"/>
        <w:numPr>
          <w:ilvl w:val="1"/>
          <w:numId w:val="26"/>
        </w:numPr>
        <w:spacing w:line="240" w:lineRule="auto"/>
        <w:ind w:left="369" w:hanging="369"/>
        <w:rPr>
          <w:rFonts w:cs="Times New Roman"/>
          <w:lang w:val="en-GB"/>
        </w:rPr>
      </w:pPr>
      <w:r w:rsidRPr="00A47926">
        <w:rPr>
          <w:rFonts w:cs="Times New Roman"/>
          <w:lang w:val="en-GB"/>
        </w:rPr>
        <w:t xml:space="preserve">payments accepted by court bailiffs, courts or administrative bodies during distrains or enforcements of decisions. </w:t>
      </w:r>
    </w:p>
    <w:p w:rsidR="00FE1074" w:rsidRPr="00B40F80" w:rsidP="00B40F80">
      <w:pPr>
        <w:pStyle w:val="Heading2"/>
        <w:spacing w:before="240" w:after="0" w:line="240" w:lineRule="auto"/>
        <w:contextualSpacing w:val="0"/>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4</w:t>
      </w:r>
    </w:p>
    <w:p w:rsidR="00BC2461" w:rsidP="00B40F80">
      <w:pPr>
        <w:pStyle w:val="ListParagraph"/>
        <w:numPr>
          <w:ilvl w:val="0"/>
          <w:numId w:val="30"/>
        </w:numPr>
        <w:spacing w:before="120" w:after="0" w:line="240" w:lineRule="auto"/>
        <w:ind w:left="0" w:firstLine="482"/>
        <w:contextualSpacing w:val="0"/>
        <w:rPr>
          <w:rFonts w:cs="Times New Roman"/>
          <w:lang w:val="en-GB"/>
        </w:rPr>
      </w:pPr>
      <w:r w:rsidRPr="00610CBF">
        <w:rPr>
          <w:rFonts w:cs="Times New Roman"/>
          <w:lang w:val="en-GB"/>
        </w:rPr>
        <w:t xml:space="preserve">A payer </w:t>
      </w:r>
      <w:r w:rsidRPr="00610CBF" w:rsidR="003E4EC2">
        <w:rPr>
          <w:rFonts w:cs="Times New Roman"/>
          <w:lang w:val="en-GB"/>
        </w:rPr>
        <w:t xml:space="preserve">carries </w:t>
      </w:r>
      <w:r w:rsidRPr="00610CBF">
        <w:rPr>
          <w:rFonts w:cs="Times New Roman"/>
          <w:lang w:val="en-GB"/>
        </w:rPr>
        <w:t>out payments, which exceed the amount of CZK 270 000 (hereinafter the ‘limit’), as cashless payments.</w:t>
      </w:r>
    </w:p>
    <w:p w:rsidR="00BC2461" w:rsidP="00B40F80">
      <w:pPr>
        <w:pStyle w:val="ListParagraph"/>
        <w:numPr>
          <w:ilvl w:val="0"/>
          <w:numId w:val="30"/>
        </w:numPr>
        <w:spacing w:before="120" w:after="0" w:line="240" w:lineRule="auto"/>
        <w:ind w:left="0" w:firstLine="482"/>
        <w:contextualSpacing w:val="0"/>
        <w:rPr>
          <w:rFonts w:cs="Times New Roman"/>
          <w:lang w:val="en-GB"/>
        </w:rPr>
      </w:pPr>
      <w:r w:rsidRPr="00BC2461">
        <w:rPr>
          <w:rFonts w:cs="Times New Roman"/>
          <w:lang w:val="en-GB"/>
        </w:rPr>
        <w:t>A payee is not allowed to accept payments, which exceed the limit, unless these payments are cashless.</w:t>
      </w:r>
    </w:p>
    <w:p w:rsidR="00BC2461" w:rsidP="00B40F80">
      <w:pPr>
        <w:pStyle w:val="ListParagraph"/>
        <w:numPr>
          <w:ilvl w:val="0"/>
          <w:numId w:val="30"/>
        </w:numPr>
        <w:spacing w:before="120" w:after="0" w:line="240" w:lineRule="auto"/>
        <w:ind w:left="0" w:firstLine="482"/>
        <w:contextualSpacing w:val="0"/>
        <w:rPr>
          <w:rFonts w:cs="Times New Roman"/>
          <w:lang w:val="en-GB"/>
        </w:rPr>
      </w:pPr>
      <w:r w:rsidRPr="00BC2461">
        <w:rPr>
          <w:rFonts w:cs="Times New Roman"/>
          <w:lang w:val="en-GB"/>
        </w:rPr>
        <w:t xml:space="preserve">Payments in foreign currency </w:t>
      </w:r>
      <w:r w:rsidRPr="00BC2461" w:rsidR="003E4EC2">
        <w:rPr>
          <w:rFonts w:cs="Times New Roman"/>
          <w:lang w:val="en-GB"/>
        </w:rPr>
        <w:t>are</w:t>
      </w:r>
      <w:r w:rsidRPr="00BC2461">
        <w:rPr>
          <w:rFonts w:cs="Times New Roman"/>
          <w:lang w:val="en-GB"/>
        </w:rPr>
        <w:t xml:space="preserve">, for the purpose of this Act, converted into CZK using </w:t>
      </w:r>
      <w:r w:rsidR="00803194">
        <w:rPr>
          <w:rFonts w:cs="Times New Roman"/>
          <w:lang w:val="en-GB"/>
        </w:rPr>
        <w:t>the </w:t>
      </w:r>
      <w:r w:rsidRPr="00BC2461">
        <w:rPr>
          <w:rFonts w:cs="Times New Roman"/>
          <w:lang w:val="en-GB"/>
        </w:rPr>
        <w:t>exchange rate of the foreign exchange market announced by the Czech National Bank and valid on the day of the payment.</w:t>
      </w:r>
    </w:p>
    <w:p w:rsidR="00C56236" w:rsidRPr="00BC2461" w:rsidP="00B40F80">
      <w:pPr>
        <w:pStyle w:val="ListParagraph"/>
        <w:numPr>
          <w:ilvl w:val="0"/>
          <w:numId w:val="30"/>
        </w:numPr>
        <w:spacing w:before="120" w:after="0" w:line="240" w:lineRule="auto"/>
        <w:ind w:left="0" w:firstLine="482"/>
        <w:contextualSpacing w:val="0"/>
        <w:rPr>
          <w:rFonts w:cs="Times New Roman"/>
          <w:lang w:val="en-GB"/>
        </w:rPr>
      </w:pPr>
      <w:r w:rsidRPr="00BC2461">
        <w:rPr>
          <w:rFonts w:cs="Times New Roman"/>
          <w:lang w:val="en-GB"/>
        </w:rPr>
        <w:t xml:space="preserve">All payments in CZK and foreign currencies made by the same payer to the same payee within one calendar day </w:t>
      </w:r>
      <w:r w:rsidRPr="00BC2461" w:rsidR="003E4EC2">
        <w:rPr>
          <w:rFonts w:cs="Times New Roman"/>
          <w:lang w:val="en-GB"/>
        </w:rPr>
        <w:t xml:space="preserve">are </w:t>
      </w:r>
      <w:r w:rsidRPr="00BC2461">
        <w:rPr>
          <w:rFonts w:cs="Times New Roman"/>
          <w:lang w:val="en-GB"/>
        </w:rPr>
        <w:t>included in the limit.</w:t>
      </w:r>
    </w:p>
    <w:p w:rsidR="00C56236" w:rsidRPr="00610CBF" w:rsidP="00824C9A">
      <w:pPr>
        <w:pStyle w:val="Heading2"/>
        <w:spacing w:before="240" w:after="0" w:line="240" w:lineRule="auto"/>
        <w:contextualSpacing w:val="0"/>
        <w:rPr>
          <w:rFonts w:ascii="Times New Roman" w:hAnsi="Times New Roman" w:cs="Times New Roman"/>
          <w:sz w:val="22"/>
          <w:szCs w:val="22"/>
          <w:lang w:val="en-GB"/>
        </w:rPr>
      </w:pPr>
      <w:r w:rsidRPr="00610CBF">
        <w:rPr>
          <w:rFonts w:ascii="Times New Roman" w:hAnsi="Times New Roman" w:cs="Times New Roman"/>
          <w:sz w:val="22"/>
          <w:szCs w:val="22"/>
          <w:lang w:val="en-GB"/>
        </w:rPr>
        <w:t>Offences</w:t>
      </w:r>
    </w:p>
    <w:p w:rsidR="00C56236" w:rsidRPr="00133B5F" w:rsidP="00824C9A">
      <w:pPr>
        <w:pStyle w:val="Heading2"/>
        <w:spacing w:before="240" w:after="0" w:line="240" w:lineRule="auto"/>
        <w:contextualSpacing w:val="0"/>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5</w:t>
      </w:r>
    </w:p>
    <w:p w:rsidR="00BC2461" w:rsidP="00B40F80">
      <w:pPr>
        <w:pStyle w:val="ListParagraph"/>
        <w:numPr>
          <w:ilvl w:val="0"/>
          <w:numId w:val="27"/>
        </w:numPr>
        <w:spacing w:before="120" w:after="0" w:line="240" w:lineRule="auto"/>
        <w:ind w:left="0" w:firstLine="482"/>
        <w:contextualSpacing w:val="0"/>
        <w:rPr>
          <w:rFonts w:cs="Times New Roman"/>
          <w:lang w:val="en-GB"/>
        </w:rPr>
      </w:pPr>
      <w:r w:rsidRPr="00610CBF">
        <w:rPr>
          <w:rFonts w:cs="Times New Roman"/>
          <w:lang w:val="en-GB"/>
        </w:rPr>
        <w:t>A natural person</w:t>
      </w:r>
      <w:r w:rsidRPr="00610CBF" w:rsidR="008E76CB">
        <w:rPr>
          <w:rFonts w:cs="Times New Roman"/>
          <w:lang w:val="en-GB"/>
        </w:rPr>
        <w:t xml:space="preserve">, a legal person or an enterpreneurial natural person </w:t>
      </w:r>
      <w:r w:rsidRPr="00610CBF">
        <w:rPr>
          <w:rFonts w:cs="Times New Roman"/>
          <w:lang w:val="en-GB"/>
        </w:rPr>
        <w:t xml:space="preserve">who is, according to this Act, obliged to conduct payment without the use of cash, commits an </w:t>
      </w:r>
      <w:r w:rsidRPr="00610CBF" w:rsidR="006D1586">
        <w:rPr>
          <w:rFonts w:cs="Times New Roman"/>
          <w:lang w:val="en-GB"/>
        </w:rPr>
        <w:t>offence</w:t>
      </w:r>
      <w:r w:rsidRPr="00610CBF">
        <w:rPr>
          <w:rFonts w:cs="Times New Roman"/>
          <w:lang w:val="en-GB"/>
        </w:rPr>
        <w:t xml:space="preserve"> by not doing so.</w:t>
      </w:r>
    </w:p>
    <w:p w:rsidR="00BC2461" w:rsidP="00B40F80">
      <w:pPr>
        <w:pStyle w:val="ListParagraph"/>
        <w:numPr>
          <w:ilvl w:val="0"/>
          <w:numId w:val="27"/>
        </w:numPr>
        <w:spacing w:before="120" w:after="0" w:line="240" w:lineRule="auto"/>
        <w:ind w:left="0" w:firstLine="482"/>
        <w:contextualSpacing w:val="0"/>
        <w:rPr>
          <w:rFonts w:cs="Times New Roman"/>
          <w:lang w:val="en-GB"/>
        </w:rPr>
      </w:pPr>
      <w:r w:rsidRPr="00BC2461">
        <w:rPr>
          <w:rFonts w:cs="Times New Roman"/>
          <w:lang w:val="en-GB"/>
        </w:rPr>
        <w:t>A natural person, a legal person or an enterpreneurial natural person</w:t>
      </w:r>
      <w:r w:rsidRPr="00BC2461" w:rsidR="00C56236">
        <w:rPr>
          <w:rFonts w:cs="Times New Roman"/>
          <w:lang w:val="en-GB"/>
        </w:rPr>
        <w:t xml:space="preserve"> commits an </w:t>
      </w:r>
      <w:r w:rsidRPr="00BC2461" w:rsidR="006D1586">
        <w:rPr>
          <w:rFonts w:cs="Times New Roman"/>
          <w:lang w:val="en-GB"/>
        </w:rPr>
        <w:t>offence</w:t>
      </w:r>
      <w:r w:rsidRPr="00BC2461" w:rsidR="00C56236">
        <w:rPr>
          <w:rFonts w:cs="Times New Roman"/>
          <w:lang w:val="en-GB"/>
        </w:rPr>
        <w:t xml:space="preserve"> by accepting cash payment, which is being conducted in violation of this Act.</w:t>
      </w:r>
    </w:p>
    <w:p w:rsidR="00C56236" w:rsidRPr="00BC2461" w:rsidP="00B40F80">
      <w:pPr>
        <w:pStyle w:val="ListParagraph"/>
        <w:numPr>
          <w:ilvl w:val="0"/>
          <w:numId w:val="27"/>
        </w:numPr>
        <w:spacing w:before="120" w:after="0" w:line="240" w:lineRule="auto"/>
        <w:ind w:left="0" w:firstLine="482"/>
        <w:contextualSpacing w:val="0"/>
        <w:rPr>
          <w:rFonts w:cs="Times New Roman"/>
          <w:lang w:val="en-GB"/>
        </w:rPr>
      </w:pPr>
      <w:r w:rsidRPr="00BC2461">
        <w:rPr>
          <w:rFonts w:cs="Times New Roman"/>
          <w:lang w:val="en-GB"/>
        </w:rPr>
        <w:t xml:space="preserve">A fine up to a CZK 500 000 </w:t>
      </w:r>
      <w:r w:rsidRPr="00BC2461" w:rsidR="003E4EC2">
        <w:rPr>
          <w:rFonts w:cs="Times New Roman"/>
          <w:lang w:val="en-GB"/>
        </w:rPr>
        <w:t xml:space="preserve">may </w:t>
      </w:r>
      <w:r w:rsidRPr="00BC2461">
        <w:rPr>
          <w:rFonts w:cs="Times New Roman"/>
          <w:lang w:val="en-GB"/>
        </w:rPr>
        <w:t xml:space="preserve">be imposed for committing </w:t>
      </w:r>
      <w:r w:rsidRPr="00BC2461" w:rsidR="006D1586">
        <w:rPr>
          <w:rFonts w:cs="Times New Roman"/>
          <w:lang w:val="en-GB"/>
        </w:rPr>
        <w:t>offences</w:t>
      </w:r>
      <w:r w:rsidRPr="00BC2461">
        <w:rPr>
          <w:rFonts w:cs="Times New Roman"/>
          <w:lang w:val="en-GB"/>
        </w:rPr>
        <w:t xml:space="preserve"> under subsections </w:t>
      </w:r>
      <w:r w:rsidRPr="00BC2461" w:rsidR="00370DFF">
        <w:rPr>
          <w:rFonts w:cs="Times New Roman"/>
          <w:lang w:val="en-GB"/>
        </w:rPr>
        <w:t>(</w:t>
      </w:r>
      <w:r w:rsidRPr="00BC2461">
        <w:rPr>
          <w:rFonts w:cs="Times New Roman"/>
          <w:lang w:val="en-GB"/>
        </w:rPr>
        <w:t>1</w:t>
      </w:r>
      <w:r w:rsidRPr="00BC2461" w:rsidR="00370DFF">
        <w:rPr>
          <w:rFonts w:cs="Times New Roman"/>
          <w:lang w:val="en-GB"/>
        </w:rPr>
        <w:t>)</w:t>
      </w:r>
      <w:r w:rsidRPr="00BC2461">
        <w:rPr>
          <w:rFonts w:cs="Times New Roman"/>
          <w:lang w:val="en-GB"/>
        </w:rPr>
        <w:t xml:space="preserve"> and </w:t>
      </w:r>
      <w:r w:rsidRPr="00BC2461" w:rsidR="00370DFF">
        <w:rPr>
          <w:rFonts w:cs="Times New Roman"/>
          <w:lang w:val="en-GB"/>
        </w:rPr>
        <w:t>(</w:t>
      </w:r>
      <w:r w:rsidRPr="00BC2461">
        <w:rPr>
          <w:rFonts w:cs="Times New Roman"/>
          <w:lang w:val="en-GB"/>
        </w:rPr>
        <w:t>2</w:t>
      </w:r>
      <w:r w:rsidRPr="00BC2461" w:rsidR="00370DFF">
        <w:rPr>
          <w:rFonts w:cs="Times New Roman"/>
          <w:lang w:val="en-GB"/>
        </w:rPr>
        <w:t>)</w:t>
      </w:r>
      <w:r w:rsidRPr="00BC2461" w:rsidR="008E76CB">
        <w:rPr>
          <w:rFonts w:cs="Times New Roman"/>
          <w:lang w:val="en-GB"/>
        </w:rPr>
        <w:t xml:space="preserve"> to natural person and a fine up to a CZK 5 000 000 may be imposed for committing offences under subsections (1) and (2) to legal person or entrepreneurial natural person</w:t>
      </w:r>
      <w:r w:rsidRPr="00BC2461">
        <w:rPr>
          <w:rFonts w:cs="Times New Roman"/>
          <w:lang w:val="en-GB"/>
        </w:rPr>
        <w:t>.</w:t>
      </w:r>
    </w:p>
    <w:p w:rsidR="00ED601C" w:rsidRPr="00133B5F" w:rsidP="00FE1074">
      <w:pPr>
        <w:pStyle w:val="Heading2"/>
        <w:spacing w:before="24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6</w:t>
      </w:r>
    </w:p>
    <w:p w:rsidR="00FE1074" w:rsidRPr="003F5ABD" w:rsidP="003F5ABD">
      <w:pPr>
        <w:spacing w:after="0" w:line="240" w:lineRule="auto"/>
        <w:contextualSpacing/>
        <w:jc w:val="center"/>
        <w:rPr>
          <w:rFonts w:cs="Times New Roman"/>
          <w:lang w:val="en-GB"/>
        </w:rPr>
      </w:pPr>
      <w:r w:rsidRPr="00610CBF">
        <w:rPr>
          <w:rFonts w:cs="Times New Roman"/>
          <w:lang w:val="en-GB"/>
        </w:rPr>
        <w:t>derogated</w:t>
      </w:r>
    </w:p>
    <w:p w:rsidR="00C56236" w:rsidRPr="00133B5F" w:rsidP="00FE1074">
      <w:pPr>
        <w:pStyle w:val="Heading2"/>
        <w:spacing w:before="24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6a</w:t>
      </w:r>
    </w:p>
    <w:p w:rsidR="00BC2461" w:rsidP="00B40F80">
      <w:pPr>
        <w:pStyle w:val="ListParagraph"/>
        <w:numPr>
          <w:ilvl w:val="0"/>
          <w:numId w:val="29"/>
        </w:numPr>
        <w:spacing w:before="120" w:after="0" w:line="240" w:lineRule="auto"/>
        <w:ind w:left="0" w:firstLine="482"/>
        <w:contextualSpacing w:val="0"/>
        <w:rPr>
          <w:rFonts w:cs="Times New Roman"/>
          <w:lang w:val="en-GB"/>
        </w:rPr>
      </w:pPr>
      <w:r w:rsidRPr="00610CBF">
        <w:rPr>
          <w:rFonts w:cs="Times New Roman"/>
          <w:lang w:val="en-GB"/>
        </w:rPr>
        <w:t xml:space="preserve">The Customs Administration and the Financial Administration </w:t>
      </w:r>
      <w:r w:rsidRPr="00610CBF" w:rsidR="00AD2967">
        <w:rPr>
          <w:rFonts w:cs="Times New Roman"/>
          <w:lang w:val="en-GB"/>
        </w:rPr>
        <w:t xml:space="preserve">investigate </w:t>
      </w:r>
      <w:r w:rsidRPr="00610CBF">
        <w:rPr>
          <w:rFonts w:cs="Times New Roman"/>
          <w:lang w:val="en-GB"/>
        </w:rPr>
        <w:t xml:space="preserve">in course of their duties </w:t>
      </w:r>
      <w:r w:rsidRPr="00610CBF" w:rsidR="004602E7">
        <w:rPr>
          <w:rFonts w:cs="Times New Roman"/>
          <w:lang w:val="en-GB"/>
        </w:rPr>
        <w:t>offences</w:t>
      </w:r>
      <w:r w:rsidRPr="00610CBF">
        <w:rPr>
          <w:rFonts w:cs="Times New Roman"/>
          <w:lang w:val="en-GB"/>
        </w:rPr>
        <w:t xml:space="preserve"> committed under this </w:t>
      </w:r>
      <w:r w:rsidRPr="00610CBF" w:rsidR="00AD2967">
        <w:rPr>
          <w:rFonts w:cs="Times New Roman"/>
          <w:lang w:val="en-GB"/>
        </w:rPr>
        <w:t>Act</w:t>
      </w:r>
      <w:r w:rsidRPr="00610CBF">
        <w:rPr>
          <w:rFonts w:cs="Times New Roman"/>
          <w:lang w:val="en-GB"/>
        </w:rPr>
        <w:t>.</w:t>
      </w:r>
    </w:p>
    <w:p w:rsidR="00AD2967" w:rsidRPr="00BC2461" w:rsidP="00B40F80">
      <w:pPr>
        <w:pStyle w:val="ListParagraph"/>
        <w:numPr>
          <w:ilvl w:val="0"/>
          <w:numId w:val="29"/>
        </w:numPr>
        <w:spacing w:before="120" w:after="0" w:line="240" w:lineRule="auto"/>
        <w:ind w:left="0" w:firstLine="482"/>
        <w:contextualSpacing w:val="0"/>
        <w:rPr>
          <w:rFonts w:cs="Times New Roman"/>
          <w:lang w:val="en-GB"/>
        </w:rPr>
      </w:pPr>
      <w:r w:rsidRPr="00BC2461">
        <w:rPr>
          <w:rFonts w:cs="Times New Roman"/>
          <w:lang w:val="en-GB"/>
        </w:rPr>
        <w:t>The competent authority which in course of its duties investigated respective offence committed under this Act imposes f</w:t>
      </w:r>
      <w:r w:rsidRPr="00BC2461" w:rsidR="00C56236">
        <w:rPr>
          <w:rFonts w:cs="Times New Roman"/>
          <w:lang w:val="en-GB"/>
        </w:rPr>
        <w:t xml:space="preserve">ines, </w:t>
      </w:r>
      <w:r w:rsidRPr="00BC2461">
        <w:rPr>
          <w:rFonts w:cs="Times New Roman"/>
          <w:lang w:val="en-GB"/>
        </w:rPr>
        <w:t xml:space="preserve">collects fines </w:t>
      </w:r>
      <w:r w:rsidRPr="00BC2461" w:rsidR="00C56236">
        <w:rPr>
          <w:rFonts w:cs="Times New Roman"/>
          <w:lang w:val="en-GB"/>
        </w:rPr>
        <w:t xml:space="preserve">and </w:t>
      </w:r>
      <w:r w:rsidRPr="00BC2461">
        <w:rPr>
          <w:rFonts w:cs="Times New Roman"/>
          <w:lang w:val="en-GB"/>
        </w:rPr>
        <w:t>enforces payment</w:t>
      </w:r>
      <w:r w:rsidRPr="00BC2461" w:rsidR="00132E79">
        <w:rPr>
          <w:rFonts w:cs="Times New Roman"/>
          <w:lang w:val="en-GB"/>
        </w:rPr>
        <w:t>s of fines</w:t>
      </w:r>
      <w:r w:rsidRPr="00BC2461">
        <w:rPr>
          <w:rFonts w:cs="Times New Roman"/>
          <w:lang w:val="en-GB"/>
        </w:rPr>
        <w:t>.</w:t>
      </w:r>
    </w:p>
    <w:p w:rsidR="00C56236" w:rsidRPr="00133B5F" w:rsidP="00FE1074">
      <w:pPr>
        <w:pStyle w:val="Heading2"/>
        <w:spacing w:before="24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7</w:t>
      </w:r>
    </w:p>
    <w:p w:rsidR="00C56236" w:rsidRPr="00610CBF" w:rsidP="00FE1074">
      <w:pPr>
        <w:pStyle w:val="Heading2"/>
        <w:spacing w:before="240" w:after="0" w:line="240" w:lineRule="auto"/>
        <w:rPr>
          <w:rFonts w:ascii="Times New Roman" w:hAnsi="Times New Roman" w:cs="Times New Roman"/>
          <w:sz w:val="22"/>
          <w:szCs w:val="22"/>
          <w:lang w:val="en-GB"/>
        </w:rPr>
      </w:pPr>
      <w:r w:rsidRPr="00610CBF">
        <w:rPr>
          <w:rFonts w:ascii="Times New Roman" w:hAnsi="Times New Roman" w:cs="Times New Roman"/>
          <w:sz w:val="22"/>
          <w:szCs w:val="22"/>
          <w:lang w:val="en-GB"/>
        </w:rPr>
        <w:t>Transitional provision</w:t>
      </w:r>
    </w:p>
    <w:p w:rsidR="00133B5F" w:rsidRPr="00610CBF" w:rsidP="001C754B">
      <w:pPr>
        <w:spacing w:before="120" w:after="0" w:line="240" w:lineRule="auto"/>
        <w:ind w:firstLine="482"/>
        <w:rPr>
          <w:rFonts w:cs="Times New Roman"/>
          <w:lang w:val="en-GB"/>
        </w:rPr>
      </w:pPr>
      <w:r w:rsidRPr="00610CBF">
        <w:rPr>
          <w:rFonts w:cs="Times New Roman"/>
          <w:lang w:val="en-GB"/>
        </w:rPr>
        <w:t xml:space="preserve">If there is a contractual obligation, based on a contract which was concluded before the effective date of this Act, to make a cash payment exceeding  limit in </w:t>
      </w:r>
      <w:r w:rsidRPr="00610CBF" w:rsidR="004602E7">
        <w:rPr>
          <w:rFonts w:cs="Times New Roman"/>
          <w:lang w:val="en-GB"/>
        </w:rPr>
        <w:t>Section (</w:t>
      </w:r>
      <w:r w:rsidRPr="00610CBF">
        <w:rPr>
          <w:rFonts w:cs="Times New Roman"/>
          <w:lang w:val="en-GB"/>
        </w:rPr>
        <w:t>4</w:t>
      </w:r>
      <w:r w:rsidRPr="00610CBF" w:rsidR="004602E7">
        <w:rPr>
          <w:rFonts w:cs="Times New Roman"/>
          <w:lang w:val="en-GB"/>
        </w:rPr>
        <w:t>)</w:t>
      </w:r>
      <w:r w:rsidRPr="00610CBF">
        <w:rPr>
          <w:rFonts w:cs="Times New Roman"/>
          <w:lang w:val="en-GB"/>
        </w:rPr>
        <w:t>, such a payment must take place no longer than a year after the effective date of this Act.</w:t>
      </w:r>
    </w:p>
    <w:p w:rsidR="00133B5F" w:rsidRPr="003F5ABD" w:rsidP="00133B5F">
      <w:pPr>
        <w:pStyle w:val="Heading1"/>
        <w:spacing w:before="360" w:after="0" w:line="240" w:lineRule="auto"/>
        <w:rPr>
          <w:rFonts w:ascii="Times New Roman" w:hAnsi="Times New Roman" w:cs="Times New Roman"/>
          <w:b w:val="0"/>
          <w:sz w:val="22"/>
          <w:szCs w:val="22"/>
          <w:lang w:val="en-GB"/>
        </w:rPr>
      </w:pPr>
      <w:r w:rsidRPr="003F5ABD">
        <w:rPr>
          <w:rFonts w:ascii="Times New Roman" w:hAnsi="Times New Roman" w:cs="Times New Roman"/>
          <w:b w:val="0"/>
          <w:sz w:val="22"/>
          <w:szCs w:val="22"/>
          <w:lang w:val="en-GB"/>
        </w:rPr>
        <w:t>PART TWO</w:t>
      </w:r>
    </w:p>
    <w:p w:rsidR="00133B5F" w:rsidRPr="00824C9A" w:rsidP="00824C9A">
      <w:pPr>
        <w:spacing w:line="240" w:lineRule="auto"/>
        <w:jc w:val="center"/>
        <w:rPr>
          <w:rFonts w:cs="Times New Roman"/>
          <w:lang w:val="en-GB"/>
        </w:rPr>
      </w:pPr>
      <w:r w:rsidRPr="00610CBF">
        <w:rPr>
          <w:rFonts w:cs="Times New Roman"/>
          <w:lang w:val="en-GB"/>
        </w:rPr>
        <w:t>derogated</w:t>
      </w:r>
    </w:p>
    <w:p w:rsidR="00C56236" w:rsidRPr="00133B5F" w:rsidP="00FE1074">
      <w:pPr>
        <w:pStyle w:val="Heading2"/>
        <w:spacing w:before="24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8</w:t>
      </w:r>
    </w:p>
    <w:p w:rsidR="00C56236" w:rsidRPr="00610CBF" w:rsidP="00FE1074">
      <w:pPr>
        <w:spacing w:after="0" w:line="240" w:lineRule="auto"/>
        <w:contextualSpacing/>
        <w:jc w:val="center"/>
        <w:rPr>
          <w:rFonts w:cs="Times New Roman"/>
          <w:lang w:val="en-GB"/>
        </w:rPr>
      </w:pPr>
      <w:r w:rsidRPr="00610CBF">
        <w:rPr>
          <w:rFonts w:cs="Times New Roman"/>
          <w:lang w:val="en-GB"/>
        </w:rPr>
        <w:t>derogated</w:t>
      </w:r>
    </w:p>
    <w:p w:rsidR="00133B5F" w:rsidP="00133B5F">
      <w:pPr>
        <w:pStyle w:val="Heading1"/>
        <w:spacing w:line="240" w:lineRule="auto"/>
        <w:rPr>
          <w:rFonts w:ascii="Times New Roman" w:hAnsi="Times New Roman" w:cs="Times New Roman"/>
          <w:sz w:val="22"/>
          <w:szCs w:val="22"/>
          <w:lang w:val="en-GB"/>
        </w:rPr>
      </w:pPr>
    </w:p>
    <w:p w:rsidR="00C56236" w:rsidRPr="003F5ABD" w:rsidP="00133B5F">
      <w:pPr>
        <w:pStyle w:val="Heading1"/>
        <w:spacing w:before="360" w:after="0" w:line="240" w:lineRule="auto"/>
        <w:rPr>
          <w:rFonts w:ascii="Times New Roman" w:hAnsi="Times New Roman" w:cs="Times New Roman"/>
          <w:b w:val="0"/>
          <w:sz w:val="22"/>
          <w:szCs w:val="22"/>
          <w:lang w:val="en-GB"/>
        </w:rPr>
      </w:pPr>
      <w:r w:rsidRPr="003F5ABD">
        <w:rPr>
          <w:rFonts w:ascii="Times New Roman" w:hAnsi="Times New Roman" w:cs="Times New Roman"/>
          <w:b w:val="0"/>
          <w:sz w:val="22"/>
          <w:szCs w:val="22"/>
          <w:lang w:val="en-GB"/>
        </w:rPr>
        <w:t xml:space="preserve">PART </w:t>
      </w:r>
      <w:r w:rsidRPr="003F5ABD" w:rsidR="003F5ABD">
        <w:rPr>
          <w:rFonts w:ascii="Times New Roman" w:hAnsi="Times New Roman" w:cs="Times New Roman"/>
          <w:b w:val="0"/>
          <w:sz w:val="22"/>
          <w:szCs w:val="22"/>
          <w:lang w:val="en-GB"/>
        </w:rPr>
        <w:t>THREE</w:t>
      </w:r>
    </w:p>
    <w:p w:rsidR="00C56236" w:rsidRPr="00610CBF" w:rsidP="00133B5F">
      <w:pPr>
        <w:pStyle w:val="Heading1"/>
        <w:spacing w:before="360" w:after="0" w:line="240" w:lineRule="auto"/>
        <w:rPr>
          <w:rFonts w:ascii="Times New Roman" w:hAnsi="Times New Roman" w:cs="Times New Roman"/>
          <w:sz w:val="22"/>
          <w:szCs w:val="22"/>
          <w:lang w:val="en-GB"/>
        </w:rPr>
      </w:pPr>
      <w:r w:rsidRPr="00610CBF">
        <w:rPr>
          <w:rFonts w:ascii="Times New Roman" w:hAnsi="Times New Roman" w:cs="Times New Roman"/>
          <w:sz w:val="22"/>
          <w:szCs w:val="22"/>
          <w:lang w:val="en-GB"/>
        </w:rPr>
        <w:t>EFFECT</w:t>
      </w:r>
    </w:p>
    <w:p w:rsidR="00FE1074" w:rsidRPr="003F5ABD" w:rsidP="003F5ABD">
      <w:pPr>
        <w:pStyle w:val="Heading2"/>
        <w:spacing w:before="240" w:after="0" w:line="240" w:lineRule="auto"/>
        <w:rPr>
          <w:rFonts w:ascii="Times New Roman" w:hAnsi="Times New Roman" w:cs="Times New Roman"/>
          <w:b w:val="0"/>
          <w:sz w:val="22"/>
          <w:szCs w:val="22"/>
          <w:lang w:val="en-GB"/>
        </w:rPr>
      </w:pPr>
      <w:r w:rsidRPr="00133B5F">
        <w:rPr>
          <w:rFonts w:ascii="Times New Roman" w:hAnsi="Times New Roman" w:cs="Times New Roman"/>
          <w:b w:val="0"/>
          <w:sz w:val="22"/>
          <w:szCs w:val="22"/>
          <w:lang w:val="en-GB"/>
        </w:rPr>
        <w:t>Section 9</w:t>
      </w:r>
    </w:p>
    <w:p w:rsidR="00C926F3" w:rsidRPr="00610CBF" w:rsidP="003F5ABD">
      <w:pPr>
        <w:spacing w:before="120" w:after="0" w:line="240" w:lineRule="auto"/>
        <w:ind w:firstLine="482"/>
        <w:contextualSpacing/>
        <w:rPr>
          <w:rFonts w:cs="Times New Roman"/>
          <w:lang w:val="en-GB"/>
        </w:rPr>
      </w:pPr>
      <w:r w:rsidRPr="00610CBF">
        <w:rPr>
          <w:rFonts w:cs="Times New Roman"/>
          <w:lang w:val="en-GB"/>
        </w:rPr>
        <w:t>This Act comes into effect on the first day of the third calendar month following after its promulgation.</w:t>
      </w:r>
    </w:p>
    <w:sectPr w:rsidSect="00610CBF">
      <w:footerReference w:type="default" r:id="rId5"/>
      <w:pgSz w:w="11906" w:h="16838"/>
      <w:pgMar w:top="1440" w:right="1080" w:bottom="1440" w:left="1080"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962779"/>
      <w:docPartObj>
        <w:docPartGallery w:val="Page Numbers (Bottom of Page)"/>
        <w:docPartUnique/>
      </w:docPartObj>
    </w:sdtPr>
    <w:sdtEndPr>
      <w:rPr>
        <w:sz w:val="18"/>
        <w:szCs w:val="18"/>
      </w:rPr>
    </w:sdtEndPr>
    <w:sdtContent>
      <w:p w:rsidR="00610CBF" w:rsidP="00610CBF">
        <w:pPr>
          <w:pStyle w:val="Footer"/>
          <w:jc w:val="center"/>
          <w:rPr>
            <w:sz w:val="18"/>
            <w:szCs w:val="18"/>
          </w:rPr>
        </w:pPr>
        <w:r w:rsidRPr="00610CBF">
          <w:rPr>
            <w:sz w:val="18"/>
            <w:szCs w:val="18"/>
          </w:rPr>
          <w:fldChar w:fldCharType="begin"/>
        </w:r>
        <w:r w:rsidRPr="00610CBF">
          <w:rPr>
            <w:sz w:val="18"/>
            <w:szCs w:val="18"/>
          </w:rPr>
          <w:instrText>PAGE   \* MERGEFORMAT</w:instrText>
        </w:r>
        <w:r w:rsidRPr="00610CBF">
          <w:rPr>
            <w:sz w:val="18"/>
            <w:szCs w:val="18"/>
          </w:rPr>
          <w:fldChar w:fldCharType="separate"/>
        </w:r>
        <w:r w:rsidR="00B11851">
          <w:rPr>
            <w:noProof/>
            <w:sz w:val="18"/>
            <w:szCs w:val="18"/>
          </w:rPr>
          <w:t>- 1 -</w:t>
        </w:r>
        <w:r w:rsidRPr="00610CBF">
          <w:rPr>
            <w:sz w:val="18"/>
            <w:szCs w:val="18"/>
          </w:rPr>
          <w:fldChar w:fldCharType="end"/>
        </w:r>
      </w:p>
      <w:p w:rsidR="00610CBF" w:rsidRPr="00610CBF" w:rsidP="00610CBF">
        <w:pPr>
          <w:pStyle w:val="Footer"/>
          <w:jc w:val="center"/>
          <w:rPr>
            <w:sz w:val="18"/>
            <w:szCs w:val="18"/>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C633A"/>
    <w:multiLevelType w:val="hybridMultilevel"/>
    <w:tmpl w:val="05DAC53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18527F"/>
    <w:multiLevelType w:val="hybridMultilevel"/>
    <w:tmpl w:val="ECD40EE2"/>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A663B8"/>
    <w:multiLevelType w:val="hybridMultilevel"/>
    <w:tmpl w:val="B14EA6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197C4C"/>
    <w:multiLevelType w:val="hybridMultilevel"/>
    <w:tmpl w:val="E49606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A83EB9"/>
    <w:multiLevelType w:val="hybridMultilevel"/>
    <w:tmpl w:val="742E88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D60D29"/>
    <w:multiLevelType w:val="hybridMultilevel"/>
    <w:tmpl w:val="148C7E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74A7BEC"/>
    <w:multiLevelType w:val="hybridMultilevel"/>
    <w:tmpl w:val="C1F67A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D30EC8"/>
    <w:multiLevelType w:val="hybridMultilevel"/>
    <w:tmpl w:val="7018E4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5A40E5"/>
    <w:multiLevelType w:val="hybridMultilevel"/>
    <w:tmpl w:val="5582BF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E31756"/>
    <w:multiLevelType w:val="hybridMultilevel"/>
    <w:tmpl w:val="946C9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AA4D81"/>
    <w:multiLevelType w:val="hybridMultilevel"/>
    <w:tmpl w:val="F092D76C"/>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17F67D5"/>
    <w:multiLevelType w:val="hybridMultilevel"/>
    <w:tmpl w:val="475C11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A0A2B22"/>
    <w:multiLevelType w:val="hybridMultilevel"/>
    <w:tmpl w:val="5C7A3260"/>
    <w:lvl w:ilvl="0">
      <w:start w:val="1"/>
      <w:numFmt w:val="decimal"/>
      <w:suff w:val="space"/>
      <w:lvlText w:val="(%1)"/>
      <w:lvlJc w:val="left"/>
      <w:pPr>
        <w:ind w:left="1068" w:hanging="360"/>
      </w:pPr>
      <w:rPr>
        <w:rFonts w:hint="default"/>
      </w:rPr>
    </w:lvl>
    <w:lvl w:ilvl="1">
      <w:start w:val="1"/>
      <w:numFmt w:val="lowerLetter"/>
      <w:lvlText w:val="(%2)"/>
      <w:lvlJc w:val="left"/>
      <w:pPr>
        <w:ind w:left="1788" w:hanging="360"/>
      </w:pPr>
      <w:rPr>
        <w:rFonts w:hint="default"/>
      </w:r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3">
    <w:nsid w:val="4A560F82"/>
    <w:multiLevelType w:val="hybridMultilevel"/>
    <w:tmpl w:val="270E86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1028BF"/>
    <w:multiLevelType w:val="hybridMultilevel"/>
    <w:tmpl w:val="AA924F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5902EEB"/>
    <w:multiLevelType w:val="hybridMultilevel"/>
    <w:tmpl w:val="53ECF68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6F407C0"/>
    <w:multiLevelType w:val="hybridMultilevel"/>
    <w:tmpl w:val="50DC69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8E46B74"/>
    <w:multiLevelType w:val="hybridMultilevel"/>
    <w:tmpl w:val="8DA203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785011"/>
    <w:multiLevelType w:val="hybridMultilevel"/>
    <w:tmpl w:val="A1FA8DD0"/>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C894291"/>
    <w:multiLevelType w:val="hybridMultilevel"/>
    <w:tmpl w:val="04F4534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8B6B8C"/>
    <w:multiLevelType w:val="hybridMultilevel"/>
    <w:tmpl w:val="64AA50E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0F59FB"/>
    <w:multiLevelType w:val="hybridMultilevel"/>
    <w:tmpl w:val="F86031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21902D3"/>
    <w:multiLevelType w:val="hybridMultilevel"/>
    <w:tmpl w:val="DF0203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7D6366"/>
    <w:multiLevelType w:val="hybridMultilevel"/>
    <w:tmpl w:val="5496752C"/>
    <w:lvl w:ilvl="0">
      <w:start w:val="1"/>
      <w:numFmt w:val="decimal"/>
      <w:suff w:val="space"/>
      <w:lvlText w:val="(%1)"/>
      <w:lvlJc w:val="left"/>
      <w:pPr>
        <w:ind w:left="360" w:hanging="360"/>
      </w:pPr>
      <w:rPr>
        <w:rFonts w:hint="default"/>
      </w:rPr>
    </w:lvl>
    <w:lvl w:ilvl="1">
      <w:start w:val="1"/>
      <w:numFmt w:val="lowerLetter"/>
      <w:lvlText w:val="%2."/>
      <w:lvlJc w:val="left"/>
      <w:pPr>
        <w:ind w:left="116" w:hanging="360"/>
      </w:pPr>
    </w:lvl>
    <w:lvl w:ilvl="2" w:tentative="1">
      <w:start w:val="1"/>
      <w:numFmt w:val="lowerRoman"/>
      <w:lvlText w:val="%3."/>
      <w:lvlJc w:val="right"/>
      <w:pPr>
        <w:ind w:left="836" w:hanging="180"/>
      </w:pPr>
    </w:lvl>
    <w:lvl w:ilvl="3" w:tentative="1">
      <w:start w:val="1"/>
      <w:numFmt w:val="decimal"/>
      <w:lvlText w:val="%4."/>
      <w:lvlJc w:val="left"/>
      <w:pPr>
        <w:ind w:left="1556" w:hanging="360"/>
      </w:pPr>
    </w:lvl>
    <w:lvl w:ilvl="4" w:tentative="1">
      <w:start w:val="1"/>
      <w:numFmt w:val="lowerLetter"/>
      <w:lvlText w:val="%5."/>
      <w:lvlJc w:val="left"/>
      <w:pPr>
        <w:ind w:left="2276" w:hanging="360"/>
      </w:pPr>
    </w:lvl>
    <w:lvl w:ilvl="5" w:tentative="1">
      <w:start w:val="1"/>
      <w:numFmt w:val="lowerRoman"/>
      <w:lvlText w:val="%6."/>
      <w:lvlJc w:val="right"/>
      <w:pPr>
        <w:ind w:left="2996" w:hanging="180"/>
      </w:pPr>
    </w:lvl>
    <w:lvl w:ilvl="6" w:tentative="1">
      <w:start w:val="1"/>
      <w:numFmt w:val="decimal"/>
      <w:lvlText w:val="%7."/>
      <w:lvlJc w:val="left"/>
      <w:pPr>
        <w:ind w:left="3716" w:hanging="360"/>
      </w:pPr>
    </w:lvl>
    <w:lvl w:ilvl="7" w:tentative="1">
      <w:start w:val="1"/>
      <w:numFmt w:val="lowerLetter"/>
      <w:lvlText w:val="%8."/>
      <w:lvlJc w:val="left"/>
      <w:pPr>
        <w:ind w:left="4436" w:hanging="360"/>
      </w:pPr>
    </w:lvl>
    <w:lvl w:ilvl="8" w:tentative="1">
      <w:start w:val="1"/>
      <w:numFmt w:val="lowerRoman"/>
      <w:lvlText w:val="%9."/>
      <w:lvlJc w:val="right"/>
      <w:pPr>
        <w:ind w:left="5156" w:hanging="180"/>
      </w:pPr>
    </w:lvl>
  </w:abstractNum>
  <w:abstractNum w:abstractNumId="24">
    <w:nsid w:val="74524BCC"/>
    <w:multiLevelType w:val="hybridMultilevel"/>
    <w:tmpl w:val="0A163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A46F5A"/>
    <w:multiLevelType w:val="hybridMultilevel"/>
    <w:tmpl w:val="4AAC138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3760FE"/>
    <w:multiLevelType w:val="hybridMultilevel"/>
    <w:tmpl w:val="8340CD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A3A676A"/>
    <w:multiLevelType w:val="hybridMultilevel"/>
    <w:tmpl w:val="28EE7E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BFB2F5F"/>
    <w:multiLevelType w:val="hybridMultilevel"/>
    <w:tmpl w:val="F8A684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E4E51D5"/>
    <w:multiLevelType w:val="hybridMultilevel"/>
    <w:tmpl w:val="148C7E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4"/>
  </w:num>
  <w:num w:numId="2">
    <w:abstractNumId w:val="16"/>
  </w:num>
  <w:num w:numId="3">
    <w:abstractNumId w:val="13"/>
  </w:num>
  <w:num w:numId="4">
    <w:abstractNumId w:val="17"/>
  </w:num>
  <w:num w:numId="5">
    <w:abstractNumId w:val="7"/>
  </w:num>
  <w:num w:numId="6">
    <w:abstractNumId w:val="8"/>
  </w:num>
  <w:num w:numId="7">
    <w:abstractNumId w:val="6"/>
  </w:num>
  <w:num w:numId="8">
    <w:abstractNumId w:val="26"/>
  </w:num>
  <w:num w:numId="9">
    <w:abstractNumId w:val="9"/>
  </w:num>
  <w:num w:numId="10">
    <w:abstractNumId w:val="22"/>
  </w:num>
  <w:num w:numId="11">
    <w:abstractNumId w:val="2"/>
  </w:num>
  <w:num w:numId="12">
    <w:abstractNumId w:val="3"/>
  </w:num>
  <w:num w:numId="13">
    <w:abstractNumId w:val="19"/>
  </w:num>
  <w:num w:numId="14">
    <w:abstractNumId w:val="15"/>
  </w:num>
  <w:num w:numId="15">
    <w:abstractNumId w:val="20"/>
  </w:num>
  <w:num w:numId="16">
    <w:abstractNumId w:val="0"/>
  </w:num>
  <w:num w:numId="17">
    <w:abstractNumId w:val="28"/>
  </w:num>
  <w:num w:numId="18">
    <w:abstractNumId w:val="25"/>
  </w:num>
  <w:num w:numId="19">
    <w:abstractNumId w:val="4"/>
  </w:num>
  <w:num w:numId="20">
    <w:abstractNumId w:val="14"/>
  </w:num>
  <w:num w:numId="21">
    <w:abstractNumId w:val="11"/>
  </w:num>
  <w:num w:numId="22">
    <w:abstractNumId w:val="5"/>
  </w:num>
  <w:num w:numId="23">
    <w:abstractNumId w:val="27"/>
  </w:num>
  <w:num w:numId="24">
    <w:abstractNumId w:val="29"/>
  </w:num>
  <w:num w:numId="25">
    <w:abstractNumId w:val="12"/>
  </w:num>
  <w:num w:numId="26">
    <w:abstractNumId w:val="18"/>
  </w:num>
  <w:num w:numId="27">
    <w:abstractNumId w:val="10"/>
  </w:num>
  <w:num w:numId="28">
    <w:abstractNumId w:val="21"/>
  </w:num>
  <w:num w:numId="29">
    <w:abstractNumId w:val="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36"/>
    <w:pPr>
      <w:jc w:val="both"/>
    </w:pPr>
    <w:rPr>
      <w:rFonts w:ascii="Times New Roman" w:hAnsi="Times New Roman"/>
    </w:rPr>
  </w:style>
  <w:style w:type="paragraph" w:styleId="Heading1">
    <w:name w:val="heading 1"/>
    <w:basedOn w:val="Normal"/>
    <w:next w:val="Normal"/>
    <w:link w:val="Nadpis1Char"/>
    <w:uiPriority w:val="9"/>
    <w:qFormat/>
    <w:rsid w:val="00AB0946"/>
    <w:pPr>
      <w:keepNext/>
      <w:keepLines/>
      <w:spacing w:before="120" w:after="120"/>
      <w:contextualSpacing/>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Nadpis2Char"/>
    <w:uiPriority w:val="9"/>
    <w:unhideWhenUsed/>
    <w:qFormat/>
    <w:rsid w:val="00AB0946"/>
    <w:pPr>
      <w:keepNext/>
      <w:keepLines/>
      <w:spacing w:before="120" w:after="120"/>
      <w:contextualSpacing/>
      <w:jc w:val="center"/>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DefaultParagraphFont"/>
    <w:link w:val="Heading1"/>
    <w:uiPriority w:val="9"/>
    <w:rsid w:val="00AB0946"/>
    <w:rPr>
      <w:rFonts w:asciiTheme="majorHAnsi" w:eastAsiaTheme="majorEastAsia" w:hAnsiTheme="majorHAnsi" w:cstheme="majorBidi"/>
      <w:b/>
      <w:bCs/>
      <w:sz w:val="28"/>
      <w:szCs w:val="28"/>
    </w:rPr>
  </w:style>
  <w:style w:type="character" w:customStyle="1" w:styleId="Nadpis2Char">
    <w:name w:val="Nadpis 2 Char"/>
    <w:basedOn w:val="DefaultParagraphFont"/>
    <w:link w:val="Heading2"/>
    <w:uiPriority w:val="9"/>
    <w:rsid w:val="00AB0946"/>
    <w:rPr>
      <w:rFonts w:asciiTheme="majorHAnsi" w:eastAsiaTheme="majorEastAsia" w:hAnsiTheme="majorHAnsi" w:cstheme="majorBidi"/>
      <w:b/>
      <w:bCs/>
      <w:sz w:val="24"/>
      <w:szCs w:val="26"/>
    </w:rPr>
  </w:style>
  <w:style w:type="paragraph" w:styleId="ListParagraph">
    <w:name w:val="List Paragraph"/>
    <w:basedOn w:val="Normal"/>
    <w:uiPriority w:val="34"/>
    <w:qFormat/>
    <w:rsid w:val="00AB0946"/>
    <w:pPr>
      <w:ind w:left="720"/>
      <w:contextualSpacing/>
    </w:pPr>
  </w:style>
  <w:style w:type="paragraph" w:styleId="BalloonText">
    <w:name w:val="Balloon Text"/>
    <w:basedOn w:val="Normal"/>
    <w:link w:val="TextbublinyChar"/>
    <w:uiPriority w:val="99"/>
    <w:semiHidden/>
    <w:unhideWhenUsed/>
    <w:rsid w:val="00C56236"/>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C56236"/>
    <w:rPr>
      <w:rFonts w:ascii="Tahoma" w:hAnsi="Tahoma" w:cs="Tahoma"/>
      <w:sz w:val="16"/>
      <w:szCs w:val="16"/>
    </w:rPr>
  </w:style>
  <w:style w:type="character" w:styleId="Emphasis">
    <w:name w:val="Emphasis"/>
    <w:basedOn w:val="DefaultParagraphFont"/>
    <w:uiPriority w:val="20"/>
    <w:qFormat/>
    <w:rsid w:val="00400C5A"/>
    <w:rPr>
      <w:i/>
      <w:iCs/>
    </w:rPr>
  </w:style>
  <w:style w:type="character" w:styleId="Strong">
    <w:name w:val="Strong"/>
    <w:basedOn w:val="DefaultParagraphFont"/>
    <w:uiPriority w:val="22"/>
    <w:qFormat/>
    <w:rsid w:val="00400C5A"/>
    <w:rPr>
      <w:b/>
      <w:bCs/>
    </w:rPr>
  </w:style>
  <w:style w:type="paragraph" w:styleId="Header">
    <w:name w:val="header"/>
    <w:basedOn w:val="Normal"/>
    <w:link w:val="ZhlavChar"/>
    <w:uiPriority w:val="99"/>
    <w:unhideWhenUsed/>
    <w:rsid w:val="00610CBF"/>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610CBF"/>
    <w:rPr>
      <w:rFonts w:ascii="Times New Roman" w:hAnsi="Times New Roman"/>
    </w:rPr>
  </w:style>
  <w:style w:type="paragraph" w:styleId="Footer">
    <w:name w:val="footer"/>
    <w:basedOn w:val="Normal"/>
    <w:link w:val="ZpatChar"/>
    <w:uiPriority w:val="99"/>
    <w:unhideWhenUsed/>
    <w:rsid w:val="00610CBF"/>
    <w:pPr>
      <w:tabs>
        <w:tab w:val="center" w:pos="4536"/>
        <w:tab w:val="right" w:pos="9072"/>
      </w:tabs>
      <w:spacing w:after="0" w:line="240" w:lineRule="auto"/>
    </w:pPr>
  </w:style>
  <w:style w:type="character" w:customStyle="1" w:styleId="ZpatChar">
    <w:name w:val="Zápatí Char"/>
    <w:basedOn w:val="DefaultParagraphFont"/>
    <w:link w:val="Footer"/>
    <w:uiPriority w:val="99"/>
    <w:rsid w:val="00610CB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382E-110F-456C-B6CA-F20032B8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902</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2018-01-04T16:22:00Z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1042260326</vt:i4>
  </property>
  <property fmtid="{D5CDD505-2E9C-101B-9397-08002B2CF9AE}" pid="3" name="_AuthorEmail">
    <vt:lpwstr>Jana.Krejci@mfcr.cz</vt:lpwstr>
  </property>
  <property fmtid="{D5CDD505-2E9C-101B-9397-08002B2CF9AE}" pid="4" name="_AuthorEmailDisplayName">
    <vt:lpwstr>Krejčí Jana Ing.</vt:lpwstr>
  </property>
  <property fmtid="{D5CDD505-2E9C-101B-9397-08002B2CF9AE}" pid="5" name="_EmailSubject">
    <vt:lpwstr>Publikace na webu MF</vt:lpwstr>
  </property>
  <property fmtid="{D5CDD505-2E9C-101B-9397-08002B2CF9AE}" pid="6" name="_NewReviewCycle">
    <vt:lpwstr/>
  </property>
  <property fmtid="{D5CDD505-2E9C-101B-9397-08002B2CF9AE}" pid="7" name="_PreviousAdHocReviewCycleID">
    <vt:i4>-1149106387</vt:i4>
  </property>
</Properties>
</file>