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9.0.0 -->
  <w:body>
    <w:p w:rsidR="00C46031" w:rsidP="00891451">
      <w:pPr>
        <w:pStyle w:val="Header"/>
        <w:jc w:val="right"/>
      </w:pPr>
    </w:p>
    <w:p w:rsidR="00C46031" w:rsidP="00D60CEB">
      <w:pPr>
        <w:pStyle w:val="Header"/>
      </w:pPr>
    </w:p>
    <w:p w:rsidR="00C46031" w:rsidP="00341A1F">
      <w:pPr>
        <w:jc w:val="center"/>
        <w:rPr>
          <w:sz w:val="28"/>
          <w:szCs w:val="28"/>
        </w:rPr>
      </w:pPr>
    </w:p>
    <w:p w:rsidR="00C46031" w:rsidP="00341A1F">
      <w:pPr>
        <w:jc w:val="center"/>
        <w:rPr>
          <w:sz w:val="28"/>
          <w:szCs w:val="28"/>
        </w:rPr>
      </w:pPr>
      <w:r w:rsidRPr="00341A1F">
        <w:rPr>
          <w:sz w:val="28"/>
          <w:szCs w:val="28"/>
        </w:rPr>
        <w:t xml:space="preserve">Základní organizační schéma </w:t>
      </w:r>
      <w:r>
        <w:rPr>
          <w:sz w:val="28"/>
          <w:szCs w:val="28"/>
        </w:rPr>
        <w:t>orgánů Finanční správy České republiky</w:t>
      </w:r>
    </w:p>
    <w:p w:rsidR="00C46031" w:rsidRPr="00C263D8" w:rsidP="00341A1F">
      <w:pPr>
        <w:jc w:val="center"/>
      </w:pPr>
    </w:p>
    <w:p w:rsidR="00C46031" w:rsidRPr="00C263D8" w:rsidP="002C7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835"/>
        <w:jc w:val="center"/>
      </w:pPr>
      <w:r w:rsidRPr="00C263D8">
        <w:t>Generální finanční ředitelství</w:t>
      </w:r>
    </w:p>
    <w:p w:rsidR="00C46031" w:rsidRPr="00C263D8" w:rsidP="002C7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835"/>
        <w:jc w:val="center"/>
      </w:pPr>
      <w:r w:rsidRPr="00C263D8">
        <w:t>(1)</w:t>
      </w:r>
    </w:p>
    <w:p w:rsidR="00C46031" w:rsidP="005F2EEC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>
        <w:rPr>
          <w:rFonts w:ascii="Bookman Old Style" w:hAnsi="Bookman Old Style" w:cs="Bookman Old Style"/>
          <w:sz w:val="21"/>
          <w:szCs w:val="21"/>
        </w:rPr>
        <w:t>┌----------------------------------------------------│------------------------------------------------┐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2"/>
        <w:gridCol w:w="1412"/>
        <w:gridCol w:w="2314"/>
        <w:gridCol w:w="1340"/>
        <w:gridCol w:w="2258"/>
      </w:tblGrid>
      <w:tr w:rsidTr="0048175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62" w:type="dxa"/>
            <w:tcBorders>
              <w:bottom w:val="nil"/>
            </w:tcBorders>
          </w:tcPr>
          <w:p w:rsidR="00C46031" w:rsidP="00481759">
            <w:pPr>
              <w:jc w:val="center"/>
            </w:pPr>
            <w:r>
              <w:t>Odvolací finanční ředitelství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46031" w:rsidP="00481759">
            <w:pPr>
              <w:jc w:val="center"/>
            </w:pPr>
          </w:p>
        </w:tc>
        <w:tc>
          <w:tcPr>
            <w:tcW w:w="2314" w:type="dxa"/>
            <w:tcBorders>
              <w:bottom w:val="nil"/>
            </w:tcBorders>
          </w:tcPr>
          <w:p w:rsidR="00C46031" w:rsidP="00481759">
            <w:pPr>
              <w:jc w:val="center"/>
            </w:pPr>
            <w:r>
              <w:t>Finanční úřady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C46031" w:rsidP="00481759">
            <w:pPr>
              <w:jc w:val="center"/>
            </w:pPr>
          </w:p>
        </w:tc>
        <w:tc>
          <w:tcPr>
            <w:tcW w:w="2258" w:type="dxa"/>
            <w:tcBorders>
              <w:bottom w:val="nil"/>
            </w:tcBorders>
          </w:tcPr>
          <w:p w:rsidR="00C46031" w:rsidP="00481759">
            <w:pPr>
              <w:jc w:val="center"/>
            </w:pPr>
            <w:r>
              <w:t>Specializovaný finanční úřad</w:t>
            </w:r>
          </w:p>
        </w:tc>
      </w:tr>
      <w:tr w:rsidTr="00481759">
        <w:tblPrEx>
          <w:tblW w:w="0" w:type="auto"/>
          <w:tblLook w:val="01E0"/>
        </w:tblPrEx>
        <w:tc>
          <w:tcPr>
            <w:tcW w:w="1962" w:type="dxa"/>
            <w:tcBorders>
              <w:top w:val="nil"/>
            </w:tcBorders>
          </w:tcPr>
          <w:p w:rsidR="00C46031" w:rsidP="00481759">
            <w:pPr>
              <w:jc w:val="center"/>
            </w:pPr>
            <w:r>
              <w:t>(1)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46031" w:rsidP="00481759">
            <w:pPr>
              <w:jc w:val="center"/>
            </w:pPr>
          </w:p>
        </w:tc>
        <w:tc>
          <w:tcPr>
            <w:tcW w:w="2314" w:type="dxa"/>
            <w:tcBorders>
              <w:top w:val="nil"/>
            </w:tcBorders>
          </w:tcPr>
          <w:p w:rsidR="00C46031" w:rsidP="00481759">
            <w:pPr>
              <w:jc w:val="center"/>
            </w:pPr>
            <w:r>
              <w:t>(14)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C46031" w:rsidP="00481759">
            <w:pPr>
              <w:jc w:val="center"/>
            </w:pPr>
          </w:p>
        </w:tc>
        <w:tc>
          <w:tcPr>
            <w:tcW w:w="2258" w:type="dxa"/>
            <w:tcBorders>
              <w:top w:val="nil"/>
            </w:tcBorders>
          </w:tcPr>
          <w:p w:rsidR="00C46031" w:rsidP="00481759">
            <w:pPr>
              <w:jc w:val="center"/>
            </w:pPr>
            <w:r>
              <w:t>(1)</w:t>
            </w:r>
          </w:p>
        </w:tc>
      </w:tr>
    </w:tbl>
    <w:p w:rsidR="00C46031" w:rsidRPr="00C263D8" w:rsidP="002C77DA">
      <w:pPr>
        <w:autoSpaceDE w:val="0"/>
        <w:autoSpaceDN w:val="0"/>
        <w:adjustRightInd w:val="0"/>
        <w:ind w:left="2835" w:right="2835"/>
        <w:jc w:val="center"/>
      </w:pPr>
      <w:r w:rsidRPr="00C263D8">
        <w:t>|</w:t>
      </w:r>
    </w:p>
    <w:p w:rsidR="00C46031" w:rsidRPr="00C263D8" w:rsidP="002C7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835"/>
        <w:jc w:val="center"/>
      </w:pPr>
      <w:r w:rsidRPr="00C263D8">
        <w:t>Územní pracoviště</w:t>
      </w:r>
    </w:p>
    <w:p w:rsidR="00C46031" w:rsidRPr="00C263D8" w:rsidP="002C7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835"/>
        <w:jc w:val="center"/>
      </w:pPr>
      <w:r w:rsidRPr="00C263D8">
        <w:t>(201)</w:t>
      </w:r>
    </w:p>
    <w:p w:rsidR="00C46031" w:rsidP="00891451">
      <w:pPr>
        <w:pStyle w:val="Header"/>
        <w:jc w:val="right"/>
      </w:pPr>
    </w:p>
    <w:p w:rsidR="00C46031" w:rsidP="00891451">
      <w:pPr>
        <w:pStyle w:val="Header"/>
        <w:jc w:val="right"/>
      </w:pPr>
    </w:p>
    <w:p w:rsidR="00C4603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843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FD101A" w:rsidP="00AB3430">
            <w:pPr>
              <w:rPr>
                <w:b/>
                <w:bCs/>
              </w:rPr>
            </w:pPr>
            <w:r w:rsidRPr="00FD101A">
              <w:rPr>
                <w:b/>
                <w:bCs/>
              </w:rPr>
              <w:t>FÚ</w:t>
            </w:r>
          </w:p>
        </w:tc>
        <w:tc>
          <w:tcPr>
            <w:tcW w:w="1843" w:type="dxa"/>
            <w:noWrap/>
            <w:vAlign w:val="center"/>
          </w:tcPr>
          <w:p w:rsidR="00C46031" w:rsidRPr="00FD101A" w:rsidP="00FD101A">
            <w:pPr>
              <w:jc w:val="center"/>
              <w:rPr>
                <w:b/>
                <w:bCs/>
              </w:rPr>
            </w:pPr>
            <w:r w:rsidRPr="00FD101A">
              <w:rPr>
                <w:b/>
                <w:bCs/>
              </w:rPr>
              <w:t>Počet ÚzP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>
              <w:t>FÚ pro h</w:t>
            </w:r>
            <w:r w:rsidRPr="00AB3430">
              <w:t>lavní město Prahu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12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Středočeský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26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Jihočeský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17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Plzeňský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15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Karlovarský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7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Ústecký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15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Liberecký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10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Královéhradecký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14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Pardubický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11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Kraj Vysočina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14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Jihomoravský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20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Olomoucký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10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Moravskoslezský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18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AB3430" w:rsidP="00AB3430">
            <w:r w:rsidRPr="00AB3430">
              <w:t>FÚ pro Zlínský kraj</w:t>
            </w:r>
          </w:p>
        </w:tc>
        <w:tc>
          <w:tcPr>
            <w:tcW w:w="1843" w:type="dxa"/>
            <w:noWrap/>
            <w:vAlign w:val="center"/>
          </w:tcPr>
          <w:p w:rsidR="00C46031" w:rsidRPr="00AB3430" w:rsidP="00FD101A">
            <w:pPr>
              <w:jc w:val="center"/>
            </w:pPr>
            <w:r w:rsidRPr="00AB3430">
              <w:t>12</w:t>
            </w:r>
          </w:p>
        </w:tc>
      </w:tr>
      <w:tr>
        <w:tblPrEx>
          <w:tblW w:w="0" w:type="auto"/>
          <w:jc w:val="center"/>
          <w:tblLook w:val="00A0"/>
        </w:tblPrEx>
        <w:trPr>
          <w:trHeight w:val="340"/>
          <w:jc w:val="center"/>
        </w:trPr>
        <w:tc>
          <w:tcPr>
            <w:tcW w:w="3652" w:type="dxa"/>
            <w:noWrap/>
            <w:vAlign w:val="center"/>
          </w:tcPr>
          <w:p w:rsidR="00C46031" w:rsidRPr="00FD101A" w:rsidP="00AB3430">
            <w:pPr>
              <w:rPr>
                <w:b/>
                <w:bCs/>
              </w:rPr>
            </w:pPr>
            <w:r w:rsidRPr="00FD101A">
              <w:rPr>
                <w:b/>
                <w:bCs/>
              </w:rPr>
              <w:t>Celkem</w:t>
            </w:r>
          </w:p>
        </w:tc>
        <w:tc>
          <w:tcPr>
            <w:tcW w:w="1843" w:type="dxa"/>
            <w:noWrap/>
            <w:vAlign w:val="center"/>
          </w:tcPr>
          <w:p w:rsidR="00C46031" w:rsidRPr="00FD101A" w:rsidP="00FD101A">
            <w:pPr>
              <w:jc w:val="center"/>
              <w:rPr>
                <w:b/>
                <w:bCs/>
              </w:rPr>
            </w:pPr>
            <w:r w:rsidRPr="00FD101A">
              <w:rPr>
                <w:b/>
                <w:bCs/>
              </w:rPr>
              <w:t>201</w:t>
            </w:r>
          </w:p>
        </w:tc>
      </w:tr>
    </w:tbl>
    <w:p w:rsidR="00C46031" w:rsidP="00A16EEA"/>
    <w:sectPr w:rsidSect="00A16EEA">
      <w:headerReference w:type="default" r:id="rId4"/>
      <w:pgSz w:w="11906" w:h="16838"/>
      <w:pgMar w:top="1418" w:right="1418" w:bottom="1135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31" w:rsidP="00F70EBD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9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0E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70E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70E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107</Words>
  <Characters>633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2014-06-12T12:01:00Z</dcterms:created>
</cp:coreProperties>
</file>