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tbl>
      <w:tblPr>
        <w:tblStyle w:val="TableGrid"/>
        <w:tblW w:w="0" w:type="auto"/>
        <w:tblCellMar>
          <w:left w:w="0" w:type="dxa"/>
          <w:right w:w="0" w:type="dxa"/>
        </w:tblCellMar>
        <w:tblLook w:val="04A0"/>
      </w:tblPr>
      <w:tblGrid>
        <w:gridCol w:w="5251"/>
        <w:gridCol w:w="5215"/>
      </w:tblGrid>
      <w:tr w:rsidTr="00930A94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hRule="exact" w:val="1701"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  <w:shd w:val="clear" w:color="auto" w:fill="009DEA"/>
          </w:tcPr>
          <w:p w:rsidR="00375323" w:rsidP="00A758BD">
            <w:pPr>
              <w:spacing w:after="0"/>
              <w:jc w:val="left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304371" cy="1080000"/>
                  <wp:effectExtent l="0" t="0" r="0" b="6350"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MF_male_pozadi.png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37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009DEA"/>
          </w:tcPr>
          <w:tbl>
            <w:tblPr>
              <w:tblStyle w:val="TableGrid"/>
              <w:tblW w:w="0" w:type="auto"/>
              <w:tblInd w:w="113" w:type="dxa"/>
              <w:tblCellMar>
                <w:top w:w="113" w:type="dxa"/>
                <w:left w:w="113" w:type="dxa"/>
                <w:bottom w:w="113" w:type="dxa"/>
              </w:tblCellMar>
              <w:tblLook w:val="04A0"/>
            </w:tblPr>
            <w:tblGrid>
              <w:gridCol w:w="5102"/>
            </w:tblGrid>
            <w:tr w:rsidTr="00930A94">
              <w:tblPrEx>
                <w:tblW w:w="0" w:type="auto"/>
                <w:tblInd w:w="113" w:type="dxa"/>
                <w:tblCellMar>
                  <w:top w:w="113" w:type="dxa"/>
                  <w:left w:w="113" w:type="dxa"/>
                  <w:bottom w:w="113" w:type="dxa"/>
                </w:tblCellMar>
                <w:tblLook w:val="04A0"/>
              </w:tblPrEx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0A94" w:rsidRPr="004C16F3" w:rsidP="00930A94">
                  <w:pPr>
                    <w:pStyle w:val="NoSpacing"/>
                    <w:ind w:left="113"/>
                    <w:jc w:val="right"/>
                    <w:rPr>
                      <w:color w:val="FFFFFF" w:themeColor="background1"/>
                    </w:rPr>
                  </w:pPr>
                  <w:r w:rsidRPr="004C16F3">
                    <w:rPr>
                      <w:color w:val="FFFFFF" w:themeColor="background1"/>
                    </w:rPr>
                    <w:t>oddělení Platební služby a tržní infrastruktura</w:t>
                  </w:r>
                </w:p>
                <w:p w:rsidR="00930A94" w:rsidRPr="004C16F3" w:rsidP="00930A94">
                  <w:pPr>
                    <w:pStyle w:val="NoSpacing"/>
                    <w:ind w:left="113"/>
                    <w:jc w:val="right"/>
                    <w:rPr>
                      <w:color w:val="FFFFFF" w:themeColor="background1"/>
                    </w:rPr>
                  </w:pPr>
                  <w:r w:rsidRPr="004C16F3">
                    <w:rPr>
                      <w:color w:val="FFFFFF" w:themeColor="background1"/>
                    </w:rPr>
                    <w:t>odbor Finanční trhy II</w:t>
                  </w:r>
                </w:p>
                <w:p w:rsidR="00930A94" w:rsidRPr="004C16F3" w:rsidP="00930A94">
                  <w:pPr>
                    <w:pStyle w:val="NoSpacing"/>
                    <w:ind w:left="113"/>
                    <w:jc w:val="right"/>
                    <w:rPr>
                      <w:color w:val="FFFFFF" w:themeColor="background1"/>
                    </w:rPr>
                  </w:pPr>
                  <w:r w:rsidRPr="004C16F3">
                    <w:rPr>
                      <w:color w:val="FFFFFF" w:themeColor="background1"/>
                    </w:rPr>
                    <w:t>sekce Mezinárodní vztahy</w:t>
                  </w:r>
                  <w:r w:rsidR="00916A92">
                    <w:rPr>
                      <w:color w:val="FFFFFF" w:themeColor="background1"/>
                    </w:rPr>
                    <w:t xml:space="preserve"> a finanční trhy</w:t>
                  </w:r>
                </w:p>
                <w:p w:rsidR="00930A94" w:rsidP="00930A94">
                  <w:pPr>
                    <w:pStyle w:val="NoSpacing"/>
                    <w:jc w:val="right"/>
                    <w:rPr>
                      <w:color w:val="FFFFFF" w:themeColor="background1"/>
                    </w:rPr>
                  </w:pPr>
                  <w:r w:rsidRPr="004C16F3">
                    <w:rPr>
                      <w:color w:val="FFFFFF" w:themeColor="background1"/>
                    </w:rPr>
                    <w:t>e-mail: platebni.sluzby@mfcr.cz</w:t>
                  </w:r>
                </w:p>
              </w:tc>
            </w:tr>
            <w:tr w:rsidTr="00930A94">
              <w:tblPrEx>
                <w:tblW w:w="0" w:type="auto"/>
                <w:tblInd w:w="113" w:type="dxa"/>
                <w:tblCellMar>
                  <w:top w:w="113" w:type="dxa"/>
                  <w:left w:w="113" w:type="dxa"/>
                  <w:bottom w:w="113" w:type="dxa"/>
                </w:tblCellMar>
                <w:tblLook w:val="04A0"/>
              </w:tblPrEx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30A94" w:rsidRPr="004C16F3" w:rsidP="00A13416">
                  <w:pPr>
                    <w:pStyle w:val="NoSpacing"/>
                    <w:ind w:left="113"/>
                    <w:jc w:val="right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 únor</w:t>
                  </w:r>
                  <w:r w:rsidR="00AA2559">
                    <w:rPr>
                      <w:color w:val="FFFFFF" w:themeColor="background1"/>
                    </w:rPr>
                    <w:t xml:space="preserve"> 202</w:t>
                  </w:r>
                  <w:r>
                    <w:rPr>
                      <w:color w:val="FFFFFF" w:themeColor="background1"/>
                    </w:rPr>
                    <w:t>2</w:t>
                  </w:r>
                </w:p>
              </w:tc>
            </w:tr>
          </w:tbl>
          <w:p w:rsidR="00375323" w:rsidP="00930A94">
            <w:pPr>
              <w:jc w:val="right"/>
            </w:pPr>
          </w:p>
        </w:tc>
      </w:tr>
    </w:tbl>
    <w:p w:rsidR="00660EB8" w:rsidRPr="00660EB8" w:rsidP="00660EB8">
      <w:pPr>
        <w:spacing w:before="240"/>
        <w:jc w:val="right"/>
        <w:rPr>
          <w:i/>
        </w:rPr>
      </w:pPr>
      <w:r w:rsidRPr="00660EB8">
        <w:rPr>
          <w:i/>
        </w:rPr>
        <w:t>Dotazník 2</w:t>
      </w:r>
    </w:p>
    <w:p w:rsidR="00916A92" w:rsidP="00916A92">
      <w:pPr>
        <w:pStyle w:val="Nzevdokumentu"/>
      </w:pPr>
      <w:r>
        <w:t>Vyhodnocení zákona o platebním styku a směrnice psd2</w:t>
      </w:r>
    </w:p>
    <w:p w:rsidR="00916A92" w:rsidP="00916A92">
      <w:pPr>
        <w:spacing w:before="120"/>
      </w:pPr>
      <w:r>
        <w:t>V lednu 2018 vstoupil v účinnost zákon č. 370/2017 Sb., o platebním styku. Ten transponuje druhou evropskou směrnici o platebních službách</w:t>
      </w:r>
      <w:r>
        <w:rPr>
          <w:rStyle w:val="FootnoteReference"/>
        </w:rPr>
        <w:footnoteReference w:id="2"/>
      </w:r>
      <w:r>
        <w:t>; známou jako PSD2. Evropská komise se podle dostupných informací chystá v prvním čtvrtletí roku 2022 zahájit veřejnou konzultaci k vyhodnocení úspěšnosti směrnice PSD2.</w:t>
      </w:r>
    </w:p>
    <w:p w:rsidR="00916A92" w:rsidP="00916A92">
      <w:pPr>
        <w:spacing w:before="120"/>
      </w:pPr>
      <w:r>
        <w:t xml:space="preserve">Ministerstvo financí proto jako gestor zákona o platebním styku vyzývá </w:t>
      </w:r>
      <w:r w:rsidR="00ED007A">
        <w:t xml:space="preserve">spotřebitele i </w:t>
      </w:r>
      <w:r>
        <w:t>odbornou veřejnost, aby ze svého pohledu zhodnotila úspěšnost a aktuálnost evropské směrnic</w:t>
      </w:r>
      <w:r w:rsidR="00ED007A">
        <w:t>e PSD2 a českého zákona o </w:t>
      </w:r>
      <w:r>
        <w:t>platebním styku. Získané poznatky budou využity při tvorbě odpovědi ČR na konzultaci Evropské komise a při tvorbě pozice ČR k budoucí revizi směrnice PSD2. Souhrnné vyhodnocení této konzultace bude zveřejněno na internetových stránkách Ministerstva financí.</w:t>
      </w:r>
    </w:p>
    <w:p w:rsidR="00916A92" w:rsidP="00916A92">
      <w:pPr>
        <w:spacing w:before="120"/>
      </w:pPr>
      <w:r>
        <w:t>V rámci hodnocení směrnice PSD2 lze očekávat i diskusi nad režimem elektronických peněz (směrnice EMD2</w:t>
      </w:r>
      <w:r>
        <w:rPr>
          <w:rStyle w:val="FootnoteReference"/>
        </w:rPr>
        <w:footnoteReference w:id="3"/>
      </w:r>
      <w:r>
        <w:t>).</w:t>
      </w:r>
    </w:p>
    <w:p w:rsidR="00916A92" w:rsidRPr="006B52EC" w:rsidP="00916A92">
      <w:pPr>
        <w:spacing w:before="120"/>
        <w:rPr>
          <w:b/>
        </w:rPr>
      </w:pPr>
      <w:r w:rsidRPr="006B52EC">
        <w:rPr>
          <w:b/>
        </w:rPr>
        <w:t xml:space="preserve">Vaše odpovědi prosím vyplňte a pomocí </w:t>
      </w:r>
      <w:r>
        <w:fldChar w:fldCharType="begin"/>
      </w:r>
      <w:r>
        <w:instrText xml:space="preserve"> HYPERLINK "https://ec.europa.eu/eusurvey/runner/PSD2_prezkum_CZ" </w:instrText>
      </w:r>
      <w:r>
        <w:fldChar w:fldCharType="separate"/>
      </w:r>
      <w:r w:rsidRPr="006B52EC">
        <w:rPr>
          <w:rStyle w:val="Hyperlink"/>
          <w:b/>
        </w:rPr>
        <w:t>webového formuláře</w:t>
      </w:r>
      <w:r>
        <w:fldChar w:fldCharType="end"/>
      </w:r>
      <w:r w:rsidRPr="006B52EC">
        <w:rPr>
          <w:b/>
        </w:rPr>
        <w:t xml:space="preserve"> odešlete do </w:t>
      </w:r>
      <w:r w:rsidR="00FE1E1A">
        <w:rPr>
          <w:b/>
        </w:rPr>
        <w:t>1</w:t>
      </w:r>
      <w:r w:rsidR="00897C56">
        <w:rPr>
          <w:b/>
        </w:rPr>
        <w:t>7</w:t>
      </w:r>
      <w:bookmarkStart w:id="0" w:name="_GoBack"/>
      <w:bookmarkEnd w:id="0"/>
      <w:r w:rsidR="00FE1E1A">
        <w:rPr>
          <w:b/>
        </w:rPr>
        <w:t>. března</w:t>
      </w:r>
      <w:r w:rsidRPr="006B52EC">
        <w:rPr>
          <w:b/>
        </w:rPr>
        <w:t xml:space="preserve"> 2022, případně nám odpovědi do stejného data zašlete vyplněné v tomto dokumentu na e-mailovou adresu platebni.sluzby@mfcr.cz.</w:t>
      </w:r>
    </w:p>
    <w:p w:rsidR="00916A92" w:rsidRPr="006B52EC" w:rsidP="00916A92">
      <w:pPr>
        <w:spacing w:before="120"/>
      </w:pPr>
      <w:r w:rsidRPr="006B52EC">
        <w:t>Ministerstvo financí Vám děkuje za zaslané odpovědi.</w:t>
      </w:r>
    </w:p>
    <w:p w:rsidR="00916A92" w:rsidP="00916A92"/>
    <w:p w:rsidR="005A3D2A" w:rsidRPr="005A3D2A" w:rsidP="00E61330">
      <w:pPr>
        <w:rPr>
          <w:rFonts w:cs="Arial"/>
          <w:u w:val="single"/>
        </w:rPr>
      </w:pPr>
      <w:r w:rsidRPr="00D517B6">
        <w:rPr>
          <w:rFonts w:cs="Arial"/>
          <w:u w:val="single"/>
        </w:rPr>
        <w:t>A. Úvod</w:t>
      </w:r>
    </w:p>
    <w:p w:rsidR="00114EE1" w:rsidRPr="00D517B6" w:rsidP="00E61330">
      <w:pPr>
        <w:rPr>
          <w:rFonts w:cs="Arial"/>
          <w:b/>
        </w:rPr>
      </w:pPr>
      <w:r w:rsidRPr="00D517B6">
        <w:rPr>
          <w:rFonts w:cs="Arial"/>
          <w:b/>
        </w:rPr>
        <w:t xml:space="preserve">Odpovídáte jako </w:t>
      </w:r>
      <w:r w:rsidR="00D046D2">
        <w:rPr>
          <w:rFonts w:cs="Arial"/>
          <w:b/>
        </w:rPr>
        <w:t>obchodník či asociace sdružující obchodníky</w:t>
      </w:r>
      <w:r w:rsidRPr="00D517B6">
        <w:rPr>
          <w:rFonts w:cs="Arial"/>
          <w:b/>
        </w:rPr>
        <w:t>?</w:t>
      </w:r>
    </w:p>
    <w:p w:rsidR="00114EE1" w:rsidP="00CE4CBE">
      <w:sdt>
        <w:sdtPr>
          <w:id w:val="-661466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CBE">
            <w:rPr>
              <w:rFonts w:ascii="MS Gothic" w:eastAsia="MS Gothic" w:hAnsi="MS Gothic" w:hint="eastAsia"/>
            </w:rPr>
            <w:t>☐</w:t>
          </w:r>
        </w:sdtContent>
      </w:sdt>
      <w:r w:rsidR="00CE4CBE">
        <w:t xml:space="preserve"> Ano</w:t>
      </w:r>
    </w:p>
    <w:p w:rsidR="00CE4CBE" w:rsidP="00D517B6">
      <w:pPr>
        <w:ind w:left="284" w:hanging="284"/>
      </w:pPr>
      <w:sdt>
        <w:sdtPr>
          <w:id w:val="154270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A3D2A">
        <w:t xml:space="preserve"> Ne</w:t>
      </w:r>
    </w:p>
    <w:p w:rsidR="005A3D2A" w:rsidP="005A3D2A">
      <w:pPr>
        <w:rPr>
          <w:i/>
        </w:rPr>
      </w:pPr>
      <w:r w:rsidRPr="00757AF1">
        <w:rPr>
          <w:i/>
        </w:rPr>
        <w:t xml:space="preserve">Odpovídáte-li jako spotřebitel, využijte prosím dotazník 1 (spotřebitelé) nebo dotazník </w:t>
      </w:r>
      <w:r>
        <w:rPr>
          <w:i/>
        </w:rPr>
        <w:t>3</w:t>
      </w:r>
      <w:r w:rsidRPr="00757AF1">
        <w:rPr>
          <w:i/>
        </w:rPr>
        <w:t xml:space="preserve"> (</w:t>
      </w:r>
      <w:r w:rsidR="00ED007A">
        <w:rPr>
          <w:i/>
        </w:rPr>
        <w:t>odborná veřejnost</w:t>
      </w:r>
      <w:r w:rsidRPr="00757AF1">
        <w:rPr>
          <w:i/>
        </w:rPr>
        <w:t>).</w:t>
      </w:r>
    </w:p>
    <w:p w:rsidR="005A3D2A" w:rsidP="005A3D2A">
      <w:pPr>
        <w:rPr>
          <w:b/>
        </w:rPr>
      </w:pPr>
    </w:p>
    <w:p w:rsidR="005A3D2A" w:rsidRPr="005A3D2A" w:rsidP="005A3D2A">
      <w:pPr>
        <w:rPr>
          <w:b/>
        </w:rPr>
      </w:pPr>
      <w:r w:rsidRPr="005A3D2A">
        <w:rPr>
          <w:b/>
        </w:rPr>
        <w:t>Pokud odpovídáte jako právnická osoba, uveďte prosím název subjektu (právnické osoby):</w:t>
      </w:r>
    </w:p>
    <w:p w:rsidR="007B12B4" w:rsidP="00CE4CBE"/>
    <w:p w:rsidR="005A3D2A" w:rsidP="00CE4CBE"/>
    <w:p w:rsidR="005A3D2A" w:rsidP="00CE4CBE"/>
    <w:p w:rsidR="00CE4CBE" w:rsidRPr="00D517B6" w:rsidP="00CE4CBE">
      <w:pPr>
        <w:rPr>
          <w:u w:val="single"/>
        </w:rPr>
      </w:pPr>
      <w:r w:rsidRPr="00D517B6">
        <w:rPr>
          <w:u w:val="single"/>
        </w:rPr>
        <w:t>B. Otázky</w:t>
      </w:r>
    </w:p>
    <w:p w:rsidR="00CE4CBE" w:rsidRPr="00D517B6" w:rsidP="00CE4CBE">
      <w:pPr>
        <w:pStyle w:val="ListParagraph"/>
        <w:numPr>
          <w:ilvl w:val="0"/>
          <w:numId w:val="9"/>
        </w:numPr>
        <w:spacing w:before="120"/>
        <w:ind w:left="284" w:hanging="284"/>
        <w:contextualSpacing w:val="0"/>
        <w:rPr>
          <w:rFonts w:cs="Arial"/>
          <w:b/>
        </w:rPr>
      </w:pPr>
      <w:r w:rsidRPr="00D517B6">
        <w:rPr>
          <w:rFonts w:cs="Arial"/>
          <w:b/>
        </w:rPr>
        <w:t xml:space="preserve">Jaké platební metody </w:t>
      </w:r>
      <w:r w:rsidR="00EA2059">
        <w:rPr>
          <w:rFonts w:cs="Arial"/>
          <w:b/>
        </w:rPr>
        <w:t>jako obchodník přijímáte</w:t>
      </w:r>
      <w:r w:rsidRPr="00D517B6">
        <w:rPr>
          <w:rFonts w:cs="Arial"/>
          <w:b/>
        </w:rPr>
        <w:t>?</w:t>
      </w:r>
    </w:p>
    <w:p w:rsidR="00CE4CBE" w:rsidRPr="00CE4CBE" w:rsidP="00CE4CBE">
      <w:pPr>
        <w:spacing w:before="120"/>
        <w:rPr>
          <w:rFonts w:cs="Arial"/>
        </w:rPr>
      </w:pPr>
      <w:sdt>
        <w:sdtPr>
          <w:rPr>
            <w:rFonts w:cs="Arial"/>
          </w:rPr>
          <w:id w:val="2120880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7B6">
            <w:rPr>
              <w:rFonts w:ascii="MS Gothic" w:eastAsia="MS Gothic" w:hAnsi="MS Gothic" w:cs="Arial" w:hint="eastAsia"/>
            </w:rPr>
            <w:t>☐</w:t>
          </w:r>
        </w:sdtContent>
      </w:sdt>
      <w:r w:rsidRPr="00CE4CBE">
        <w:rPr>
          <w:rFonts w:cs="Arial"/>
        </w:rPr>
        <w:t xml:space="preserve"> Hotovost</w:t>
      </w:r>
    </w:p>
    <w:p w:rsidR="00CE4CBE" w:rsidRPr="00CE4CBE" w:rsidP="00D517B6">
      <w:pPr>
        <w:spacing w:before="120"/>
        <w:ind w:left="284" w:hanging="284"/>
        <w:rPr>
          <w:rFonts w:cs="Arial"/>
        </w:rPr>
      </w:pPr>
      <w:sdt>
        <w:sdtPr>
          <w:rPr>
            <w:rFonts w:cs="Arial"/>
          </w:rPr>
          <w:id w:val="148647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CBE">
            <w:rPr>
              <w:rFonts w:ascii="MS Gothic" w:eastAsia="MS Gothic" w:hAnsi="MS Gothic" w:cs="MS Gothic" w:hint="eastAsia"/>
            </w:rPr>
            <w:t>☐</w:t>
          </w:r>
        </w:sdtContent>
      </w:sdt>
      <w:r w:rsidRPr="00CE4CBE">
        <w:rPr>
          <w:rFonts w:cs="Arial"/>
        </w:rPr>
        <w:t xml:space="preserve"> Platební karta, (včetně on-line plateb, platebních náramků a dalších prostředků založených na kartě; digitální</w:t>
      </w:r>
      <w:r w:rsidR="00D517B6">
        <w:rPr>
          <w:rFonts w:cs="Arial"/>
        </w:rPr>
        <w:t xml:space="preserve"> </w:t>
      </w:r>
      <w:r w:rsidRPr="00CE4CBE">
        <w:rPr>
          <w:rFonts w:cs="Arial"/>
        </w:rPr>
        <w:t>peněženky mají zvláštní položku)</w:t>
      </w:r>
    </w:p>
    <w:p w:rsidR="00CE4CBE" w:rsidRPr="00CE4CBE" w:rsidP="00CE4CBE">
      <w:pPr>
        <w:autoSpaceDE w:val="0"/>
        <w:autoSpaceDN w:val="0"/>
        <w:adjustRightInd w:val="0"/>
        <w:spacing w:before="120"/>
        <w:jc w:val="left"/>
        <w:rPr>
          <w:rFonts w:cs="Arial"/>
        </w:rPr>
      </w:pPr>
      <w:sdt>
        <w:sdtPr>
          <w:rPr>
            <w:rFonts w:cs="Arial"/>
          </w:rPr>
          <w:id w:val="1262801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CBE">
            <w:rPr>
              <w:rFonts w:ascii="MS Gothic" w:eastAsia="MS Gothic" w:hAnsi="MS Gothic" w:cs="MS Gothic" w:hint="eastAsia"/>
            </w:rPr>
            <w:t>☐</w:t>
          </w:r>
        </w:sdtContent>
      </w:sdt>
      <w:r w:rsidRPr="00CE4CBE">
        <w:rPr>
          <w:rFonts w:cs="Arial"/>
        </w:rPr>
        <w:t xml:space="preserve"> Digitální peněženka (spárování platební karty s aplikací ve smartphonu)</w:t>
      </w:r>
    </w:p>
    <w:p w:rsidR="00CE4CBE" w:rsidRPr="00CE4CBE" w:rsidP="00CE4CBE">
      <w:pPr>
        <w:autoSpaceDE w:val="0"/>
        <w:autoSpaceDN w:val="0"/>
        <w:adjustRightInd w:val="0"/>
        <w:spacing w:before="120"/>
        <w:jc w:val="left"/>
        <w:rPr>
          <w:rFonts w:cs="Arial"/>
        </w:rPr>
      </w:pPr>
      <w:sdt>
        <w:sdtPr>
          <w:rPr>
            <w:rFonts w:cs="Arial"/>
          </w:rPr>
          <w:id w:val="456922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CBE">
            <w:rPr>
              <w:rFonts w:ascii="MS Gothic" w:eastAsia="MS Gothic" w:hAnsi="MS Gothic" w:cs="MS Gothic" w:hint="eastAsia"/>
            </w:rPr>
            <w:t>☐</w:t>
          </w:r>
        </w:sdtContent>
      </w:sdt>
      <w:r w:rsidRPr="00CE4CBE">
        <w:rPr>
          <w:rFonts w:cs="Arial"/>
          <w:color w:val="333333"/>
          <w:sz w:val="20"/>
          <w:szCs w:val="20"/>
        </w:rPr>
        <w:t xml:space="preserve"> </w:t>
      </w:r>
      <w:r w:rsidRPr="00CE4CBE">
        <w:rPr>
          <w:rFonts w:cs="Arial"/>
        </w:rPr>
        <w:t>Dobírka</w:t>
      </w:r>
    </w:p>
    <w:p w:rsidR="00CE4CBE" w:rsidRPr="00CE4CBE" w:rsidP="00CE4CBE">
      <w:pPr>
        <w:autoSpaceDE w:val="0"/>
        <w:autoSpaceDN w:val="0"/>
        <w:adjustRightInd w:val="0"/>
        <w:spacing w:before="120"/>
        <w:jc w:val="left"/>
        <w:rPr>
          <w:rFonts w:cs="Arial"/>
        </w:rPr>
      </w:pPr>
      <w:sdt>
        <w:sdtPr>
          <w:rPr>
            <w:rFonts w:cs="Arial"/>
          </w:rPr>
          <w:id w:val="-1829428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CBE">
            <w:rPr>
              <w:rFonts w:ascii="MS Gothic" w:eastAsia="MS Gothic" w:hAnsi="MS Gothic" w:cs="MS Gothic" w:hint="eastAsia"/>
            </w:rPr>
            <w:t>☐</w:t>
          </w:r>
        </w:sdtContent>
      </w:sdt>
      <w:r w:rsidRPr="00CE4CBE">
        <w:rPr>
          <w:rFonts w:cs="Arial"/>
        </w:rPr>
        <w:t xml:space="preserve"> Standardní bankovní převod (připsáno do dalšího pracovního dne)</w:t>
      </w:r>
    </w:p>
    <w:p w:rsidR="00CE4CBE" w:rsidRPr="00CE4CBE" w:rsidP="00CE4CBE">
      <w:pPr>
        <w:autoSpaceDE w:val="0"/>
        <w:autoSpaceDN w:val="0"/>
        <w:adjustRightInd w:val="0"/>
        <w:spacing w:before="120"/>
        <w:jc w:val="left"/>
        <w:rPr>
          <w:rFonts w:cs="Arial"/>
        </w:rPr>
      </w:pPr>
      <w:sdt>
        <w:sdtPr>
          <w:rPr>
            <w:rFonts w:cs="Arial"/>
          </w:rPr>
          <w:id w:val="-2105494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CBE">
            <w:rPr>
              <w:rFonts w:ascii="MS Gothic" w:eastAsia="MS Gothic" w:hAnsi="MS Gothic" w:cs="MS Gothic" w:hint="eastAsia"/>
            </w:rPr>
            <w:t>☐</w:t>
          </w:r>
        </w:sdtContent>
      </w:sdt>
      <w:r w:rsidRPr="00CE4CBE">
        <w:rPr>
          <w:rFonts w:cs="Arial"/>
        </w:rPr>
        <w:t xml:space="preserve"> Okamžité platby (okamžitý bankovní převod)</w:t>
      </w:r>
    </w:p>
    <w:p w:rsidR="00CE4CBE" w:rsidRPr="00CE4CBE" w:rsidP="00CE4CBE">
      <w:pPr>
        <w:autoSpaceDE w:val="0"/>
        <w:autoSpaceDN w:val="0"/>
        <w:adjustRightInd w:val="0"/>
        <w:spacing w:before="120"/>
        <w:jc w:val="left"/>
        <w:rPr>
          <w:rFonts w:cs="Arial"/>
        </w:rPr>
      </w:pPr>
      <w:sdt>
        <w:sdtPr>
          <w:rPr>
            <w:rFonts w:cs="Arial"/>
          </w:rPr>
          <w:id w:val="1133990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CBE">
            <w:rPr>
              <w:rFonts w:ascii="MS Gothic" w:eastAsia="MS Gothic" w:hAnsi="MS Gothic" w:cs="MS Gothic" w:hint="eastAsia"/>
            </w:rPr>
            <w:t>☐</w:t>
          </w:r>
        </w:sdtContent>
      </w:sdt>
      <w:r w:rsidRPr="00CE4CBE">
        <w:rPr>
          <w:rFonts w:cs="Arial"/>
        </w:rPr>
        <w:t xml:space="preserve"> Nepřímé dání platebního příkazu (payment initiation service, PIS)</w:t>
      </w:r>
    </w:p>
    <w:p w:rsidR="00CE4CBE" w:rsidRPr="00CE4CBE" w:rsidP="00CE4CBE">
      <w:pPr>
        <w:autoSpaceDE w:val="0"/>
        <w:autoSpaceDN w:val="0"/>
        <w:adjustRightInd w:val="0"/>
        <w:spacing w:before="120"/>
        <w:jc w:val="left"/>
        <w:rPr>
          <w:rFonts w:cs="Arial"/>
        </w:rPr>
      </w:pPr>
      <w:sdt>
        <w:sdtPr>
          <w:rPr>
            <w:rFonts w:cs="Arial"/>
          </w:rPr>
          <w:id w:val="24384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CBE">
            <w:rPr>
              <w:rFonts w:ascii="MS Gothic" w:eastAsia="MS Gothic" w:hAnsi="MS Gothic" w:cs="MS Gothic" w:hint="eastAsia"/>
            </w:rPr>
            <w:t>☐</w:t>
          </w:r>
        </w:sdtContent>
      </w:sdt>
      <w:r w:rsidRPr="00CE4CBE">
        <w:rPr>
          <w:rFonts w:cs="Arial"/>
        </w:rPr>
        <w:t xml:space="preserve"> Odložené platby (nakup teď, zaplať později)</w:t>
      </w:r>
    </w:p>
    <w:p w:rsidR="00CE4CBE" w:rsidP="00CE4CBE">
      <w:pPr>
        <w:autoSpaceDE w:val="0"/>
        <w:autoSpaceDN w:val="0"/>
        <w:adjustRightInd w:val="0"/>
        <w:spacing w:before="120"/>
        <w:jc w:val="left"/>
        <w:rPr>
          <w:rFonts w:cs="Arial"/>
        </w:rPr>
      </w:pPr>
      <w:sdt>
        <w:sdtPr>
          <w:rPr>
            <w:rFonts w:cs="Arial"/>
          </w:rPr>
          <w:id w:val="-1117136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4CBE">
            <w:rPr>
              <w:rFonts w:ascii="MS Gothic" w:eastAsia="MS Gothic" w:hAnsi="MS Gothic" w:cs="MS Gothic" w:hint="eastAsia"/>
            </w:rPr>
            <w:t>☐</w:t>
          </w:r>
        </w:sdtContent>
      </w:sdt>
      <w:r w:rsidRPr="00CE4CBE">
        <w:rPr>
          <w:rFonts w:cs="Arial"/>
        </w:rPr>
        <w:t xml:space="preserve"> Jiné; prosím uveďte:</w:t>
      </w:r>
    </w:p>
    <w:p w:rsidR="00FD5253" w:rsidP="00CE4CBE">
      <w:pPr>
        <w:autoSpaceDE w:val="0"/>
        <w:autoSpaceDN w:val="0"/>
        <w:adjustRightInd w:val="0"/>
        <w:spacing w:before="120"/>
        <w:jc w:val="left"/>
        <w:rPr>
          <w:rFonts w:cs="Arial"/>
        </w:rPr>
      </w:pPr>
    </w:p>
    <w:p w:rsidR="00FD5253" w:rsidP="00EA2059">
      <w:pPr>
        <w:pStyle w:val="ListParagraph"/>
        <w:numPr>
          <w:ilvl w:val="0"/>
          <w:numId w:val="9"/>
        </w:numPr>
        <w:spacing w:before="120"/>
        <w:ind w:left="284" w:hanging="284"/>
        <w:contextualSpacing w:val="0"/>
        <w:rPr>
          <w:rFonts w:cs="Arial"/>
          <w:b/>
        </w:rPr>
      </w:pPr>
      <w:r>
        <w:rPr>
          <w:rFonts w:cs="Arial"/>
          <w:b/>
        </w:rPr>
        <w:t xml:space="preserve">Máte nějaké připomínky či náměty k Vámi </w:t>
      </w:r>
      <w:r w:rsidR="00EA2059">
        <w:rPr>
          <w:rFonts w:cs="Arial"/>
          <w:b/>
        </w:rPr>
        <w:t>přijímaným způsobům plateb</w:t>
      </w:r>
      <w:r>
        <w:rPr>
          <w:rFonts w:cs="Arial"/>
          <w:b/>
        </w:rPr>
        <w:t>?</w:t>
      </w:r>
    </w:p>
    <w:p w:rsidR="00365003" w:rsidP="00365003">
      <w:pPr>
        <w:pStyle w:val="ListParagraph"/>
        <w:spacing w:before="120"/>
        <w:ind w:left="284"/>
        <w:contextualSpacing w:val="0"/>
        <w:rPr>
          <w:rFonts w:cs="Arial"/>
          <w:b/>
        </w:rPr>
      </w:pPr>
    </w:p>
    <w:p w:rsidR="00FD5253" w:rsidP="00EA2059">
      <w:pPr>
        <w:pStyle w:val="ListParagraph"/>
        <w:numPr>
          <w:ilvl w:val="0"/>
          <w:numId w:val="9"/>
        </w:numPr>
        <w:spacing w:before="120"/>
        <w:ind w:left="284" w:hanging="284"/>
        <w:contextualSpacing w:val="0"/>
        <w:rPr>
          <w:rFonts w:cs="Arial"/>
          <w:b/>
        </w:rPr>
      </w:pPr>
      <w:r w:rsidRPr="00EA2059">
        <w:rPr>
          <w:rFonts w:cs="Arial"/>
          <w:b/>
        </w:rPr>
        <w:t>Jak hodnotíte zavedení silného ověření (SCA)? Přineslo Vám zavedení SCA problémy, nebo výhody?</w:t>
      </w:r>
      <w:r>
        <w:rPr>
          <w:rFonts w:cs="Arial"/>
          <w:b/>
        </w:rPr>
        <w:t xml:space="preserve"> </w:t>
      </w:r>
      <w:r w:rsidRPr="00EA2059">
        <w:rPr>
          <w:rFonts w:cs="Arial"/>
          <w:b/>
        </w:rPr>
        <w:t>Přetrvávají některé problémy nebo nejasnosti? Rozepište.</w:t>
      </w:r>
    </w:p>
    <w:p w:rsidR="00365003" w:rsidP="00365003">
      <w:pPr>
        <w:pStyle w:val="ListParagraph"/>
        <w:spacing w:before="120"/>
        <w:ind w:left="284"/>
        <w:contextualSpacing w:val="0"/>
        <w:rPr>
          <w:rFonts w:cs="Arial"/>
          <w:b/>
        </w:rPr>
      </w:pPr>
    </w:p>
    <w:p w:rsidR="00FD5253" w:rsidP="00EA2059">
      <w:pPr>
        <w:pStyle w:val="ListParagraph"/>
        <w:numPr>
          <w:ilvl w:val="0"/>
          <w:numId w:val="9"/>
        </w:numPr>
        <w:spacing w:before="120"/>
        <w:ind w:left="284" w:hanging="284"/>
        <w:contextualSpacing w:val="0"/>
        <w:rPr>
          <w:rFonts w:cs="Arial"/>
          <w:b/>
        </w:rPr>
      </w:pPr>
      <w:r w:rsidRPr="00EA2059">
        <w:rPr>
          <w:rFonts w:cs="Arial"/>
          <w:b/>
        </w:rPr>
        <w:t>V jaké lhůtě po provedení platby zákazníkem jsou Vám připsány peněžní prostředky na účet? Můžete</w:t>
      </w:r>
      <w:r>
        <w:rPr>
          <w:rFonts w:cs="Arial"/>
          <w:b/>
        </w:rPr>
        <w:t xml:space="preserve"> </w:t>
      </w:r>
      <w:r w:rsidRPr="00EA2059">
        <w:rPr>
          <w:rFonts w:cs="Arial"/>
          <w:b/>
        </w:rPr>
        <w:t>rozepsat pro různé platební prostředky.</w:t>
      </w:r>
    </w:p>
    <w:p w:rsidR="00365003" w:rsidP="00365003">
      <w:pPr>
        <w:pStyle w:val="ListParagraph"/>
        <w:spacing w:before="120"/>
        <w:ind w:left="284"/>
        <w:contextualSpacing w:val="0"/>
        <w:rPr>
          <w:rFonts w:cs="Arial"/>
          <w:b/>
        </w:rPr>
      </w:pPr>
    </w:p>
    <w:p w:rsidR="00FD5253" w:rsidP="00EA2059">
      <w:pPr>
        <w:pStyle w:val="ListParagraph"/>
        <w:numPr>
          <w:ilvl w:val="0"/>
          <w:numId w:val="9"/>
        </w:numPr>
        <w:spacing w:before="120"/>
        <w:ind w:left="284" w:hanging="284"/>
        <w:contextualSpacing w:val="0"/>
        <w:rPr>
          <w:rFonts w:cs="Arial"/>
          <w:b/>
        </w:rPr>
      </w:pPr>
      <w:r w:rsidRPr="00EA2059">
        <w:rPr>
          <w:rFonts w:cs="Arial"/>
          <w:b/>
        </w:rPr>
        <w:t>Jsou pro Vás poplatky za Vámi využívané platební služby srozumitelné? Případně zdůvodněte.</w:t>
      </w:r>
    </w:p>
    <w:p w:rsidR="00365003" w:rsidP="00365003">
      <w:pPr>
        <w:pStyle w:val="ListParagraph"/>
        <w:spacing w:before="120"/>
        <w:ind w:left="284"/>
        <w:contextualSpacing w:val="0"/>
        <w:rPr>
          <w:rFonts w:cs="Arial"/>
          <w:b/>
        </w:rPr>
      </w:pPr>
    </w:p>
    <w:p w:rsidR="00365003" w:rsidP="00EA2059">
      <w:pPr>
        <w:pStyle w:val="ListParagraph"/>
        <w:numPr>
          <w:ilvl w:val="0"/>
          <w:numId w:val="9"/>
        </w:numPr>
        <w:spacing w:before="120"/>
        <w:ind w:left="284" w:hanging="284"/>
        <w:contextualSpacing w:val="0"/>
        <w:rPr>
          <w:rFonts w:cs="Arial"/>
          <w:b/>
        </w:rPr>
      </w:pPr>
      <w:r w:rsidRPr="00EA2059">
        <w:rPr>
          <w:rFonts w:cs="Arial"/>
          <w:b/>
        </w:rPr>
        <w:t>Máte nějaké připomínky k tomu, jak jsou s Vámi jako s obchodníkem řešeny případné spory s</w:t>
      </w:r>
      <w:r w:rsidRPr="00FD5253" w:rsidR="00FD5253">
        <w:rPr>
          <w:rFonts w:cs="Arial"/>
          <w:b/>
        </w:rPr>
        <w:t xml:space="preserve"> </w:t>
      </w:r>
      <w:r w:rsidRPr="00EA2059">
        <w:rPr>
          <w:rFonts w:cs="Arial"/>
          <w:b/>
        </w:rPr>
        <w:t>poskytovatelem platebních služeb?</w:t>
      </w:r>
    </w:p>
    <w:p w:rsidR="00365003" w:rsidP="00365003">
      <w:pPr>
        <w:pStyle w:val="ListParagraph"/>
        <w:spacing w:before="120"/>
        <w:ind w:left="284"/>
        <w:contextualSpacing w:val="0"/>
        <w:rPr>
          <w:rFonts w:cs="Arial"/>
          <w:b/>
        </w:rPr>
      </w:pPr>
    </w:p>
    <w:p w:rsidR="00365003" w:rsidP="00EA2059">
      <w:pPr>
        <w:pStyle w:val="ListParagraph"/>
        <w:numPr>
          <w:ilvl w:val="0"/>
          <w:numId w:val="9"/>
        </w:numPr>
        <w:spacing w:before="120"/>
        <w:ind w:left="284" w:hanging="284"/>
        <w:contextualSpacing w:val="0"/>
        <w:rPr>
          <w:rFonts w:cs="Arial"/>
          <w:b/>
        </w:rPr>
      </w:pPr>
      <w:r w:rsidRPr="00EA2059">
        <w:rPr>
          <w:rFonts w:cs="Arial"/>
          <w:b/>
        </w:rPr>
        <w:t>Máte jakoukoliv jinou připomínku k fungování platebních služeb v ČR či EU? Máte jakoukoliv jinou</w:t>
      </w:r>
      <w:r w:rsidRPr="00FD5253" w:rsidR="00FD5253">
        <w:rPr>
          <w:rFonts w:cs="Arial"/>
          <w:b/>
        </w:rPr>
        <w:t xml:space="preserve"> </w:t>
      </w:r>
      <w:r w:rsidRPr="00EA2059">
        <w:rPr>
          <w:rFonts w:cs="Arial"/>
          <w:b/>
        </w:rPr>
        <w:t>připomínku k právnímu nastavení těchto služeb?</w:t>
      </w:r>
    </w:p>
    <w:p w:rsidR="00365003" w:rsidRPr="00CE4CBE" w:rsidP="00CE4CBE">
      <w:pPr>
        <w:autoSpaceDE w:val="0"/>
        <w:autoSpaceDN w:val="0"/>
        <w:adjustRightInd w:val="0"/>
        <w:spacing w:before="120"/>
        <w:jc w:val="left"/>
        <w:rPr>
          <w:rFonts w:cs="Arial"/>
        </w:rPr>
      </w:pPr>
    </w:p>
    <w:sectPr w:rsidSect="00E61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A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966" w:rsidP="00CC3ACB">
    <w:pPr>
      <w:pStyle w:val="Footer"/>
      <w:spacing w:before="240"/>
      <w:jc w:val="center"/>
    </w:pPr>
    <w:r>
      <w:fldChar w:fldCharType="begin"/>
    </w:r>
    <w:r>
      <w:instrText>PAGE   \* MERGEFORMAT</w:instrText>
    </w:r>
    <w:r>
      <w:fldChar w:fldCharType="separate"/>
    </w:r>
    <w:r w:rsidR="00897C5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A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002CD" w:rsidP="00CE2497">
      <w:pPr>
        <w:spacing w:after="0" w:line="240" w:lineRule="auto"/>
      </w:pPr>
      <w:r>
        <w:separator/>
      </w:r>
    </w:p>
  </w:footnote>
  <w:footnote w:type="continuationSeparator" w:id="1">
    <w:p w:rsidR="00B002CD" w:rsidP="00CE2497">
      <w:pPr>
        <w:spacing w:after="0" w:line="240" w:lineRule="auto"/>
      </w:pPr>
      <w:r>
        <w:continuationSeparator/>
      </w:r>
    </w:p>
  </w:footnote>
  <w:footnote w:id="2">
    <w:p w:rsidR="00114EE1" w:rsidRPr="00114EE1" w:rsidP="00114EE1">
      <w:pPr>
        <w:pStyle w:val="FootnoteText"/>
        <w:spacing w:line="276" w:lineRule="auto"/>
      </w:pPr>
      <w:r w:rsidRPr="00114EE1">
        <w:rPr>
          <w:rStyle w:val="FootnoteReference"/>
        </w:rPr>
        <w:footnoteRef/>
      </w:r>
      <w:r w:rsidRPr="00114EE1">
        <w:t xml:space="preserve"> Směrnice Evropského parlamentu a Rady (EU) 2015/2366 ze dne 25. listopadu 2015 o platebních službách na vnitřním trhu, kterou se mění směrnice 2002/65/ES, 2009/110/ES a 2013/36/EU a nařízení </w:t>
      </w:r>
      <w:r>
        <w:t>(EU) č. 1093/2010 a </w:t>
      </w:r>
      <w:r w:rsidRPr="00114EE1">
        <w:t>zrušuje směrnice 2007/64/ES.</w:t>
      </w:r>
    </w:p>
  </w:footnote>
  <w:footnote w:id="3">
    <w:p w:rsidR="00114EE1" w:rsidRPr="00114EE1" w:rsidP="00114EE1">
      <w:pPr>
        <w:pStyle w:val="FootnoteText"/>
        <w:spacing w:line="276" w:lineRule="auto"/>
        <w:rPr>
          <w:sz w:val="18"/>
        </w:rPr>
      </w:pPr>
      <w:r w:rsidRPr="00114EE1">
        <w:rPr>
          <w:rStyle w:val="FootnoteReference"/>
        </w:rPr>
        <w:footnoteRef/>
      </w:r>
      <w:r w:rsidRPr="00114EE1">
        <w:t xml:space="preserve"> Směrnice Evropského parlamentu a Rady 2009/110/ES ze dne 16. září 2009 o přístupu k činnosti institucí elektronických peněz, o jejím výkonu a o obezřetnostním dohledu nad touto činností, o změně </w:t>
      </w:r>
      <w:r>
        <w:t>směrnic 2005/60/ES a </w:t>
      </w:r>
      <w:r w:rsidRPr="00114EE1">
        <w:t>2006/48/ES a o zrušení směrnice 2000/46/ES.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A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A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A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EB76B5"/>
    <w:multiLevelType w:val="hybridMultilevel"/>
    <w:tmpl w:val="822403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93793"/>
    <w:multiLevelType w:val="hybridMultilevel"/>
    <w:tmpl w:val="A53C6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95D5F"/>
    <w:multiLevelType w:val="hybridMultilevel"/>
    <w:tmpl w:val="BC186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A684A"/>
    <w:multiLevelType w:val="hybridMultilevel"/>
    <w:tmpl w:val="5E625C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A5B82"/>
    <w:multiLevelType w:val="hybridMultilevel"/>
    <w:tmpl w:val="B70A9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44CCA"/>
    <w:multiLevelType w:val="hybridMultilevel"/>
    <w:tmpl w:val="60644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1F4C30"/>
    <w:multiLevelType w:val="hybridMultilevel"/>
    <w:tmpl w:val="2730E2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C57CA7"/>
    <w:multiLevelType w:val="hybridMultilevel"/>
    <w:tmpl w:val="AB069D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E4126"/>
    <w:multiLevelType w:val="hybridMultilevel"/>
    <w:tmpl w:val="302E9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5DE0"/>
    <w:pPr>
      <w:spacing w:after="120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Nadpis1Char"/>
    <w:uiPriority w:val="9"/>
    <w:qFormat/>
    <w:rsid w:val="00141D56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475DE0"/>
    <w:pPr>
      <w:keepNext/>
      <w:keepLines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unhideWhenUsed/>
    <w:rsid w:val="0037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37532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DefaultParagraphFont"/>
    <w:link w:val="Heading1"/>
    <w:uiPriority w:val="9"/>
    <w:rsid w:val="00141D56"/>
    <w:rPr>
      <w:rFonts w:ascii="Arial" w:hAnsi="Arial" w:eastAsiaTheme="majorEastAsia" w:cstheme="majorBidi"/>
      <w:b/>
      <w:bCs/>
      <w:sz w:val="28"/>
      <w:szCs w:val="28"/>
    </w:rPr>
  </w:style>
  <w:style w:type="character" w:customStyle="1" w:styleId="Nadpis2Char">
    <w:name w:val="Nadpis 2 Char"/>
    <w:basedOn w:val="DefaultParagraphFont"/>
    <w:link w:val="Heading2"/>
    <w:uiPriority w:val="9"/>
    <w:rsid w:val="00475DE0"/>
    <w:rPr>
      <w:rFonts w:ascii="Arial" w:hAnsi="Arial" w:eastAsiaTheme="majorEastAsia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375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5DE0"/>
    <w:pPr>
      <w:jc w:val="left"/>
      <w:outlineLvl w:val="9"/>
    </w:pPr>
    <w:rPr>
      <w:rFonts w:asciiTheme="majorHAnsi" w:hAnsiTheme="majorHAnsi"/>
      <w:color w:val="365F91" w:themeColor="accent1" w:themeShade="BF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75D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75DE0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A7EC5"/>
    <w:pPr>
      <w:spacing w:after="100"/>
      <w:ind w:left="220"/>
    </w:pPr>
    <w:rPr>
      <w:rFonts w:eastAsiaTheme="minorEastAsia"/>
      <w:lang w:eastAsia="cs-CZ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75DE0"/>
    <w:pPr>
      <w:spacing w:after="100"/>
      <w:ind w:left="440"/>
      <w:jc w:val="left"/>
    </w:pPr>
    <w:rPr>
      <w:rFonts w:asciiTheme="minorHAnsi" w:eastAsiaTheme="minorEastAsia" w:hAnsiTheme="minorHAnsi"/>
      <w:lang w:eastAsia="cs-CZ"/>
    </w:rPr>
  </w:style>
  <w:style w:type="paragraph" w:styleId="NoSpacing">
    <w:name w:val="No Spacing"/>
    <w:uiPriority w:val="1"/>
    <w:qFormat/>
    <w:rsid w:val="004A6B14"/>
    <w:pPr>
      <w:spacing w:after="0" w:line="240" w:lineRule="auto"/>
      <w:jc w:val="both"/>
    </w:pPr>
    <w:rPr>
      <w:rFonts w:ascii="Arial" w:hAnsi="Arial"/>
    </w:rPr>
  </w:style>
  <w:style w:type="paragraph" w:styleId="Header">
    <w:name w:val="header"/>
    <w:basedOn w:val="Normal"/>
    <w:link w:val="ZhlavChar"/>
    <w:uiPriority w:val="99"/>
    <w:unhideWhenUsed/>
    <w:rsid w:val="00CE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CE2497"/>
    <w:rPr>
      <w:rFonts w:ascii="Arial" w:hAnsi="Arial"/>
    </w:rPr>
  </w:style>
  <w:style w:type="paragraph" w:styleId="Footer">
    <w:name w:val="footer"/>
    <w:basedOn w:val="Normal"/>
    <w:link w:val="ZpatChar"/>
    <w:uiPriority w:val="99"/>
    <w:unhideWhenUsed/>
    <w:rsid w:val="00CE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CE2497"/>
    <w:rPr>
      <w:rFonts w:ascii="Arial" w:hAnsi="Arial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1F4F9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1F4F9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4F9C"/>
    <w:rPr>
      <w:vertAlign w:val="superscript"/>
    </w:rPr>
  </w:style>
  <w:style w:type="paragraph" w:customStyle="1" w:styleId="Tabulka">
    <w:name w:val="Tabulka"/>
    <w:basedOn w:val="Normal"/>
    <w:link w:val="TabulkaChar"/>
    <w:qFormat/>
    <w:rsid w:val="00B973F0"/>
    <w:pPr>
      <w:spacing w:after="0" w:line="240" w:lineRule="auto"/>
      <w:jc w:val="left"/>
    </w:pPr>
    <w:rPr>
      <w:rFonts w:eastAsia="Times New Roman" w:cs="Arial"/>
      <w:bCs/>
      <w:color w:val="000000"/>
      <w:sz w:val="18"/>
      <w:lang w:eastAsia="cs-CZ"/>
    </w:rPr>
  </w:style>
  <w:style w:type="paragraph" w:styleId="ListParagraph">
    <w:name w:val="List Paragraph"/>
    <w:basedOn w:val="Normal"/>
    <w:uiPriority w:val="34"/>
    <w:qFormat/>
    <w:rsid w:val="00775111"/>
    <w:pPr>
      <w:ind w:left="720"/>
      <w:contextualSpacing/>
    </w:pPr>
  </w:style>
  <w:style w:type="character" w:customStyle="1" w:styleId="TabulkaChar">
    <w:name w:val="Tabulka Char"/>
    <w:basedOn w:val="DefaultParagraphFont"/>
    <w:link w:val="Tabulka"/>
    <w:rsid w:val="00B973F0"/>
    <w:rPr>
      <w:rFonts w:ascii="Arial" w:eastAsia="Times New Roman" w:hAnsi="Arial" w:cs="Arial"/>
      <w:bCs/>
      <w:color w:val="000000"/>
      <w:sz w:val="18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B14D3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7B14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7B14D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7B14D3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7B14D3"/>
    <w:rPr>
      <w:rFonts w:ascii="Arial" w:hAnsi="Arial"/>
      <w:b/>
      <w:bCs/>
      <w:sz w:val="20"/>
      <w:szCs w:val="20"/>
    </w:rPr>
  </w:style>
  <w:style w:type="paragraph" w:customStyle="1" w:styleId="Nzevdokumentu">
    <w:name w:val="Název dokumentu"/>
    <w:basedOn w:val="Heading1"/>
    <w:next w:val="Normal"/>
    <w:link w:val="NzevdokumentuChar"/>
    <w:qFormat/>
    <w:rsid w:val="00435D0C"/>
    <w:pPr>
      <w:spacing w:before="240"/>
    </w:pPr>
    <w:rPr>
      <w:caps/>
      <w:sz w:val="32"/>
    </w:rPr>
  </w:style>
  <w:style w:type="character" w:customStyle="1" w:styleId="NzevdokumentuChar">
    <w:name w:val="Název dokumentu Char"/>
    <w:basedOn w:val="Nadpis1Char"/>
    <w:link w:val="Nzevdokumentu"/>
    <w:rsid w:val="00435D0C"/>
    <w:rPr>
      <w:rFonts w:ascii="Arial" w:hAnsi="Arial" w:eastAsiaTheme="majorEastAsia" w:cstheme="majorBidi"/>
      <w:b/>
      <w:bCs/>
      <w:caps/>
      <w:sz w:val="32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B52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3EB9F-78BD-4DAE-8508-0CA110D2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98</TotalTime>
  <Pages>2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dcterms:created xsi:type="dcterms:W3CDTF">2022-01-31T09:16:00Z</dcterms:created>
</cp:coreProperties>
</file>