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176359" w:rsidRPr="00FA1502" w:rsidP="004524F4">
      <w:pPr>
        <w:widowControl w:val="0"/>
        <w:spacing w:before="120" w:after="120" w:line="240" w:lineRule="auto"/>
        <w:jc w:val="center"/>
        <w:rPr>
          <w:rFonts w:ascii="Times New Roman" w:eastAsia="Times New Roman" w:hAnsi="Times New Roman" w:cs="Times New Roman"/>
          <w:sz w:val="24"/>
          <w:szCs w:val="24"/>
          <w:lang w:val="en-GB" w:eastAsia="cs-CZ"/>
        </w:rPr>
      </w:pPr>
      <w:r w:rsidRPr="00FA1502">
        <w:rPr>
          <w:noProof/>
          <w:spacing w:val="40"/>
          <w:szCs w:val="24"/>
          <w:lang w:eastAsia="cs-CZ"/>
        </w:rPr>
        <mc:AlternateContent>
          <mc:Choice Requires="wps">
            <w:drawing>
              <wp:anchor distT="0" distB="0" distL="114300" distR="114300" simplePos="0" relativeHeight="251658240" behindDoc="0" locked="0" layoutInCell="1" allowOverlap="1">
                <wp:simplePos x="0" y="0"/>
                <wp:positionH relativeFrom="column">
                  <wp:posOffset>5062118</wp:posOffset>
                </wp:positionH>
                <wp:positionV relativeFrom="paragraph">
                  <wp:posOffset>-388620</wp:posOffset>
                </wp:positionV>
                <wp:extent cx="782955" cy="399415"/>
                <wp:effectExtent l="12065" t="10795" r="5080" b="8890"/>
                <wp:wrapNone/>
                <wp:docPr id="1" name="Textové pole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82955" cy="399415"/>
                        </a:xfrm>
                        <a:prstGeom prst="rect">
                          <a:avLst/>
                        </a:prstGeom>
                        <a:solidFill>
                          <a:srgbClr val="FFFFFF"/>
                        </a:solidFill>
                        <a:ln w="9525">
                          <a:solidFill>
                            <a:srgbClr val="FFFFFF"/>
                          </a:solidFill>
                          <a:miter lim="800000"/>
                          <a:headEnd/>
                          <a:tailEnd/>
                        </a:ln>
                      </wps:spPr>
                      <wps:txbx>
                        <w:txbxContent>
                          <w:p w:rsidR="00A7116F" w:rsidRPr="00990DAE" w:rsidP="00990DAE">
                            <w:pPr>
                              <w:jc w:val="center"/>
                              <w:rPr>
                                <w:rFonts w:ascii="Times New Roman" w:hAnsi="Times New Roman" w:cs="Times New Roman"/>
                                <w:b/>
                                <w:sz w:val="32"/>
                              </w:rPr>
                            </w:pPr>
                            <w:r w:rsidRPr="00990DAE">
                              <w:rPr>
                                <w:rFonts w:ascii="Times New Roman" w:hAnsi="Times New Roman" w:cs="Times New Roman"/>
                                <w:b/>
                                <w:sz w:val="32"/>
                              </w:rPr>
                              <w:t>V.</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5" type="#_x0000_t202" style="height:31.45pt;margin-left:398.6pt;margin-top:-30.6pt;mso-height-percent:0;mso-height-relative:page;mso-width-percent:0;mso-width-relative:page;mso-wrap-distance-bottom:0;mso-wrap-distance-left:9pt;mso-wrap-distance-right:9pt;mso-wrap-distance-top:0;mso-wrap-style:square;position:absolute;v-text-anchor:top;visibility:visible;width:61.65pt;z-index:251659264" strokecolor="white">
                <v:textbox>
                  <w:txbxContent>
                    <w:p w:rsidR="00A7116F" w:rsidRPr="00990DAE" w:rsidP="00990DAE">
                      <w:pPr>
                        <w:jc w:val="center"/>
                        <w:rPr>
                          <w:rFonts w:ascii="Times New Roman" w:hAnsi="Times New Roman" w:cs="Times New Roman"/>
                          <w:b/>
                          <w:sz w:val="32"/>
                        </w:rPr>
                      </w:pPr>
                      <w:r w:rsidRPr="00990DAE">
                        <w:rPr>
                          <w:rFonts w:ascii="Times New Roman" w:hAnsi="Times New Roman" w:cs="Times New Roman"/>
                          <w:b/>
                          <w:sz w:val="32"/>
                        </w:rPr>
                        <w:t>V.</w:t>
                      </w:r>
                    </w:p>
                  </w:txbxContent>
                </v:textbox>
              </v:shape>
            </w:pict>
          </mc:Fallback>
        </mc:AlternateContent>
      </w:r>
      <w:r w:rsidRPr="00FA1502" w:rsidR="00176359">
        <w:rPr>
          <w:rFonts w:ascii="Times New Roman" w:eastAsia="Times New Roman" w:hAnsi="Times New Roman" w:cs="Times New Roman"/>
          <w:noProof/>
          <w:sz w:val="24"/>
          <w:szCs w:val="24"/>
          <w:lang w:eastAsia="cs-CZ"/>
        </w:rPr>
        <mc:AlternateContent>
          <mc:Choice Requires="wps">
            <w:drawing>
              <wp:inline distT="0" distB="0" distL="0" distR="0">
                <wp:extent cx="800100" cy="406400"/>
                <wp:effectExtent l="0" t="0" r="0" b="0"/>
                <wp:docPr id="2" name="Obdélník 2" descr="https://translate.googleusercontent.com/image_0.png"/>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800100" cy="406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Obdélník 2" o:spid="_x0000_i1026" alt="https://translate.googleusercontent.com/image_0.png" style="height:32pt;mso-left-percent:-10001;mso-position-horizontal-relative:char;mso-position-vertical-relative:line;mso-top-percent:-10001;mso-wrap-style:square;v-text-anchor:top;visibility:visible;width:63pt" filled="f" stroked="f">
                <o:lock v:ext="edit" aspectratio="t"/>
                <w10:wrap type="none"/>
                <w10:anchorlock/>
              </v:rect>
            </w:pict>
          </mc:Fallback>
        </mc:AlternateContent>
      </w:r>
      <w:r w:rsidRPr="00FA1502" w:rsidR="00176359">
        <w:rPr>
          <w:rFonts w:ascii="Times New Roman" w:eastAsia="Times New Roman" w:hAnsi="Times New Roman" w:cs="Times New Roman"/>
          <w:b/>
          <w:bCs/>
          <w:sz w:val="32"/>
          <w:szCs w:val="32"/>
          <w:lang w:val="en-GB" w:eastAsia="cs-CZ"/>
        </w:rPr>
        <w:t>EXPLANATORY MEMORANDUM</w:t>
      </w:r>
    </w:p>
    <w:p w:rsidR="00176359" w:rsidRPr="00FA1502" w:rsidP="00A7116F">
      <w:pPr>
        <w:keepNext/>
        <w:widowControl w:val="0"/>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on</w:t>
      </w:r>
      <w:r w:rsidRPr="00FA1502">
        <w:rPr>
          <w:rFonts w:ascii="Times New Roman" w:eastAsia="Times New Roman" w:hAnsi="Times New Roman" w:cs="Times New Roman"/>
          <w:sz w:val="24"/>
          <w:szCs w:val="24"/>
          <w:lang w:val="en-GB" w:eastAsia="cs-CZ"/>
        </w:rPr>
        <w:t xml:space="preserve"> the </w:t>
      </w:r>
      <w:r w:rsidRPr="00FA1502" w:rsidR="00994B4A">
        <w:rPr>
          <w:rFonts w:ascii="Times New Roman" w:eastAsia="Times New Roman" w:hAnsi="Times New Roman" w:cs="Times New Roman"/>
          <w:sz w:val="24"/>
          <w:szCs w:val="24"/>
          <w:lang w:val="en-GB" w:eastAsia="cs-CZ"/>
        </w:rPr>
        <w:t>Act</w:t>
      </w:r>
      <w:r w:rsidRPr="00FA1502">
        <w:rPr>
          <w:rFonts w:ascii="Times New Roman" w:eastAsia="Times New Roman" w:hAnsi="Times New Roman" w:cs="Times New Roman"/>
          <w:sz w:val="24"/>
          <w:szCs w:val="24"/>
          <w:lang w:val="en-GB" w:eastAsia="cs-CZ"/>
        </w:rPr>
        <w:t xml:space="preserve"> amending certain acts in connection with the development of the capital market </w:t>
      </w:r>
    </w:p>
    <w:p w:rsidR="00176359" w:rsidRPr="00FA1502" w:rsidP="00A7116F">
      <w:pPr>
        <w:keepNext/>
        <w:widowControl w:val="0"/>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8"/>
          <w:szCs w:val="28"/>
          <w:lang w:val="en-GB" w:eastAsia="cs-CZ"/>
        </w:rPr>
        <w:t>GENERAL PART</w:t>
      </w:r>
    </w:p>
    <w:p w:rsidR="00176359" w:rsidRPr="00FA1502" w:rsidP="00A7116F">
      <w:pPr>
        <w:keepNext/>
        <w:widowControl w:val="0"/>
        <w:numPr>
          <w:ilvl w:val="0"/>
          <w:numId w:val="1"/>
        </w:numPr>
        <w:tabs>
          <w:tab w:val="clear" w:pos="720"/>
        </w:tabs>
        <w:spacing w:before="120" w:after="120" w:line="240" w:lineRule="auto"/>
        <w:ind w:left="709" w:hanging="567"/>
        <w:jc w:val="both"/>
        <w:rPr>
          <w:rFonts w:ascii="Times New Roman" w:eastAsia="Times New Roman" w:hAnsi="Times New Roman" w:cs="Times New Roman"/>
          <w:b/>
          <w:bCs/>
          <w:sz w:val="24"/>
          <w:szCs w:val="24"/>
          <w:lang w:val="en-GB" w:eastAsia="cs-CZ"/>
        </w:rPr>
      </w:pPr>
      <w:r w:rsidRPr="00FA1502">
        <w:rPr>
          <w:rFonts w:ascii="Times New Roman" w:eastAsia="Times New Roman" w:hAnsi="Times New Roman" w:cs="Times New Roman"/>
          <w:b/>
          <w:bCs/>
          <w:sz w:val="24"/>
          <w:szCs w:val="24"/>
          <w:lang w:val="en-GB" w:eastAsia="cs-CZ"/>
        </w:rPr>
        <w:t xml:space="preserve">Assessment of the </w:t>
      </w:r>
      <w:r w:rsidRPr="00FA1502" w:rsidR="005C1E3D">
        <w:rPr>
          <w:rFonts w:ascii="Times New Roman" w:eastAsia="Times New Roman" w:hAnsi="Times New Roman" w:cs="Times New Roman"/>
          <w:b/>
          <w:bCs/>
          <w:sz w:val="24"/>
          <w:szCs w:val="24"/>
          <w:lang w:val="en-GB" w:eastAsia="cs-CZ"/>
        </w:rPr>
        <w:t>current</w:t>
      </w:r>
      <w:r w:rsidRPr="00FA1502">
        <w:rPr>
          <w:rFonts w:ascii="Times New Roman" w:eastAsia="Times New Roman" w:hAnsi="Times New Roman" w:cs="Times New Roman"/>
          <w:b/>
          <w:bCs/>
          <w:sz w:val="24"/>
          <w:szCs w:val="24"/>
          <w:lang w:val="en-GB" w:eastAsia="cs-CZ"/>
        </w:rPr>
        <w:t xml:space="preserve"> legal situation, including an assessment of the </w:t>
      </w:r>
      <w:r w:rsidRPr="00FA1502" w:rsidR="005C1E3D">
        <w:rPr>
          <w:rFonts w:ascii="Times New Roman" w:eastAsia="Times New Roman" w:hAnsi="Times New Roman" w:cs="Times New Roman"/>
          <w:b/>
          <w:bCs/>
          <w:sz w:val="24"/>
          <w:szCs w:val="24"/>
          <w:lang w:val="en-GB" w:eastAsia="cs-CZ"/>
        </w:rPr>
        <w:t xml:space="preserve">current </w:t>
      </w:r>
      <w:r w:rsidRPr="00FA1502">
        <w:rPr>
          <w:rFonts w:ascii="Times New Roman" w:eastAsia="Times New Roman" w:hAnsi="Times New Roman" w:cs="Times New Roman"/>
          <w:b/>
          <w:bCs/>
          <w:sz w:val="24"/>
          <w:szCs w:val="24"/>
          <w:lang w:val="en-GB" w:eastAsia="cs-CZ"/>
        </w:rPr>
        <w:t>state</w:t>
      </w:r>
      <w:r w:rsidRPr="00FA1502" w:rsidR="005C1E3D">
        <w:rPr>
          <w:rFonts w:ascii="Times New Roman" w:eastAsia="Times New Roman" w:hAnsi="Times New Roman" w:cs="Times New Roman"/>
          <w:b/>
          <w:bCs/>
          <w:sz w:val="24"/>
          <w:szCs w:val="24"/>
          <w:lang w:val="en-GB" w:eastAsia="cs-CZ"/>
        </w:rPr>
        <w:t xml:space="preserve"> </w:t>
      </w:r>
      <w:r w:rsidRPr="00FA1502">
        <w:rPr>
          <w:rFonts w:ascii="Times New Roman" w:eastAsia="Times New Roman" w:hAnsi="Times New Roman" w:cs="Times New Roman"/>
          <w:b/>
          <w:bCs/>
          <w:sz w:val="24"/>
          <w:szCs w:val="24"/>
          <w:lang w:val="en-GB" w:eastAsia="cs-CZ"/>
        </w:rPr>
        <w:t>in relation to non-discrimination and equality between men and women</w:t>
      </w:r>
      <w:r w:rsidR="00A7116F">
        <w:rPr>
          <w:rFonts w:ascii="Times New Roman" w:eastAsia="Times New Roman" w:hAnsi="Times New Roman" w:cs="Times New Roman"/>
          <w:b/>
          <w:bCs/>
          <w:sz w:val="24"/>
          <w:szCs w:val="24"/>
          <w:lang w:val="en-GB" w:eastAsia="cs-CZ"/>
        </w:rPr>
        <w:t xml:space="preserve"> </w:t>
      </w:r>
    </w:p>
    <w:p w:rsidR="00176359" w:rsidRPr="00FA1502" w:rsidP="00B85E59">
      <w:pPr>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At its meeting on 4 March 2019 (Resolution No. 156), the Government of the Cze</w:t>
      </w:r>
      <w:r w:rsidRPr="00FA1502" w:rsidR="006F0294">
        <w:rPr>
          <w:rFonts w:ascii="Times New Roman" w:eastAsia="Times New Roman" w:hAnsi="Times New Roman" w:cs="Times New Roman"/>
          <w:sz w:val="24"/>
          <w:szCs w:val="24"/>
          <w:lang w:val="en-GB" w:eastAsia="cs-CZ"/>
        </w:rPr>
        <w:t xml:space="preserve">ch Republic approved the National Strategy for the Development of the Capital Market </w:t>
      </w:r>
      <w:r w:rsidRPr="00FA1502">
        <w:rPr>
          <w:rFonts w:ascii="Times New Roman" w:eastAsia="Times New Roman" w:hAnsi="Times New Roman" w:cs="Times New Roman"/>
          <w:sz w:val="24"/>
          <w:szCs w:val="24"/>
          <w:lang w:val="en-GB" w:eastAsia="cs-CZ"/>
        </w:rPr>
        <w:t>in the Czech Republic 2019 - 2023 (h</w:t>
      </w:r>
      <w:r w:rsidRPr="00FA1502" w:rsidR="005C1E3D">
        <w:rPr>
          <w:rFonts w:ascii="Times New Roman" w:eastAsia="Times New Roman" w:hAnsi="Times New Roman" w:cs="Times New Roman"/>
          <w:sz w:val="24"/>
          <w:szCs w:val="24"/>
          <w:lang w:val="en-GB" w:eastAsia="cs-CZ"/>
        </w:rPr>
        <w:t>ereinafter referred to as the “</w:t>
      </w:r>
      <w:r w:rsidRPr="00FA1502" w:rsidR="006F0294">
        <w:rPr>
          <w:rFonts w:ascii="Times New Roman" w:eastAsia="Times New Roman" w:hAnsi="Times New Roman" w:cs="Times New Roman"/>
          <w:b/>
          <w:bCs/>
          <w:sz w:val="24"/>
          <w:szCs w:val="24"/>
          <w:lang w:val="en-GB" w:eastAsia="cs-CZ"/>
        </w:rPr>
        <w:t>National Strategy</w:t>
      </w:r>
      <w:r w:rsidRPr="00FA1502">
        <w:rPr>
          <w:rFonts w:ascii="Times New Roman" w:eastAsia="Times New Roman" w:hAnsi="Times New Roman" w:cs="Times New Roman"/>
          <w:sz w:val="24"/>
          <w:szCs w:val="24"/>
          <w:lang w:val="en-GB" w:eastAsia="cs-CZ"/>
        </w:rPr>
        <w:t xml:space="preserve">”). This </w:t>
      </w:r>
      <w:r w:rsidRPr="00FA1502" w:rsidR="006F0294">
        <w:rPr>
          <w:rFonts w:ascii="Times New Roman" w:eastAsia="Times New Roman" w:hAnsi="Times New Roman" w:cs="Times New Roman"/>
          <w:sz w:val="24"/>
          <w:szCs w:val="24"/>
          <w:lang w:val="en-GB" w:eastAsia="cs-CZ"/>
        </w:rPr>
        <w:t>National Strategy</w:t>
      </w:r>
      <w:r w:rsidRPr="00FA1502">
        <w:rPr>
          <w:rFonts w:ascii="Times New Roman" w:eastAsia="Times New Roman" w:hAnsi="Times New Roman" w:cs="Times New Roman"/>
          <w:sz w:val="24"/>
          <w:szCs w:val="24"/>
          <w:lang w:val="en-GB" w:eastAsia="cs-CZ"/>
        </w:rPr>
        <w:t xml:space="preserve"> was published on the website of the Ministry of Finance of the Czech Republi</w:t>
      </w:r>
      <w:r w:rsidRPr="00FA1502" w:rsidR="005C1E3D">
        <w:rPr>
          <w:rFonts w:ascii="Times New Roman" w:eastAsia="Times New Roman" w:hAnsi="Times New Roman" w:cs="Times New Roman"/>
          <w:sz w:val="24"/>
          <w:szCs w:val="24"/>
          <w:lang w:val="en-GB" w:eastAsia="cs-CZ"/>
        </w:rPr>
        <w:t>c (hereinafter referred to as “</w:t>
      </w:r>
      <w:r w:rsidRPr="00FA1502" w:rsidR="006F0294">
        <w:rPr>
          <w:rFonts w:ascii="Times New Roman" w:eastAsia="Times New Roman" w:hAnsi="Times New Roman" w:cs="Times New Roman"/>
          <w:b/>
          <w:bCs/>
          <w:sz w:val="24"/>
          <w:szCs w:val="24"/>
          <w:lang w:val="en-GB" w:eastAsia="cs-CZ"/>
        </w:rPr>
        <w:t>MF</w:t>
      </w:r>
      <w:r w:rsidRPr="00FA1502">
        <w:rPr>
          <w:rFonts w:ascii="Times New Roman" w:eastAsia="Times New Roman" w:hAnsi="Times New Roman" w:cs="Times New Roman"/>
          <w:b/>
          <w:bCs/>
          <w:sz w:val="24"/>
          <w:szCs w:val="24"/>
          <w:lang w:val="en-GB" w:eastAsia="cs-CZ"/>
        </w:rPr>
        <w:t>CR</w:t>
      </w:r>
      <w:r w:rsidRPr="00FA1502">
        <w:rPr>
          <w:rFonts w:ascii="Times New Roman" w:eastAsia="Times New Roman" w:hAnsi="Times New Roman" w:cs="Times New Roman"/>
          <w:sz w:val="24"/>
          <w:szCs w:val="24"/>
          <w:lang w:val="en-GB" w:eastAsia="cs-CZ"/>
        </w:rPr>
        <w:t>”) on 14 March 2019</w:t>
      </w:r>
      <w:bookmarkStart w:id="0" w:name="_ftnref1"/>
      <w:bookmarkEnd w:id="0"/>
      <w:r>
        <w:rPr>
          <w:rStyle w:val="FootnoteReference"/>
          <w:rFonts w:ascii="Times New Roman" w:eastAsia="Times New Roman" w:hAnsi="Times New Roman" w:cs="Times New Roman"/>
          <w:sz w:val="24"/>
          <w:szCs w:val="24"/>
          <w:lang w:val="en-GB" w:eastAsia="cs-CZ"/>
        </w:rPr>
        <w:footnoteReference w:id="2"/>
      </w:r>
      <w:r w:rsidRPr="00FA1502" w:rsidR="006F0294">
        <w:rPr>
          <w:rFonts w:ascii="Times New Roman" w:eastAsia="Times New Roman" w:hAnsi="Times New Roman" w:cs="Times New Roman"/>
          <w:sz w:val="24"/>
          <w:szCs w:val="24"/>
          <w:lang w:val="en-GB" w:eastAsia="cs-CZ"/>
        </w:rPr>
        <w:t>. The National Strategy</w:t>
      </w:r>
      <w:r w:rsidRPr="00FA1502">
        <w:rPr>
          <w:rFonts w:ascii="Times New Roman" w:eastAsia="Times New Roman" w:hAnsi="Times New Roman" w:cs="Times New Roman"/>
          <w:sz w:val="24"/>
          <w:szCs w:val="24"/>
          <w:lang w:val="en-GB" w:eastAsia="cs-CZ"/>
        </w:rPr>
        <w:t xml:space="preserve"> contains 27 areas that ne</w:t>
      </w:r>
      <w:r w:rsidRPr="00FA1502" w:rsidR="005C1E3D">
        <w:rPr>
          <w:rFonts w:ascii="Times New Roman" w:eastAsia="Times New Roman" w:hAnsi="Times New Roman" w:cs="Times New Roman"/>
          <w:sz w:val="24"/>
          <w:szCs w:val="24"/>
          <w:lang w:val="en-GB" w:eastAsia="cs-CZ"/>
        </w:rPr>
        <w:t>ed to be revised and proposes 3</w:t>
      </w:r>
      <w:r w:rsidRPr="00FA1502">
        <w:rPr>
          <w:rFonts w:ascii="Times New Roman" w:eastAsia="Times New Roman" w:hAnsi="Times New Roman" w:cs="Times New Roman"/>
          <w:sz w:val="24"/>
          <w:szCs w:val="24"/>
          <w:lang w:val="en-GB" w:eastAsia="cs-CZ"/>
        </w:rPr>
        <w:t>4 measures to implement them. Many of these measures are of a legislative nature (a change of the law is required to implement them) and have a deadline of Q4 2019, i</w:t>
      </w:r>
      <w:r w:rsidRPr="00FA1502" w:rsidR="005C1E3D">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5C1E3D">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the end of 2019.</w:t>
      </w:r>
      <w:r w:rsidRPr="00FA1502" w:rsidR="006F0294">
        <w:rPr>
          <w:rFonts w:ascii="Times New Roman" w:eastAsia="Times New Roman" w:hAnsi="Times New Roman" w:cs="Times New Roman"/>
          <w:sz w:val="24"/>
          <w:szCs w:val="24"/>
          <w:lang w:val="en-GB" w:eastAsia="cs-CZ"/>
        </w:rPr>
        <w:t xml:space="preserve"> The deadline set in the National Strategy</w:t>
      </w:r>
      <w:r w:rsidRPr="00FA1502">
        <w:rPr>
          <w:rFonts w:ascii="Times New Roman" w:eastAsia="Times New Roman" w:hAnsi="Times New Roman" w:cs="Times New Roman"/>
          <w:sz w:val="24"/>
          <w:szCs w:val="24"/>
          <w:lang w:val="en-GB" w:eastAsia="cs-CZ"/>
        </w:rPr>
        <w:t xml:space="preserve"> means the planned deadline for submitting a legislative proposal to the Government. This is a</w:t>
      </w:r>
      <w:r w:rsidRPr="00FA1502" w:rsidR="006F2238">
        <w:rPr>
          <w:rFonts w:ascii="Times New Roman" w:eastAsia="Times New Roman" w:hAnsi="Times New Roman" w:cs="Times New Roman"/>
          <w:sz w:val="24"/>
          <w:szCs w:val="24"/>
          <w:lang w:val="en-GB" w:eastAsia="cs-CZ"/>
        </w:rPr>
        <w:t>lso in line with the Government’</w:t>
      </w:r>
      <w:r w:rsidRPr="00FA1502">
        <w:rPr>
          <w:rFonts w:ascii="Times New Roman" w:eastAsia="Times New Roman" w:hAnsi="Times New Roman" w:cs="Times New Roman"/>
          <w:sz w:val="24"/>
          <w:szCs w:val="24"/>
          <w:lang w:val="en-GB" w:eastAsia="cs-CZ"/>
        </w:rPr>
        <w:t>s Plan of Legislative Work for 2019, w</w:t>
      </w:r>
      <w:r w:rsidRPr="00FA1502" w:rsidR="005C1E3D">
        <w:rPr>
          <w:rFonts w:ascii="Times New Roman" w:eastAsia="Times New Roman" w:hAnsi="Times New Roman" w:cs="Times New Roman"/>
          <w:sz w:val="24"/>
          <w:szCs w:val="24"/>
          <w:lang w:val="en-GB" w:eastAsia="cs-CZ"/>
        </w:rPr>
        <w:t>here this amendment is foreseen</w:t>
      </w:r>
      <w:r w:rsidRPr="00FA1502">
        <w:rPr>
          <w:rFonts w:ascii="Times New Roman" w:eastAsia="Times New Roman" w:hAnsi="Times New Roman" w:cs="Times New Roman"/>
          <w:sz w:val="24"/>
          <w:szCs w:val="24"/>
          <w:lang w:val="en-GB" w:eastAsia="cs-CZ"/>
        </w:rPr>
        <w:t>, but due to the difficulty of some discussions, the deadline has been requested to be post</w:t>
      </w:r>
      <w:r w:rsidRPr="00FA1502" w:rsidR="006F2238">
        <w:rPr>
          <w:rFonts w:ascii="Times New Roman" w:eastAsia="Times New Roman" w:hAnsi="Times New Roman" w:cs="Times New Roman"/>
          <w:sz w:val="24"/>
          <w:szCs w:val="24"/>
          <w:lang w:val="en-GB" w:eastAsia="cs-CZ"/>
        </w:rPr>
        <w:t>poned until the end of May 2020</w:t>
      </w:r>
      <w:r w:rsidRPr="00FA1502">
        <w:rPr>
          <w:rFonts w:ascii="Times New Roman" w:eastAsia="Times New Roman" w:hAnsi="Times New Roman" w:cs="Times New Roman"/>
          <w:sz w:val="24"/>
          <w:szCs w:val="24"/>
          <w:lang w:val="en-GB" w:eastAsia="cs-CZ"/>
        </w:rPr>
        <w:t>. The proposed amendment is a</w:t>
      </w:r>
      <w:r w:rsidRPr="00FA1502" w:rsidR="006F2238">
        <w:rPr>
          <w:rFonts w:ascii="Times New Roman" w:eastAsia="Times New Roman" w:hAnsi="Times New Roman" w:cs="Times New Roman"/>
          <w:sz w:val="24"/>
          <w:szCs w:val="24"/>
          <w:lang w:val="en-GB" w:eastAsia="cs-CZ"/>
        </w:rPr>
        <w:t>lso in line with the Government’</w:t>
      </w:r>
      <w:r w:rsidRPr="00FA1502">
        <w:rPr>
          <w:rFonts w:ascii="Times New Roman" w:eastAsia="Times New Roman" w:hAnsi="Times New Roman" w:cs="Times New Roman"/>
          <w:sz w:val="24"/>
          <w:szCs w:val="24"/>
          <w:lang w:val="en-GB" w:eastAsia="cs-CZ"/>
        </w:rPr>
        <w:t xml:space="preserve">s </w:t>
      </w:r>
      <w:r w:rsidRPr="00FA1502" w:rsidR="006F2238">
        <w:rPr>
          <w:rFonts w:ascii="Times New Roman" w:eastAsia="Times New Roman" w:hAnsi="Times New Roman" w:cs="Times New Roman"/>
          <w:sz w:val="24"/>
          <w:szCs w:val="24"/>
          <w:lang w:val="en-GB" w:eastAsia="cs-CZ"/>
        </w:rPr>
        <w:t>Program</w:t>
      </w:r>
      <w:r w:rsidRPr="00FA1502">
        <w:rPr>
          <w:rFonts w:ascii="Times New Roman" w:eastAsia="Times New Roman" w:hAnsi="Times New Roman" w:cs="Times New Roman"/>
          <w:sz w:val="24"/>
          <w:szCs w:val="24"/>
          <w:lang w:val="en-GB" w:eastAsia="cs-CZ"/>
        </w:rPr>
        <w:t xml:space="preserve"> Statement</w:t>
      </w:r>
      <w:bookmarkStart w:id="1" w:name="_ftnref2"/>
      <w:bookmarkEnd w:id="1"/>
      <w:r>
        <w:rPr>
          <w:rStyle w:val="FootnoteReference"/>
          <w:rFonts w:ascii="Times New Roman" w:eastAsia="Times New Roman" w:hAnsi="Times New Roman" w:cs="Times New Roman"/>
          <w:sz w:val="24"/>
          <w:szCs w:val="24"/>
          <w:lang w:val="en-GB" w:eastAsia="cs-CZ"/>
        </w:rPr>
        <w:footnoteReference w:id="3"/>
      </w:r>
      <w:r w:rsidRPr="00FA1502">
        <w:rPr>
          <w:rFonts w:ascii="Times New Roman" w:eastAsia="Times New Roman" w:hAnsi="Times New Roman" w:cs="Times New Roman"/>
          <w:sz w:val="24"/>
          <w:szCs w:val="24"/>
          <w:lang w:val="en-GB" w:eastAsia="cs-CZ"/>
        </w:rPr>
        <w:t>, which provides inter alia: “We will support the development of the financial market and strengthen</w:t>
      </w:r>
      <w:r w:rsidRPr="00FA1502" w:rsidR="006F2238">
        <w:rPr>
          <w:rFonts w:ascii="Times New Roman" w:eastAsia="Times New Roman" w:hAnsi="Times New Roman" w:cs="Times New Roman"/>
          <w:sz w:val="24"/>
          <w:szCs w:val="24"/>
          <w:lang w:val="en-GB" w:eastAsia="cs-CZ"/>
        </w:rPr>
        <w:t xml:space="preserve">ing of </w:t>
      </w:r>
      <w:r w:rsidRPr="00FA1502">
        <w:rPr>
          <w:rFonts w:ascii="Times New Roman" w:eastAsia="Times New Roman" w:hAnsi="Times New Roman" w:cs="Times New Roman"/>
          <w:sz w:val="24"/>
          <w:szCs w:val="24"/>
          <w:lang w:val="en-GB" w:eastAsia="cs-CZ"/>
        </w:rPr>
        <w:t xml:space="preserve">its </w:t>
      </w:r>
      <w:r w:rsidRPr="00FA1502" w:rsidR="006F2238">
        <w:rPr>
          <w:rFonts w:ascii="Times New Roman" w:eastAsia="Times New Roman" w:hAnsi="Times New Roman" w:cs="Times New Roman"/>
          <w:sz w:val="24"/>
          <w:szCs w:val="24"/>
          <w:lang w:val="en-GB" w:eastAsia="cs-CZ"/>
        </w:rPr>
        <w:t>resistance</w:t>
      </w:r>
      <w:r w:rsidRPr="00FA1502">
        <w:rPr>
          <w:rFonts w:ascii="Times New Roman" w:eastAsia="Times New Roman" w:hAnsi="Times New Roman" w:cs="Times New Roman"/>
          <w:sz w:val="24"/>
          <w:szCs w:val="24"/>
          <w:lang w:val="en-GB" w:eastAsia="cs-CZ"/>
        </w:rPr>
        <w:t xml:space="preserve">. We will also focus on protecting the rights of consumers of financial services and </w:t>
      </w:r>
      <w:r w:rsidRPr="00FA1502" w:rsidR="006F0294">
        <w:rPr>
          <w:rFonts w:ascii="Times New Roman" w:eastAsia="Times New Roman" w:hAnsi="Times New Roman" w:cs="Times New Roman"/>
          <w:sz w:val="24"/>
          <w:szCs w:val="24"/>
          <w:lang w:val="en-GB" w:eastAsia="cs-CZ"/>
        </w:rPr>
        <w:t>developing financial literacy</w:t>
      </w:r>
      <w:r w:rsidRPr="00FA1502" w:rsidR="00514213">
        <w:rPr>
          <w:rFonts w:ascii="Times New Roman" w:eastAsia="Times New Roman" w:hAnsi="Times New Roman" w:cs="Times New Roman"/>
          <w:sz w:val="24"/>
          <w:szCs w:val="24"/>
          <w:lang w:val="en-GB" w:eastAsia="cs-CZ"/>
        </w:rPr>
        <w:t>.</w:t>
      </w:r>
      <w:r w:rsidRPr="00FA1502" w:rsidR="006F0294">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w:t>
      </w:r>
    </w:p>
    <w:p w:rsidR="00176359" w:rsidRPr="00FA1502" w:rsidP="00B85E59">
      <w:pPr>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Other parts of the Government’s Program Statement are related to</w:t>
      </w:r>
      <w:r w:rsidRPr="00FA1502" w:rsidR="006F0294">
        <w:rPr>
          <w:rFonts w:ascii="Times New Roman" w:eastAsia="Times New Roman" w:hAnsi="Times New Roman" w:cs="Times New Roman"/>
          <w:sz w:val="24"/>
          <w:szCs w:val="24"/>
          <w:lang w:val="en-GB" w:eastAsia="cs-CZ"/>
        </w:rPr>
        <w:t xml:space="preserve"> the Na</w:t>
      </w:r>
      <w:r w:rsidRPr="00FA1502" w:rsidR="004D6324">
        <w:rPr>
          <w:rFonts w:ascii="Times New Roman" w:eastAsia="Times New Roman" w:hAnsi="Times New Roman" w:cs="Times New Roman"/>
          <w:sz w:val="24"/>
          <w:szCs w:val="24"/>
          <w:lang w:val="en-GB" w:eastAsia="cs-CZ"/>
        </w:rPr>
        <w:t>tional Strategy</w:t>
      </w:r>
      <w:r w:rsidRPr="00FA1502">
        <w:rPr>
          <w:rFonts w:ascii="Times New Roman" w:eastAsia="Times New Roman" w:hAnsi="Times New Roman" w:cs="Times New Roman"/>
          <w:sz w:val="24"/>
          <w:szCs w:val="24"/>
          <w:lang w:val="en-GB" w:eastAsia="cs-CZ"/>
        </w:rPr>
        <w:t xml:space="preserve"> and changes in laws proposed in this amendment, such as "We respect the principle of fiscal neutrality. We will ensure the review and merger of tax exemptions and will prevent the introduction of others, which will provide scope for a general reduction in the tax burden. We will push through a proposal for a new conceptual legal regulation of income taxes, which will newly regulate the taxation and the system of insurance contributions from this income with the aim of simplifying taxes and eliminating tax distortions. We will conclude the process of income tax recodification with the preparation of an integrated system of tax and insurance administration that will enable these legal oblig</w:t>
      </w:r>
      <w:r w:rsidRPr="00FA1502" w:rsidR="00C00B52">
        <w:rPr>
          <w:rFonts w:ascii="Times New Roman" w:eastAsia="Times New Roman" w:hAnsi="Times New Roman" w:cs="Times New Roman"/>
          <w:sz w:val="24"/>
          <w:szCs w:val="24"/>
          <w:lang w:val="en-GB" w:eastAsia="cs-CZ"/>
        </w:rPr>
        <w:t>ations to be paid in one place.</w:t>
      </w:r>
      <w:r w:rsidRPr="00FA1502">
        <w:rPr>
          <w:rFonts w:ascii="Times New Roman" w:eastAsia="Times New Roman" w:hAnsi="Times New Roman" w:cs="Times New Roman"/>
          <w:sz w:val="24"/>
          <w:szCs w:val="24"/>
          <w:lang w:val="en-GB" w:eastAsia="cs-CZ"/>
        </w:rPr>
        <w:t>”</w:t>
      </w:r>
      <w:r w:rsidRPr="00FA1502" w:rsidR="00C00B5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(Finance and state management),</w:t>
      </w:r>
      <w:r w:rsidRPr="00FA1502" w:rsidR="00C00B52">
        <w:rPr>
          <w:rFonts w:ascii="Times New Roman" w:eastAsia="Times New Roman" w:hAnsi="Times New Roman" w:cs="Times New Roman"/>
          <w:sz w:val="24"/>
          <w:szCs w:val="24"/>
          <w:lang w:val="en-GB" w:eastAsia="cs-CZ"/>
        </w:rPr>
        <w:t xml:space="preserve"> </w:t>
      </w:r>
      <w:r w:rsidR="00A7116F">
        <w:rPr>
          <w:rFonts w:ascii="Times New Roman" w:eastAsia="Times New Roman" w:hAnsi="Times New Roman" w:cs="Times New Roman"/>
          <w:sz w:val="24"/>
          <w:szCs w:val="24"/>
          <w:lang w:val="en-GB" w:eastAsia="cs-CZ"/>
        </w:rPr>
        <w:t xml:space="preserve">“We </w:t>
      </w:r>
      <w:r w:rsidRPr="00FA1502">
        <w:rPr>
          <w:rFonts w:ascii="Times New Roman" w:eastAsia="Times New Roman" w:hAnsi="Times New Roman" w:cs="Times New Roman"/>
          <w:sz w:val="24"/>
          <w:szCs w:val="24"/>
          <w:lang w:val="en-GB" w:eastAsia="cs-CZ"/>
        </w:rPr>
        <w:t>will set up an exp</w:t>
      </w:r>
      <w:r w:rsidRPr="00FA1502" w:rsidR="00C00B52">
        <w:rPr>
          <w:rFonts w:ascii="Times New Roman" w:eastAsia="Times New Roman" w:hAnsi="Times New Roman" w:cs="Times New Roman"/>
          <w:sz w:val="24"/>
          <w:szCs w:val="24"/>
          <w:lang w:val="en-GB" w:eastAsia="cs-CZ"/>
        </w:rPr>
        <w:t xml:space="preserve">ert pension reform working team, which will assess proposals, current situation and expected </w:t>
      </w:r>
      <w:r w:rsidRPr="00FA1502">
        <w:rPr>
          <w:rFonts w:ascii="Times New Roman" w:eastAsia="Times New Roman" w:hAnsi="Times New Roman" w:cs="Times New Roman"/>
          <w:sz w:val="24"/>
          <w:szCs w:val="24"/>
          <w:lang w:val="en-GB" w:eastAsia="cs-CZ"/>
        </w:rPr>
        <w:t>develop</w:t>
      </w:r>
      <w:r w:rsidRPr="00FA1502" w:rsidR="00C00B52">
        <w:rPr>
          <w:rFonts w:ascii="Times New Roman" w:eastAsia="Times New Roman" w:hAnsi="Times New Roman" w:cs="Times New Roman"/>
          <w:sz w:val="24"/>
          <w:szCs w:val="24"/>
          <w:lang w:val="en-GB" w:eastAsia="cs-CZ"/>
        </w:rPr>
        <w:t>ment</w:t>
      </w:r>
      <w:r w:rsidRPr="00FA1502">
        <w:rPr>
          <w:rFonts w:ascii="Times New Roman" w:eastAsia="Times New Roman" w:hAnsi="Times New Roman" w:cs="Times New Roman"/>
          <w:sz w:val="24"/>
          <w:szCs w:val="24"/>
          <w:lang w:val="en-GB" w:eastAsia="cs-CZ"/>
        </w:rPr>
        <w:t xml:space="preserve"> and </w:t>
      </w:r>
      <w:r w:rsidRPr="00FA1502" w:rsidR="00C00B52">
        <w:rPr>
          <w:rFonts w:ascii="Times New Roman" w:eastAsia="Times New Roman" w:hAnsi="Times New Roman" w:cs="Times New Roman"/>
          <w:sz w:val="24"/>
          <w:szCs w:val="24"/>
          <w:lang w:val="en-GB" w:eastAsia="cs-CZ"/>
        </w:rPr>
        <w:t xml:space="preserve">which will propose </w:t>
      </w:r>
      <w:r w:rsidRPr="00FA1502">
        <w:rPr>
          <w:rFonts w:ascii="Times New Roman" w:eastAsia="Times New Roman" w:hAnsi="Times New Roman" w:cs="Times New Roman"/>
          <w:sz w:val="24"/>
          <w:szCs w:val="24"/>
          <w:lang w:val="en-GB" w:eastAsia="cs-CZ"/>
        </w:rPr>
        <w:t xml:space="preserve">a solution that maintains existing </w:t>
      </w:r>
      <w:r w:rsidRPr="00FA1502" w:rsidR="0042025F">
        <w:rPr>
          <w:rFonts w:ascii="Times New Roman" w:eastAsia="Times New Roman" w:hAnsi="Times New Roman" w:cs="Times New Roman"/>
          <w:sz w:val="24"/>
          <w:szCs w:val="24"/>
          <w:lang w:val="en-GB" w:eastAsia="cs-CZ"/>
        </w:rPr>
        <w:t>entitlements</w:t>
      </w:r>
      <w:r w:rsidRPr="00FA1502">
        <w:rPr>
          <w:rFonts w:ascii="Times New Roman" w:eastAsia="Times New Roman" w:hAnsi="Times New Roman" w:cs="Times New Roman"/>
          <w:sz w:val="24"/>
          <w:szCs w:val="24"/>
          <w:lang w:val="en-GB" w:eastAsia="cs-CZ"/>
        </w:rPr>
        <w:t xml:space="preserve">, defines a standard of </w:t>
      </w:r>
      <w:r w:rsidRPr="00FA1502" w:rsidR="00C00B52">
        <w:rPr>
          <w:rFonts w:ascii="Times New Roman" w:eastAsia="Times New Roman" w:hAnsi="Times New Roman" w:cs="Times New Roman"/>
          <w:sz w:val="24"/>
          <w:szCs w:val="24"/>
          <w:lang w:val="en-GB" w:eastAsia="cs-CZ"/>
        </w:rPr>
        <w:t>security</w:t>
      </w:r>
      <w:r w:rsidRPr="00FA1502">
        <w:rPr>
          <w:rFonts w:ascii="Times New Roman" w:eastAsia="Times New Roman" w:hAnsi="Times New Roman" w:cs="Times New Roman"/>
          <w:sz w:val="24"/>
          <w:szCs w:val="24"/>
          <w:lang w:val="en-GB" w:eastAsia="cs-CZ"/>
        </w:rPr>
        <w:t xml:space="preserve"> in old age on the principle of solidarity, reinforces the principle of merit and motivates people of working age to use supported forms of individual </w:t>
      </w:r>
      <w:r w:rsidRPr="00FA1502" w:rsidR="00C00B52">
        <w:rPr>
          <w:rFonts w:ascii="Times New Roman" w:eastAsia="Times New Roman" w:hAnsi="Times New Roman" w:cs="Times New Roman"/>
          <w:sz w:val="24"/>
          <w:szCs w:val="24"/>
          <w:lang w:val="en-GB" w:eastAsia="cs-CZ"/>
        </w:rPr>
        <w:t>security in old age</w:t>
      </w:r>
      <w:r w:rsidRPr="00FA1502">
        <w:rPr>
          <w:rFonts w:ascii="Times New Roman" w:eastAsia="Times New Roman" w:hAnsi="Times New Roman" w:cs="Times New Roman"/>
          <w:sz w:val="24"/>
          <w:szCs w:val="24"/>
          <w:lang w:val="en-GB" w:eastAsia="cs-CZ"/>
        </w:rPr>
        <w:t>. The Ministry of Labo</w:t>
      </w:r>
      <w:r w:rsidRPr="00FA1502" w:rsidR="00C00B52">
        <w:rPr>
          <w:rFonts w:ascii="Times New Roman" w:eastAsia="Times New Roman" w:hAnsi="Times New Roman" w:cs="Times New Roman"/>
          <w:sz w:val="24"/>
          <w:szCs w:val="24"/>
          <w:lang w:val="en-GB" w:eastAsia="cs-CZ"/>
        </w:rPr>
        <w:t>u</w:t>
      </w:r>
      <w:r w:rsidRPr="00FA1502">
        <w:rPr>
          <w:rFonts w:ascii="Times New Roman" w:eastAsia="Times New Roman" w:hAnsi="Times New Roman" w:cs="Times New Roman"/>
          <w:sz w:val="24"/>
          <w:szCs w:val="24"/>
          <w:lang w:val="en-GB" w:eastAsia="cs-CZ"/>
        </w:rPr>
        <w:t>r and Social Affairs will submit a proposal preserving the benefits of the current system, such as stability and a high degree of legal certainty, low cost, p</w:t>
      </w:r>
      <w:r w:rsidRPr="00FA1502" w:rsidR="00C00B52">
        <w:rPr>
          <w:rFonts w:ascii="Times New Roman" w:eastAsia="Times New Roman" w:hAnsi="Times New Roman" w:cs="Times New Roman"/>
          <w:sz w:val="24"/>
          <w:szCs w:val="24"/>
          <w:lang w:val="en-GB" w:eastAsia="cs-CZ"/>
        </w:rPr>
        <w:t>rofessionalism and public-administration</w:t>
      </w:r>
      <w:r w:rsidRPr="00FA1502">
        <w:rPr>
          <w:rFonts w:ascii="Times New Roman" w:eastAsia="Times New Roman" w:hAnsi="Times New Roman" w:cs="Times New Roman"/>
          <w:sz w:val="24"/>
          <w:szCs w:val="24"/>
          <w:lang w:val="en-GB" w:eastAsia="cs-CZ"/>
        </w:rPr>
        <w:t xml:space="preserve"> guarantees in the management of insurance premiums, while separating the revenue</w:t>
      </w:r>
      <w:r w:rsidRPr="00FA1502" w:rsidR="00386949">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 xml:space="preserve"> and expenditure</w:t>
      </w:r>
      <w:r w:rsidRPr="00FA1502" w:rsidR="00386949">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 xml:space="preserve"> management of pension insurance from the state budget. The system set up by the future reform must be stable, understandable and financially secure</w:t>
      </w:r>
      <w:r w:rsidRPr="00FA1502" w:rsidR="00386949">
        <w:rPr>
          <w:rFonts w:ascii="Times New Roman" w:eastAsia="Times New Roman" w:hAnsi="Times New Roman" w:cs="Times New Roman"/>
          <w:sz w:val="24"/>
          <w:szCs w:val="24"/>
          <w:lang w:val="en-GB" w:eastAsia="cs-CZ"/>
        </w:rPr>
        <w:t>d</w:t>
      </w:r>
      <w:r w:rsidRPr="00FA1502">
        <w:rPr>
          <w:rFonts w:ascii="Times New Roman" w:eastAsia="Times New Roman" w:hAnsi="Times New Roman" w:cs="Times New Roman"/>
          <w:sz w:val="24"/>
          <w:szCs w:val="24"/>
          <w:lang w:val="en-GB" w:eastAsia="cs-CZ"/>
        </w:rPr>
        <w:t xml:space="preserve"> in the long term, so the change will be implemented in a form that will receive broa</w:t>
      </w:r>
      <w:r w:rsidRPr="00FA1502" w:rsidR="00386949">
        <w:rPr>
          <w:rFonts w:ascii="Times New Roman" w:eastAsia="Times New Roman" w:hAnsi="Times New Roman" w:cs="Times New Roman"/>
          <w:sz w:val="24"/>
          <w:szCs w:val="24"/>
          <w:lang w:val="en-GB" w:eastAsia="cs-CZ"/>
        </w:rPr>
        <w:t xml:space="preserve">d political and social support.” </w:t>
      </w:r>
      <w:r w:rsidRPr="00FA1502">
        <w:rPr>
          <w:rFonts w:ascii="Times New Roman" w:eastAsia="Times New Roman" w:hAnsi="Times New Roman" w:cs="Times New Roman"/>
          <w:sz w:val="24"/>
          <w:szCs w:val="24"/>
          <w:lang w:val="en-GB" w:eastAsia="cs-CZ"/>
        </w:rPr>
        <w:t xml:space="preserve">(Social Policy and Employment), </w:t>
      </w:r>
      <w:r w:rsidRPr="00FA1502" w:rsidR="00386949">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SMEs are a solid </w:t>
      </w:r>
      <w:r w:rsidRPr="00FA1502">
        <w:rPr>
          <w:rFonts w:ascii="Times New Roman" w:eastAsia="Times New Roman" w:hAnsi="Times New Roman" w:cs="Times New Roman"/>
          <w:sz w:val="24"/>
          <w:szCs w:val="24"/>
          <w:lang w:val="en-GB" w:eastAsia="cs-CZ"/>
        </w:rPr>
        <w:t xml:space="preserve">and irreplaceable part of the domestic economy and the main driver </w:t>
      </w:r>
      <w:r w:rsidRPr="00FA1502" w:rsidR="00386949">
        <w:rPr>
          <w:rFonts w:ascii="Times New Roman" w:eastAsia="Times New Roman" w:hAnsi="Times New Roman" w:cs="Times New Roman"/>
          <w:sz w:val="24"/>
          <w:szCs w:val="24"/>
          <w:lang w:val="en-GB" w:eastAsia="cs-CZ"/>
        </w:rPr>
        <w:t xml:space="preserve">of the current economic growth.” </w:t>
      </w:r>
      <w:r w:rsidRPr="00FA1502">
        <w:rPr>
          <w:rFonts w:ascii="Times New Roman" w:eastAsia="Times New Roman" w:hAnsi="Times New Roman" w:cs="Times New Roman"/>
          <w:sz w:val="24"/>
          <w:szCs w:val="24"/>
          <w:lang w:val="en-GB" w:eastAsia="cs-CZ"/>
        </w:rPr>
        <w:t xml:space="preserve">(Industry and Trade) and </w:t>
      </w:r>
      <w:r w:rsidRPr="00FA1502" w:rsidR="00386949">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The</w:t>
      </w:r>
      <w:r w:rsidRPr="00FA1502" w:rsidR="00386949">
        <w:rPr>
          <w:rFonts w:ascii="Times New Roman" w:eastAsia="Times New Roman" w:hAnsi="Times New Roman" w:cs="Times New Roman"/>
          <w:sz w:val="24"/>
          <w:szCs w:val="24"/>
          <w:lang w:val="en-GB" w:eastAsia="cs-CZ"/>
        </w:rPr>
        <w:t xml:space="preserve"> membership of the </w:t>
      </w:r>
      <w:r w:rsidRPr="00FA1502">
        <w:rPr>
          <w:rFonts w:ascii="Times New Roman" w:eastAsia="Times New Roman" w:hAnsi="Times New Roman" w:cs="Times New Roman"/>
          <w:sz w:val="24"/>
          <w:szCs w:val="24"/>
          <w:lang w:val="en-GB" w:eastAsia="cs-CZ"/>
        </w:rPr>
        <w:t xml:space="preserve">Czech Republic </w:t>
      </w:r>
      <w:r w:rsidRPr="00FA1502" w:rsidR="00386949">
        <w:rPr>
          <w:rFonts w:ascii="Times New Roman" w:eastAsia="Times New Roman" w:hAnsi="Times New Roman" w:cs="Times New Roman"/>
          <w:sz w:val="24"/>
          <w:szCs w:val="24"/>
          <w:lang w:val="en-GB" w:eastAsia="cs-CZ"/>
        </w:rPr>
        <w:t xml:space="preserve">in </w:t>
      </w:r>
      <w:r w:rsidRPr="00FA1502">
        <w:rPr>
          <w:rFonts w:ascii="Times New Roman" w:eastAsia="Times New Roman" w:hAnsi="Times New Roman" w:cs="Times New Roman"/>
          <w:sz w:val="24"/>
          <w:szCs w:val="24"/>
          <w:lang w:val="en-GB" w:eastAsia="cs-CZ"/>
        </w:rPr>
        <w:t xml:space="preserve">the European Union and </w:t>
      </w:r>
      <w:r w:rsidRPr="00FA1502" w:rsidR="00386949">
        <w:rPr>
          <w:rFonts w:ascii="Times New Roman" w:eastAsia="Times New Roman" w:hAnsi="Times New Roman" w:cs="Times New Roman"/>
          <w:sz w:val="24"/>
          <w:szCs w:val="24"/>
          <w:lang w:val="en-GB" w:eastAsia="cs-CZ"/>
        </w:rPr>
        <w:t>enforcement of its interests in the respective bodies is a priority for the G</w:t>
      </w:r>
      <w:r w:rsidRPr="00FA1502">
        <w:rPr>
          <w:rFonts w:ascii="Times New Roman" w:eastAsia="Times New Roman" w:hAnsi="Times New Roman" w:cs="Times New Roman"/>
          <w:sz w:val="24"/>
          <w:szCs w:val="24"/>
          <w:lang w:val="en-GB" w:eastAsia="cs-CZ"/>
        </w:rPr>
        <w:t>overnment. Czech Republic must be seen as an active and respected member country.”</w:t>
      </w:r>
      <w:r w:rsidRPr="00FA1502" w:rsidR="00386949">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(Foreign Policy and the European Union).</w:t>
      </w:r>
      <w:r w:rsidR="00A7116F">
        <w:rPr>
          <w:rFonts w:ascii="Times New Roman" w:eastAsia="Times New Roman" w:hAnsi="Times New Roman" w:cs="Times New Roman"/>
          <w:sz w:val="24"/>
          <w:szCs w:val="24"/>
          <w:lang w:val="en-GB" w:eastAsia="cs-CZ"/>
        </w:rPr>
        <w:t xml:space="preserve"> </w:t>
      </w:r>
    </w:p>
    <w:p w:rsidR="00176359" w:rsidRPr="00FA1502" w:rsidP="00B85E59">
      <w:pPr>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Here is an overview of the m</w:t>
      </w:r>
      <w:r w:rsidRPr="00FA1502" w:rsidR="004D6324">
        <w:rPr>
          <w:rFonts w:ascii="Times New Roman" w:eastAsia="Times New Roman" w:hAnsi="Times New Roman" w:cs="Times New Roman"/>
          <w:sz w:val="24"/>
          <w:szCs w:val="24"/>
          <w:lang w:val="en-GB" w:eastAsia="cs-CZ"/>
        </w:rPr>
        <w:t>easures contained in the National Strategy</w:t>
      </w:r>
      <w:r w:rsidRPr="00FA1502">
        <w:rPr>
          <w:rFonts w:ascii="Times New Roman" w:eastAsia="Times New Roman" w:hAnsi="Times New Roman" w:cs="Times New Roman"/>
          <w:sz w:val="24"/>
          <w:szCs w:val="24"/>
          <w:lang w:val="en-GB" w:eastAsia="cs-CZ"/>
        </w:rPr>
        <w:t xml:space="preserve">. Those marked with a thick </w:t>
      </w:r>
      <w:r w:rsidRPr="00FA1502">
        <w:rPr>
          <w:rFonts w:ascii="Times New Roman" w:eastAsia="Times New Roman" w:hAnsi="Times New Roman" w:cs="Times New Roman"/>
          <w:sz w:val="24"/>
          <w:szCs w:val="24"/>
          <w:lang w:val="en-GB" w:eastAsia="cs-CZ"/>
        </w:rPr>
        <w:t xml:space="preserve">arrow </w:t>
      </w:r>
      <w:r w:rsidRPr="00FA1502">
        <w:rPr>
          <w:rFonts w:ascii="Wingdings" w:eastAsia="Times New Roman" w:hAnsi="Wingdings" w:cs="Times New Roman"/>
          <w:color w:val="FF0000"/>
          <w:lang w:val="en-GB" w:eastAsia="cs-CZ"/>
        </w:rPr>
        <w:sym w:font="Wingdings" w:char="F0E8"/>
      </w:r>
      <w:r w:rsidRPr="00FA1502">
        <w:rPr>
          <w:rFonts w:ascii="Times New Roman" w:eastAsia="Times New Roman" w:hAnsi="Times New Roman" w:cs="Times New Roman"/>
          <w:sz w:val="24"/>
          <w:szCs w:val="24"/>
          <w:lang w:val="en-GB" w:eastAsia="cs-CZ"/>
        </w:rPr>
        <w:t>, requir</w:t>
      </w:r>
      <w:r w:rsidRPr="00FA1502" w:rsidR="00386949">
        <w:rPr>
          <w:rFonts w:ascii="Times New Roman" w:eastAsia="Times New Roman" w:hAnsi="Times New Roman" w:cs="Times New Roman"/>
          <w:sz w:val="24"/>
          <w:szCs w:val="24"/>
          <w:lang w:val="en-GB" w:eastAsia="cs-CZ"/>
        </w:rPr>
        <w:t>e</w:t>
      </w:r>
      <w:r w:rsidRPr="00FA1502">
        <w:rPr>
          <w:rFonts w:ascii="Times New Roman" w:eastAsia="Times New Roman" w:hAnsi="Times New Roman" w:cs="Times New Roman"/>
          <w:sz w:val="24"/>
          <w:szCs w:val="24"/>
          <w:lang w:val="en-GB" w:eastAsia="cs-CZ"/>
        </w:rPr>
        <w:t xml:space="preserve"> legislative action and are part of this bill. Those marked with an asterisk </w:t>
      </w:r>
      <w:r w:rsidRPr="00FA1502">
        <w:rPr>
          <w:rFonts w:ascii="Wingdings 2" w:eastAsia="Times New Roman" w:hAnsi="Wingdings 2" w:cs="Times New Roman"/>
          <w:color w:val="FF0000"/>
          <w:lang w:val="en-GB" w:eastAsia="cs-CZ"/>
        </w:rPr>
        <w:sym w:font="Wingdings 2" w:char="F0ED"/>
      </w:r>
      <w:r w:rsidRPr="00FA1502" w:rsidR="00386949">
        <w:rPr>
          <w:rFonts w:ascii="Times New Roman" w:eastAsia="Times New Roman" w:hAnsi="Times New Roman" w:cs="Times New Roman"/>
          <w:lang w:val="en-GB" w:eastAsia="cs-CZ"/>
        </w:rPr>
        <w:t>,</w:t>
      </w:r>
      <w:r w:rsidRPr="00FA1502" w:rsidR="00386949">
        <w:rPr>
          <w:rFonts w:ascii="Times New Roman" w:eastAsia="Times New Roman" w:hAnsi="Times New Roman" w:cs="Times New Roman"/>
          <w:color w:val="FF0000"/>
          <w:lang w:val="en-GB" w:eastAsia="cs-CZ"/>
        </w:rPr>
        <w:t xml:space="preserve"> </w:t>
      </w:r>
      <w:r w:rsidRPr="00FA1502">
        <w:rPr>
          <w:rFonts w:ascii="Times New Roman" w:eastAsia="Times New Roman" w:hAnsi="Times New Roman" w:cs="Times New Roman"/>
          <w:sz w:val="24"/>
          <w:szCs w:val="24"/>
          <w:lang w:val="en-GB" w:eastAsia="cs-CZ"/>
        </w:rPr>
        <w:t xml:space="preserve">require legislation but are not part of this bill. Other measures (marked </w:t>
      </w:r>
      <w:r w:rsidRPr="00FA1502" w:rsidR="00386949">
        <w:rPr>
          <w:rFonts w:ascii="Times New Roman" w:eastAsia="Times New Roman" w:hAnsi="Times New Roman" w:cs="Times New Roman"/>
          <w:sz w:val="24"/>
          <w:szCs w:val="24"/>
          <w:lang w:val="en-GB" w:eastAsia="cs-CZ"/>
        </w:rPr>
        <w:t xml:space="preserve">with a </w:t>
      </w:r>
      <w:r w:rsidR="00A7116F">
        <w:rPr>
          <w:rFonts w:ascii="Times New Roman" w:eastAsia="Times New Roman" w:hAnsi="Times New Roman" w:cs="Times New Roman"/>
          <w:sz w:val="24"/>
          <w:szCs w:val="24"/>
          <w:lang w:val="en-GB" w:eastAsia="cs-CZ"/>
        </w:rPr>
        <w:t>circle</w:t>
      </w:r>
      <w:r w:rsidRPr="00FA1502">
        <w:rPr>
          <w:rFonts w:ascii="Times New Roman" w:eastAsia="Times New Roman" w:hAnsi="Times New Roman" w:cs="Times New Roman"/>
          <w:sz w:val="24"/>
          <w:szCs w:val="24"/>
          <w:lang w:val="en-GB" w:eastAsia="cs-CZ"/>
        </w:rPr>
        <w:t xml:space="preserve"> </w:t>
      </w:r>
      <w:r w:rsidRPr="00FA1502">
        <w:rPr>
          <w:rFonts w:ascii="Wingdings 2" w:eastAsia="Times New Roman" w:hAnsi="Wingdings 2" w:cs="Times New Roman"/>
          <w:color w:val="FF0000"/>
          <w:lang w:val="en-GB" w:eastAsia="cs-CZ"/>
        </w:rPr>
        <w:sym w:font="Wingdings 2" w:char="F098"/>
      </w:r>
      <w:r w:rsidRPr="00FA1502">
        <w:rPr>
          <w:rFonts w:ascii="Times New Roman" w:eastAsia="Times New Roman" w:hAnsi="Times New Roman" w:cs="Times New Roman"/>
          <w:sz w:val="24"/>
          <w:szCs w:val="24"/>
          <w:lang w:val="en-GB" w:eastAsia="cs-CZ"/>
        </w:rPr>
        <w:t xml:space="preserve">) are </w:t>
      </w:r>
      <w:r w:rsidRPr="00FA1502" w:rsidR="00386949">
        <w:rPr>
          <w:rFonts w:ascii="Times New Roman" w:eastAsia="Times New Roman" w:hAnsi="Times New Roman" w:cs="Times New Roman"/>
          <w:sz w:val="24"/>
          <w:szCs w:val="24"/>
          <w:lang w:val="en-GB" w:eastAsia="cs-CZ"/>
        </w:rPr>
        <w:t xml:space="preserve">not of a </w:t>
      </w:r>
      <w:r w:rsidRPr="00FA1502">
        <w:rPr>
          <w:rFonts w:ascii="Times New Roman" w:eastAsia="Times New Roman" w:hAnsi="Times New Roman" w:cs="Times New Roman"/>
          <w:sz w:val="24"/>
          <w:szCs w:val="24"/>
          <w:lang w:val="en-GB" w:eastAsia="cs-CZ"/>
        </w:rPr>
        <w:t xml:space="preserve">legislative nature. </w:t>
      </w:r>
    </w:p>
    <w:tbl>
      <w:tblPr>
        <w:tblW w:w="10031" w:type="dxa"/>
        <w:tblCellMar>
          <w:left w:w="0" w:type="dxa"/>
          <w:right w:w="0" w:type="dxa"/>
        </w:tblCellMar>
        <w:tblLook w:val="04A0"/>
      </w:tblPr>
      <w:tblGrid>
        <w:gridCol w:w="5230"/>
        <w:gridCol w:w="3345"/>
        <w:gridCol w:w="1456"/>
      </w:tblGrid>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shd w:val="clear" w:color="auto" w:fill="002060"/>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color w:val="FFFFFF"/>
                <w:sz w:val="24"/>
                <w:szCs w:val="24"/>
                <w:lang w:val="en-GB" w:eastAsia="cs-CZ"/>
              </w:rPr>
              <w:t>PLAN</w:t>
            </w:r>
          </w:p>
        </w:tc>
        <w:tc>
          <w:tcPr>
            <w:tcW w:w="3402" w:type="dxa"/>
            <w:tcBorders>
              <w:top w:val="single" w:sz="6" w:space="0" w:color="000000"/>
              <w:left w:val="single" w:sz="6" w:space="0" w:color="000000"/>
              <w:bottom w:val="single" w:sz="6" w:space="0" w:color="000000"/>
              <w:right w:val="single" w:sz="6" w:space="0" w:color="000000"/>
            </w:tcBorders>
            <w:shd w:val="clear" w:color="auto" w:fill="002060"/>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color w:val="FFFFFF"/>
                <w:sz w:val="24"/>
                <w:szCs w:val="24"/>
                <w:lang w:val="en-GB" w:eastAsia="cs-CZ"/>
              </w:rPr>
              <w:t>BODIES CONCERNED</w:t>
            </w:r>
          </w:p>
        </w:tc>
        <w:tc>
          <w:tcPr>
            <w:tcW w:w="1276" w:type="dxa"/>
            <w:tcBorders>
              <w:top w:val="single" w:sz="6" w:space="0" w:color="000000"/>
              <w:left w:val="single" w:sz="6" w:space="0" w:color="000000"/>
              <w:bottom w:val="single" w:sz="6" w:space="0" w:color="000000"/>
              <w:right w:val="single" w:sz="6" w:space="0" w:color="000000"/>
            </w:tcBorders>
            <w:shd w:val="clear" w:color="auto" w:fill="002060"/>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color w:val="FFFFFF"/>
                <w:sz w:val="24"/>
                <w:szCs w:val="24"/>
                <w:lang w:val="en-GB" w:eastAsia="cs-CZ"/>
              </w:rPr>
              <w:t>DATE</w:t>
            </w:r>
          </w:p>
        </w:tc>
      </w:tr>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w:eastAsia="Times New Roman" w:hAnsi="Wingdings" w:cs="Times New Roman"/>
                <w:color w:val="FF0000"/>
                <w:sz w:val="24"/>
                <w:szCs w:val="24"/>
                <w:lang w:val="en-GB" w:eastAsia="cs-CZ"/>
              </w:rPr>
              <w:sym w:font="Wingdings" w:char="F0E8"/>
            </w:r>
            <w:r w:rsidRPr="00FA1502">
              <w:rPr>
                <w:rFonts w:ascii="Wingdings" w:eastAsia="Times New Roman" w:hAnsi="Wingdings" w:cs="Times New Roman"/>
                <w:color w:val="FF0000"/>
                <w:sz w:val="24"/>
                <w:szCs w:val="24"/>
                <w:lang w:val="en-GB" w:eastAsia="cs-CZ"/>
              </w:rPr>
              <w:sym w:font="Wingdings" w:char="F020"/>
            </w:r>
            <w:r w:rsidRPr="00FA1502">
              <w:rPr>
                <w:rFonts w:ascii="Times New Roman" w:eastAsia="Times New Roman" w:hAnsi="Times New Roman" w:cs="Times New Roman"/>
                <w:sz w:val="24"/>
                <w:szCs w:val="24"/>
                <w:lang w:val="en-GB" w:eastAsia="cs-CZ"/>
              </w:rPr>
              <w:t>Propose the introduction o</w:t>
            </w:r>
            <w:r w:rsidRPr="00FA1502" w:rsidR="00E028FC">
              <w:rPr>
                <w:rFonts w:ascii="Times New Roman" w:eastAsia="Times New Roman" w:hAnsi="Times New Roman" w:cs="Times New Roman"/>
                <w:sz w:val="24"/>
                <w:szCs w:val="24"/>
                <w:lang w:val="en-GB" w:eastAsia="cs-CZ"/>
              </w:rPr>
              <w:t>f a</w:t>
            </w:r>
            <w:r w:rsidRPr="00FA1502" w:rsidR="00672978">
              <w:rPr>
                <w:rFonts w:ascii="Times New Roman" w:eastAsia="Times New Roman" w:hAnsi="Times New Roman" w:cs="Times New Roman"/>
                <w:sz w:val="24"/>
                <w:szCs w:val="24"/>
                <w:lang w:val="en-GB" w:eastAsia="cs-CZ"/>
              </w:rPr>
              <w:t>n</w:t>
            </w:r>
            <w:r w:rsidRPr="00FA1502" w:rsidR="00E028FC">
              <w:rPr>
                <w:rFonts w:ascii="Times New Roman" w:eastAsia="Times New Roman" w:hAnsi="Times New Roman" w:cs="Times New Roman"/>
                <w:sz w:val="24"/>
                <w:szCs w:val="24"/>
                <w:lang w:val="en-GB" w:eastAsia="cs-CZ"/>
              </w:rPr>
              <w:t xml:space="preserve"> individual savings account</w:t>
            </w:r>
            <w:r w:rsidRPr="00FA1502">
              <w:rPr>
                <w:rFonts w:ascii="Times New Roman" w:eastAsia="Times New Roman" w:hAnsi="Times New Roman" w:cs="Times New Roman"/>
                <w:sz w:val="24"/>
                <w:szCs w:val="24"/>
                <w:lang w:val="en-GB" w:eastAsia="cs-CZ"/>
              </w:rPr>
              <w:t xml:space="preserve"> and submit to the Government a draft amendment to the relevant laws (in particular the ITA and the Capital Market </w:t>
            </w:r>
            <w:r w:rsidRPr="00FA1502" w:rsidR="00E76A27">
              <w:rPr>
                <w:rFonts w:ascii="Times New Roman" w:eastAsia="Times New Roman" w:hAnsi="Times New Roman" w:cs="Times New Roman"/>
                <w:sz w:val="24"/>
                <w:szCs w:val="24"/>
                <w:lang w:val="en-GB" w:eastAsia="cs-CZ"/>
              </w:rPr>
              <w:t>Business</w:t>
            </w:r>
            <w:r w:rsidRPr="00FA1502">
              <w:rPr>
                <w:rFonts w:ascii="Times New Roman" w:eastAsia="Times New Roman" w:hAnsi="Times New Roman" w:cs="Times New Roman"/>
                <w:sz w:val="24"/>
                <w:szCs w:val="24"/>
                <w:lang w:val="en-GB" w:eastAsia="cs-CZ"/>
              </w:rPr>
              <w:t xml:space="preserve"> Act )</w:t>
            </w:r>
            <w:r w:rsidR="00A7116F">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w:t>
            </w:r>
            <w:r w:rsidRPr="00FA1502" w:rsidR="00E76A27">
              <w:rPr>
                <w:rFonts w:ascii="Times New Roman" w:eastAsia="Times New Roman" w:hAnsi="Times New Roman" w:cs="Times New Roman"/>
                <w:sz w:val="24"/>
                <w:szCs w:val="24"/>
                <w:lang w:val="en-GB" w:eastAsia="cs-CZ"/>
              </w:rPr>
              <w:t>F, MLSA</w:t>
            </w:r>
            <w:r w:rsidRPr="00FA1502">
              <w:rPr>
                <w:rFonts w:ascii="Times New Roman" w:eastAsia="Times New Roman" w:hAnsi="Times New Roman" w:cs="Times New Roman"/>
                <w:sz w:val="24"/>
                <w:szCs w:val="24"/>
                <w:lang w:val="en-GB" w:eastAsia="cs-CZ"/>
              </w:rPr>
              <w:t>, AKAT, APS CR, ČAP, ČBA, ČMKOS</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Q4 2019</w:t>
            </w:r>
          </w:p>
        </w:tc>
      </w:tr>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98"/>
            </w:r>
            <w:r w:rsidRPr="00FA1502">
              <w:rPr>
                <w:rFonts w:ascii="Wingdings 2" w:eastAsia="Times New Roman" w:hAnsi="Wingdings 2" w:cs="Times New Roman"/>
                <w:color w:val="FF0000"/>
                <w:sz w:val="24"/>
                <w:szCs w:val="24"/>
                <w:lang w:val="en-GB" w:eastAsia="cs-CZ"/>
              </w:rPr>
              <w:sym w:font="Wingdings 2" w:char="F020"/>
            </w:r>
            <w:r w:rsidRPr="00FA1502">
              <w:rPr>
                <w:rFonts w:ascii="Times New Roman" w:eastAsia="Times New Roman" w:hAnsi="Times New Roman" w:cs="Times New Roman"/>
                <w:sz w:val="24"/>
                <w:szCs w:val="24"/>
                <w:lang w:val="en-GB" w:eastAsia="cs-CZ"/>
              </w:rPr>
              <w:t>Initiate discussions on how to reduce the cost of purchasing securities issued by i</w:t>
            </w:r>
            <w:r w:rsidRPr="00FA1502">
              <w:rPr>
                <w:rFonts w:ascii="Times New Roman" w:eastAsia="Times New Roman" w:hAnsi="Times New Roman" w:cs="Times New Roman"/>
                <w:sz w:val="24"/>
                <w:szCs w:val="24"/>
                <w:lang w:val="en-GB" w:eastAsia="cs-CZ"/>
              </w:rPr>
              <w:t>nvestment funds on the investor’</w:t>
            </w:r>
            <w:r w:rsidRPr="00FA1502">
              <w:rPr>
                <w:rFonts w:ascii="Times New Roman" w:eastAsia="Times New Roman" w:hAnsi="Times New Roman" w:cs="Times New Roman"/>
                <w:sz w:val="24"/>
                <w:szCs w:val="24"/>
                <w:lang w:val="en-GB" w:eastAsia="cs-CZ"/>
              </w:rPr>
              <w:t>s initiative and</w:t>
            </w:r>
            <w:r w:rsidRPr="00FA1502">
              <w:rPr>
                <w:rFonts w:ascii="Times New Roman" w:eastAsia="Times New Roman" w:hAnsi="Times New Roman" w:cs="Times New Roman"/>
                <w:sz w:val="24"/>
                <w:szCs w:val="24"/>
                <w:lang w:val="en-GB" w:eastAsia="cs-CZ"/>
              </w:rPr>
              <w:t xml:space="preserve"> potentially </w:t>
            </w:r>
            <w:r w:rsidRPr="00FA1502">
              <w:rPr>
                <w:rFonts w:ascii="Times New Roman" w:eastAsia="Times New Roman" w:hAnsi="Times New Roman" w:cs="Times New Roman"/>
                <w:sz w:val="24"/>
                <w:szCs w:val="24"/>
                <w:lang w:val="en-GB" w:eastAsia="cs-CZ"/>
              </w:rPr>
              <w:t>propose appropriate regulatory changes to such sales without consulting</w:t>
            </w:r>
            <w:r w:rsidRPr="00FA1502">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Q4 2019</w:t>
            </w:r>
          </w:p>
        </w:tc>
      </w:tr>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98"/>
            </w:r>
            <w:r w:rsidRPr="00FA1502">
              <w:rPr>
                <w:rFonts w:ascii="Wingdings 2" w:eastAsia="Times New Roman" w:hAnsi="Wingdings 2" w:cs="Times New Roman"/>
                <w:color w:val="FF0000"/>
                <w:sz w:val="24"/>
                <w:szCs w:val="24"/>
                <w:lang w:val="en-GB" w:eastAsia="cs-CZ"/>
              </w:rPr>
              <w:sym w:font="Wingdings 2" w:char="F020"/>
            </w:r>
            <w:r w:rsidRPr="00FA1502">
              <w:rPr>
                <w:rFonts w:ascii="Times New Roman" w:eastAsia="Times New Roman" w:hAnsi="Times New Roman" w:cs="Times New Roman"/>
                <w:sz w:val="24"/>
                <w:szCs w:val="24"/>
                <w:lang w:val="en-GB" w:eastAsia="cs-CZ"/>
              </w:rPr>
              <w:t xml:space="preserve">Take into account the topic of capital markets and long-term investment for surplus households as part of the revision of the National </w:t>
            </w:r>
            <w:r w:rsidRPr="00FA1502" w:rsidR="004D6324">
              <w:rPr>
                <w:rFonts w:ascii="Times New Roman" w:eastAsia="Times New Roman" w:hAnsi="Times New Roman" w:cs="Times New Roman"/>
                <w:sz w:val="24"/>
                <w:szCs w:val="24"/>
                <w:lang w:val="en-GB" w:eastAsia="cs-CZ"/>
              </w:rPr>
              <w:t xml:space="preserve">Strategy for </w:t>
            </w:r>
            <w:r w:rsidRPr="00FA1502">
              <w:rPr>
                <w:rFonts w:ascii="Times New Roman" w:eastAsia="Times New Roman" w:hAnsi="Times New Roman" w:cs="Times New Roman"/>
                <w:sz w:val="24"/>
                <w:szCs w:val="24"/>
                <w:lang w:val="en-GB" w:eastAsia="cs-CZ"/>
              </w:rPr>
              <w:t>Finan</w:t>
            </w:r>
            <w:r w:rsidRPr="00FA1502" w:rsidR="004D6324">
              <w:rPr>
                <w:rFonts w:ascii="Times New Roman" w:eastAsia="Times New Roman" w:hAnsi="Times New Roman" w:cs="Times New Roman"/>
                <w:sz w:val="24"/>
                <w:szCs w:val="24"/>
                <w:lang w:val="en-GB" w:eastAsia="cs-CZ"/>
              </w:rPr>
              <w:t>cial Literacy</w:t>
            </w:r>
            <w:r w:rsidR="00A7116F">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Q4 2019</w:t>
            </w:r>
          </w:p>
        </w:tc>
      </w:tr>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98"/>
            </w:r>
            <w:r w:rsidRPr="00FA1502">
              <w:rPr>
                <w:rFonts w:ascii="Wingdings 2" w:eastAsia="Times New Roman" w:hAnsi="Wingdings 2" w:cs="Times New Roman"/>
                <w:color w:val="FF0000"/>
                <w:sz w:val="24"/>
                <w:szCs w:val="24"/>
                <w:lang w:val="en-GB" w:eastAsia="cs-CZ"/>
              </w:rPr>
              <w:sym w:font="Wingdings 2" w:char="F020"/>
            </w:r>
            <w:r w:rsidRPr="00FA1502" w:rsidR="00E76A27">
              <w:rPr>
                <w:rFonts w:ascii="Times New Roman" w:eastAsia="Times New Roman" w:hAnsi="Times New Roman" w:cs="Times New Roman"/>
                <w:sz w:val="24"/>
                <w:szCs w:val="24"/>
                <w:lang w:val="en-GB" w:eastAsia="cs-CZ"/>
              </w:rPr>
              <w:t>A</w:t>
            </w:r>
            <w:r w:rsidRPr="00FA1502">
              <w:rPr>
                <w:rFonts w:ascii="Times New Roman" w:eastAsia="Times New Roman" w:hAnsi="Times New Roman" w:cs="Times New Roman"/>
                <w:sz w:val="24"/>
                <w:szCs w:val="24"/>
                <w:lang w:val="en-GB" w:eastAsia="cs-CZ"/>
              </w:rPr>
              <w:t xml:space="preserve">ctively engage in activities in relation to the examinations of investment advisors so that they </w:t>
            </w:r>
            <w:r w:rsidRPr="00FA1502" w:rsidR="00E76A27">
              <w:rPr>
                <w:rFonts w:ascii="Times New Roman" w:eastAsia="Times New Roman" w:hAnsi="Times New Roman" w:cs="Times New Roman"/>
                <w:sz w:val="24"/>
                <w:szCs w:val="24"/>
                <w:lang w:val="en-GB" w:eastAsia="cs-CZ"/>
              </w:rPr>
              <w:t xml:space="preserve">fulfil </w:t>
            </w:r>
            <w:r w:rsidRPr="00FA1502">
              <w:rPr>
                <w:rFonts w:ascii="Times New Roman" w:eastAsia="Times New Roman" w:hAnsi="Times New Roman" w:cs="Times New Roman"/>
                <w:sz w:val="24"/>
                <w:szCs w:val="24"/>
                <w:lang w:val="en-GB" w:eastAsia="cs-CZ"/>
              </w:rPr>
              <w:t>their purpose, i</w:t>
            </w:r>
            <w:r w:rsidRPr="00FA1502" w:rsidR="00E76A27">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E76A27">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to be effective</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 EFPA Czech Republic, VŠFS, AKAT, CBA, CASAS, Masaryk University, Kahn School, accredited institutions (e</w:t>
            </w:r>
            <w:r w:rsidRPr="00FA1502" w:rsidR="00E76A27">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g</w:t>
            </w:r>
            <w:r w:rsidRPr="00FA1502" w:rsidR="00E76A27">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VECTOR Certification)</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Q4 2019</w:t>
            </w:r>
          </w:p>
        </w:tc>
      </w:tr>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98"/>
            </w:r>
            <w:r w:rsidRPr="00FA1502">
              <w:rPr>
                <w:rFonts w:ascii="Wingdings 2" w:eastAsia="Times New Roman" w:hAnsi="Wingdings 2" w:cs="Times New Roman"/>
                <w:color w:val="FF0000"/>
                <w:sz w:val="24"/>
                <w:szCs w:val="24"/>
                <w:lang w:val="en-GB" w:eastAsia="cs-CZ"/>
              </w:rPr>
              <w:sym w:font="Wingdings 2" w:char="F020"/>
            </w:r>
            <w:r w:rsidRPr="00FA1502">
              <w:rPr>
                <w:rFonts w:ascii="Times New Roman" w:eastAsia="Times New Roman" w:hAnsi="Times New Roman" w:cs="Times New Roman"/>
                <w:sz w:val="24"/>
                <w:szCs w:val="24"/>
                <w:lang w:val="en-GB" w:eastAsia="cs-CZ"/>
              </w:rPr>
              <w:t xml:space="preserve">Create a web-based </w:t>
            </w:r>
            <w:r w:rsidRPr="00FA1502" w:rsidR="00E76A27">
              <w:rPr>
                <w:rFonts w:ascii="Times New Roman" w:eastAsia="Times New Roman" w:hAnsi="Times New Roman" w:cs="Times New Roman"/>
                <w:sz w:val="24"/>
                <w:szCs w:val="24"/>
                <w:lang w:val="en-GB" w:eastAsia="cs-CZ"/>
              </w:rPr>
              <w:t xml:space="preserve">information </w:t>
            </w:r>
            <w:r w:rsidRPr="00FA1502">
              <w:rPr>
                <w:rFonts w:ascii="Times New Roman" w:eastAsia="Times New Roman" w:hAnsi="Times New Roman" w:cs="Times New Roman"/>
                <w:sz w:val="24"/>
                <w:szCs w:val="24"/>
                <w:lang w:val="en-GB" w:eastAsia="cs-CZ"/>
              </w:rPr>
              <w:t xml:space="preserve">guidepost </w:t>
            </w:r>
            <w:r w:rsidRPr="00FA1502" w:rsidR="00BF7642">
              <w:rPr>
                <w:rFonts w:ascii="Times New Roman" w:eastAsia="Times New Roman" w:hAnsi="Times New Roman" w:cs="Times New Roman"/>
                <w:sz w:val="24"/>
                <w:szCs w:val="24"/>
                <w:lang w:val="en-GB" w:eastAsia="cs-CZ"/>
              </w:rPr>
              <w:t>about</w:t>
            </w:r>
            <w:r w:rsidRPr="00FA1502">
              <w:rPr>
                <w:rFonts w:ascii="Times New Roman" w:eastAsia="Times New Roman" w:hAnsi="Times New Roman" w:cs="Times New Roman"/>
                <w:sz w:val="24"/>
                <w:szCs w:val="24"/>
                <w:lang w:val="en-GB" w:eastAsia="cs-CZ"/>
              </w:rPr>
              <w:t xml:space="preserve"> securities and </w:t>
            </w:r>
            <w:r w:rsidRPr="00FA1502" w:rsidR="00BF7642">
              <w:rPr>
                <w:rFonts w:ascii="Times New Roman" w:eastAsia="Times New Roman" w:hAnsi="Times New Roman" w:cs="Times New Roman"/>
                <w:sz w:val="24"/>
                <w:szCs w:val="24"/>
                <w:lang w:val="en-GB" w:eastAsia="cs-CZ"/>
              </w:rPr>
              <w:t xml:space="preserve">their </w:t>
            </w:r>
            <w:r w:rsidRPr="00FA1502">
              <w:rPr>
                <w:rFonts w:ascii="Times New Roman" w:eastAsia="Times New Roman" w:hAnsi="Times New Roman" w:cs="Times New Roman"/>
                <w:sz w:val="24"/>
                <w:szCs w:val="24"/>
                <w:lang w:val="en-GB" w:eastAsia="cs-CZ"/>
              </w:rPr>
              <w:t>issuers</w:t>
            </w:r>
            <w:r w:rsidR="00A7116F">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Q4 2020</w:t>
            </w:r>
          </w:p>
        </w:tc>
      </w:tr>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98"/>
            </w:r>
            <w:r w:rsidRPr="00FA1502">
              <w:rPr>
                <w:rFonts w:ascii="Wingdings 2" w:eastAsia="Times New Roman" w:hAnsi="Wingdings 2" w:cs="Times New Roman"/>
                <w:color w:val="FF0000"/>
                <w:sz w:val="24"/>
                <w:szCs w:val="24"/>
                <w:lang w:val="en-GB" w:eastAsia="cs-CZ"/>
              </w:rPr>
              <w:sym w:font="Wingdings 2" w:char="F020"/>
            </w:r>
            <w:r w:rsidRPr="00FA1502">
              <w:rPr>
                <w:rFonts w:ascii="Times New Roman" w:eastAsia="Times New Roman" w:hAnsi="Times New Roman" w:cs="Times New Roman"/>
                <w:sz w:val="24"/>
                <w:szCs w:val="24"/>
                <w:lang w:val="en-GB" w:eastAsia="cs-CZ"/>
              </w:rPr>
              <w:t xml:space="preserve">Identify and remove barriers to the availability of currency </w:t>
            </w:r>
            <w:r w:rsidRPr="00FA1502">
              <w:rPr>
                <w:rFonts w:ascii="Times New Roman" w:eastAsia="Times New Roman" w:hAnsi="Times New Roman" w:cs="Times New Roman"/>
                <w:i/>
                <w:iCs/>
                <w:sz w:val="24"/>
                <w:szCs w:val="24"/>
                <w:lang w:val="en-GB" w:eastAsia="cs-CZ"/>
              </w:rPr>
              <w:t xml:space="preserve">hedging </w:t>
            </w:r>
            <w:r w:rsidRPr="00FA1502">
              <w:rPr>
                <w:rFonts w:ascii="Times New Roman" w:eastAsia="Times New Roman" w:hAnsi="Times New Roman" w:cs="Times New Roman"/>
                <w:sz w:val="24"/>
                <w:szCs w:val="24"/>
                <w:lang w:val="en-GB" w:eastAsia="cs-CZ"/>
              </w:rPr>
              <w:t>for investors</w:t>
            </w:r>
            <w:r w:rsidRPr="00FA1502">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continuously</w:t>
            </w:r>
          </w:p>
        </w:tc>
      </w:tr>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98"/>
            </w:r>
            <w:r w:rsidRPr="00FA1502">
              <w:rPr>
                <w:rFonts w:ascii="Wingdings 2" w:eastAsia="Times New Roman" w:hAnsi="Wingdings 2" w:cs="Times New Roman"/>
                <w:color w:val="FF0000"/>
                <w:sz w:val="24"/>
                <w:szCs w:val="24"/>
                <w:lang w:val="en-GB" w:eastAsia="cs-CZ"/>
              </w:rPr>
              <w:sym w:font="Wingdings 2" w:char="F020"/>
            </w:r>
            <w:r w:rsidRPr="00FA1502" w:rsidR="00BF7642">
              <w:rPr>
                <w:rFonts w:ascii="Times New Roman" w:eastAsia="Times New Roman" w:hAnsi="Times New Roman" w:cs="Times New Roman"/>
                <w:sz w:val="24"/>
                <w:szCs w:val="24"/>
                <w:lang w:val="en-GB" w:eastAsia="cs-CZ"/>
              </w:rPr>
              <w:t>Further analys</w:t>
            </w:r>
            <w:r w:rsidRPr="00FA1502">
              <w:rPr>
                <w:rFonts w:ascii="Times New Roman" w:eastAsia="Times New Roman" w:hAnsi="Times New Roman" w:cs="Times New Roman"/>
                <w:sz w:val="24"/>
                <w:szCs w:val="24"/>
                <w:lang w:val="en-GB" w:eastAsia="cs-CZ"/>
              </w:rPr>
              <w:t>e whether the legislation effective from June 2019 requires issuers to send to the Central Depository all relevant information and whether this information is properly passed on to the final investors and possibly propose further measures</w:t>
            </w:r>
            <w:r w:rsidR="00A7116F">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MF, </w:t>
            </w:r>
            <w:r w:rsidRPr="00FA1502">
              <w:rPr>
                <w:rFonts w:ascii="Times New Roman" w:eastAsia="Times New Roman" w:hAnsi="Times New Roman" w:cs="Times New Roman"/>
                <w:sz w:val="24"/>
                <w:szCs w:val="24"/>
                <w:lang w:val="en-GB" w:eastAsia="cs-CZ"/>
              </w:rPr>
              <w:t>MSp</w:t>
            </w:r>
            <w:r w:rsidRPr="00FA1502">
              <w:rPr>
                <w:rFonts w:ascii="Times New Roman" w:eastAsia="Times New Roman" w:hAnsi="Times New Roman" w:cs="Times New Roman"/>
                <w:sz w:val="24"/>
                <w:szCs w:val="24"/>
                <w:lang w:val="en-GB" w:eastAsia="cs-CZ"/>
              </w:rPr>
              <w:t>, CDCP</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Q4 2021</w:t>
            </w:r>
          </w:p>
        </w:tc>
      </w:tr>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98"/>
            </w:r>
            <w:r w:rsidRPr="00FA1502">
              <w:rPr>
                <w:rFonts w:ascii="Wingdings 2" w:eastAsia="Times New Roman" w:hAnsi="Wingdings 2" w:cs="Times New Roman"/>
                <w:color w:val="FF0000"/>
                <w:sz w:val="24"/>
                <w:szCs w:val="24"/>
                <w:lang w:val="en-GB" w:eastAsia="cs-CZ"/>
              </w:rPr>
              <w:sym w:font="Wingdings 2" w:char="F020"/>
            </w:r>
            <w:r w:rsidRPr="00FA1502" w:rsidR="00BF7642">
              <w:rPr>
                <w:rFonts w:ascii="Times New Roman" w:eastAsia="Times New Roman" w:hAnsi="Times New Roman" w:cs="Times New Roman"/>
                <w:sz w:val="24"/>
                <w:szCs w:val="24"/>
                <w:lang w:val="en-GB" w:eastAsia="cs-CZ"/>
              </w:rPr>
              <w:t>Analys</w:t>
            </w:r>
            <w:r w:rsidRPr="00FA1502">
              <w:rPr>
                <w:rFonts w:ascii="Times New Roman" w:eastAsia="Times New Roman" w:hAnsi="Times New Roman" w:cs="Times New Roman"/>
                <w:sz w:val="24"/>
                <w:szCs w:val="24"/>
                <w:lang w:val="en-GB" w:eastAsia="cs-CZ"/>
              </w:rPr>
              <w:t>e the possibilities of the most appropriate communication strategy towards SMEs and then implement the recommended measures</w:t>
            </w:r>
            <w:r w:rsidRPr="00FA1502">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MF, European Commission (SRSP), MIT, ME, </w:t>
            </w:r>
            <w:r w:rsidRPr="00FA1502">
              <w:rPr>
                <w:rFonts w:ascii="Times New Roman" w:eastAsia="Times New Roman" w:hAnsi="Times New Roman" w:cs="Times New Roman"/>
                <w:sz w:val="24"/>
                <w:szCs w:val="24"/>
                <w:lang w:val="en-GB" w:eastAsia="cs-CZ"/>
              </w:rPr>
              <w:t>CzechInvest</w:t>
            </w:r>
            <w:r w:rsidRPr="00FA1502">
              <w:rPr>
                <w:rFonts w:ascii="Times New Roman" w:eastAsia="Times New Roman" w:hAnsi="Times New Roman" w:cs="Times New Roman"/>
                <w:sz w:val="24"/>
                <w:szCs w:val="24"/>
                <w:lang w:val="en-GB" w:eastAsia="cs-CZ"/>
              </w:rPr>
              <w:t>, HK ČR, PSE, VŠE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Q4 2019</w:t>
            </w:r>
          </w:p>
        </w:tc>
      </w:tr>
      <w:tr w:rsidTr="00176359">
        <w:tblPrEx>
          <w:tblW w:w="10031" w:type="dxa"/>
          <w:tblCellMar>
            <w:left w:w="0" w:type="dxa"/>
            <w:right w:w="0" w:type="dxa"/>
          </w:tblCellMar>
          <w:tblLook w:val="04A0"/>
        </w:tblPrEx>
        <w:trPr>
          <w:trHeight w:val="672"/>
        </w:trPr>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98"/>
            </w:r>
            <w:r w:rsidRPr="00FA1502">
              <w:rPr>
                <w:rFonts w:ascii="Wingdings 2" w:eastAsia="Times New Roman" w:hAnsi="Wingdings 2" w:cs="Times New Roman"/>
                <w:color w:val="FF0000"/>
                <w:sz w:val="24"/>
                <w:szCs w:val="24"/>
                <w:lang w:val="en-GB" w:eastAsia="cs-CZ"/>
              </w:rPr>
              <w:sym w:font="Wingdings 2" w:char="F020"/>
            </w:r>
            <w:r w:rsidRPr="00FA1502">
              <w:rPr>
                <w:rFonts w:ascii="Times New Roman" w:eastAsia="Times New Roman" w:hAnsi="Times New Roman" w:cs="Times New Roman"/>
                <w:sz w:val="24"/>
                <w:szCs w:val="24"/>
                <w:lang w:val="en-GB" w:eastAsia="cs-CZ"/>
              </w:rPr>
              <w:t xml:space="preserve">Provide time data collection on </w:t>
            </w:r>
            <w:r w:rsidRPr="00FA1502">
              <w:rPr>
                <w:rFonts w:ascii="Times New Roman" w:eastAsia="Times New Roman" w:hAnsi="Times New Roman" w:cs="Times New Roman"/>
                <w:i/>
                <w:iCs/>
                <w:sz w:val="24"/>
                <w:szCs w:val="24"/>
                <w:lang w:val="en-GB" w:eastAsia="cs-CZ"/>
              </w:rPr>
              <w:t xml:space="preserve">business angels </w:t>
            </w:r>
            <w:r w:rsidRPr="00FA1502">
              <w:rPr>
                <w:rFonts w:ascii="Times New Roman" w:eastAsia="Times New Roman" w:hAnsi="Times New Roman" w:cs="Times New Roman"/>
                <w:sz w:val="24"/>
                <w:szCs w:val="24"/>
                <w:lang w:val="en-GB" w:eastAsia="cs-CZ"/>
              </w:rPr>
              <w:t xml:space="preserve">investment activities and update it annually (similar to existing </w:t>
            </w:r>
            <w:r w:rsidRPr="00FA1502">
              <w:rPr>
                <w:rFonts w:ascii="Times New Roman" w:eastAsia="Times New Roman" w:hAnsi="Times New Roman" w:cs="Times New Roman"/>
                <w:i/>
                <w:iCs/>
                <w:sz w:val="24"/>
                <w:szCs w:val="24"/>
                <w:lang w:val="en-GB" w:eastAsia="cs-CZ"/>
              </w:rPr>
              <w:t xml:space="preserve">venture capital </w:t>
            </w:r>
            <w:r w:rsidRPr="00FA1502" w:rsidR="00BF7642">
              <w:rPr>
                <w:rFonts w:ascii="Times New Roman" w:eastAsia="Times New Roman" w:hAnsi="Times New Roman" w:cs="Times New Roman"/>
                <w:sz w:val="24"/>
                <w:szCs w:val="24"/>
                <w:lang w:val="en-GB" w:eastAsia="cs-CZ"/>
              </w:rPr>
              <w:t>market data</w:t>
            </w:r>
            <w:r w:rsidRPr="00FA1502">
              <w:rPr>
                <w:rFonts w:ascii="Times New Roman" w:eastAsia="Times New Roman" w:hAnsi="Times New Roman" w:cs="Times New Roman"/>
                <w:sz w:val="24"/>
                <w:szCs w:val="24"/>
                <w:lang w:val="en-GB" w:eastAsia="cs-CZ"/>
              </w:rPr>
              <w:t>)</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 MIT</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Q4 2019</w:t>
            </w:r>
          </w:p>
        </w:tc>
      </w:tr>
      <w:tr w:rsidTr="00176359">
        <w:tblPrEx>
          <w:tblW w:w="10031" w:type="dxa"/>
          <w:tblCellMar>
            <w:left w:w="0" w:type="dxa"/>
            <w:right w:w="0" w:type="dxa"/>
          </w:tblCellMar>
          <w:tblLook w:val="04A0"/>
        </w:tblPrEx>
        <w:trPr>
          <w:trHeight w:val="853"/>
        </w:trPr>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98"/>
            </w:r>
            <w:r w:rsidRPr="00FA1502">
              <w:rPr>
                <w:rFonts w:ascii="Wingdings 2" w:eastAsia="Times New Roman" w:hAnsi="Wingdings 2" w:cs="Times New Roman"/>
                <w:color w:val="FF0000"/>
                <w:sz w:val="24"/>
                <w:szCs w:val="24"/>
                <w:lang w:val="en-GB" w:eastAsia="cs-CZ"/>
              </w:rPr>
              <w:sym w:font="Wingdings 2" w:char="F020"/>
            </w:r>
            <w:r w:rsidRPr="00FA1502">
              <w:rPr>
                <w:rFonts w:ascii="Times New Roman" w:eastAsia="Times New Roman" w:hAnsi="Times New Roman" w:cs="Times New Roman"/>
                <w:sz w:val="24"/>
                <w:szCs w:val="24"/>
                <w:lang w:val="en-GB" w:eastAsia="cs-CZ"/>
              </w:rPr>
              <w:t xml:space="preserve">Carry out an analysis of taxpayers to quantify the number of individuals in the Czech Republic who have the potential to be a </w:t>
            </w:r>
            <w:r w:rsidRPr="00FA1502">
              <w:rPr>
                <w:rFonts w:ascii="Times New Roman" w:eastAsia="Times New Roman" w:hAnsi="Times New Roman" w:cs="Times New Roman"/>
                <w:i/>
                <w:iCs/>
                <w:sz w:val="24"/>
                <w:szCs w:val="24"/>
                <w:lang w:val="en-GB" w:eastAsia="cs-CZ"/>
              </w:rPr>
              <w:t xml:space="preserve">business angel </w:t>
            </w:r>
            <w:r w:rsidRPr="00FA1502">
              <w:rPr>
                <w:rFonts w:ascii="Times New Roman" w:eastAsia="Times New Roman" w:hAnsi="Times New Roman" w:cs="Times New Roman"/>
                <w:sz w:val="24"/>
                <w:szCs w:val="24"/>
                <w:lang w:val="en-GB" w:eastAsia="cs-CZ"/>
              </w:rPr>
              <w:t>and repeat this analysis annually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 MIT</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Q4 2019</w:t>
            </w:r>
          </w:p>
        </w:tc>
      </w:tr>
      <w:tr w:rsidTr="00176359">
        <w:tblPrEx>
          <w:tblW w:w="10031" w:type="dxa"/>
          <w:tblCellMar>
            <w:left w:w="0" w:type="dxa"/>
            <w:right w:w="0" w:type="dxa"/>
          </w:tblCellMar>
          <w:tblLook w:val="04A0"/>
        </w:tblPrEx>
        <w:trPr>
          <w:trHeight w:val="486"/>
        </w:trPr>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98"/>
            </w:r>
            <w:r w:rsidRPr="00FA1502">
              <w:rPr>
                <w:rFonts w:ascii="Wingdings 2" w:eastAsia="Times New Roman" w:hAnsi="Wingdings 2" w:cs="Times New Roman"/>
                <w:color w:val="FF0000"/>
                <w:sz w:val="24"/>
                <w:szCs w:val="24"/>
                <w:lang w:val="en-GB" w:eastAsia="cs-CZ"/>
              </w:rPr>
              <w:sym w:font="Wingdings 2" w:char="F020"/>
            </w:r>
            <w:r w:rsidRPr="00FA1502">
              <w:rPr>
                <w:rFonts w:ascii="Times New Roman" w:eastAsia="Times New Roman" w:hAnsi="Times New Roman" w:cs="Times New Roman"/>
                <w:sz w:val="24"/>
                <w:szCs w:val="24"/>
                <w:lang w:val="en-GB" w:eastAsia="cs-CZ"/>
              </w:rPr>
              <w:t xml:space="preserve">Provide an annual demand survey of mapping </w:t>
            </w:r>
            <w:r w:rsidRPr="00FA1502">
              <w:rPr>
                <w:rFonts w:ascii="Times New Roman" w:eastAsia="Times New Roman" w:hAnsi="Times New Roman" w:cs="Times New Roman"/>
                <w:i/>
                <w:iCs/>
                <w:sz w:val="24"/>
                <w:szCs w:val="24"/>
                <w:lang w:val="en-GB" w:eastAsia="cs-CZ"/>
              </w:rPr>
              <w:t xml:space="preserve">start-up </w:t>
            </w:r>
            <w:r w:rsidRPr="00FA1502">
              <w:rPr>
                <w:rFonts w:ascii="Times New Roman" w:eastAsia="Times New Roman" w:hAnsi="Times New Roman" w:cs="Times New Roman"/>
                <w:sz w:val="24"/>
                <w:szCs w:val="24"/>
                <w:lang w:val="en-GB" w:eastAsia="cs-CZ"/>
              </w:rPr>
              <w:t xml:space="preserve">founders and entrepreneurs from </w:t>
            </w:r>
            <w:r w:rsidRPr="00FA1502">
              <w:rPr>
                <w:rFonts w:ascii="Times New Roman" w:eastAsia="Times New Roman" w:hAnsi="Times New Roman" w:cs="Times New Roman"/>
                <w:i/>
                <w:iCs/>
                <w:sz w:val="24"/>
                <w:szCs w:val="24"/>
                <w:lang w:val="en-GB" w:eastAsia="cs-CZ"/>
              </w:rPr>
              <w:t>start-ups</w:t>
            </w:r>
            <w:r w:rsidR="00A7116F">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 MIT</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Q4 2019</w:t>
            </w:r>
          </w:p>
        </w:tc>
      </w:tr>
      <w:tr w:rsidTr="00176359">
        <w:tblPrEx>
          <w:tblW w:w="10031" w:type="dxa"/>
          <w:tblCellMar>
            <w:left w:w="0" w:type="dxa"/>
            <w:right w:w="0" w:type="dxa"/>
          </w:tblCellMar>
          <w:tblLook w:val="04A0"/>
        </w:tblPrEx>
        <w:trPr>
          <w:trHeight w:val="380"/>
        </w:trPr>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98"/>
            </w:r>
            <w:r w:rsidRPr="00FA1502">
              <w:rPr>
                <w:rFonts w:ascii="Wingdings 2" w:eastAsia="Times New Roman" w:hAnsi="Wingdings 2" w:cs="Times New Roman"/>
                <w:color w:val="FF0000"/>
                <w:sz w:val="24"/>
                <w:szCs w:val="24"/>
                <w:lang w:val="en-GB" w:eastAsia="cs-CZ"/>
              </w:rPr>
              <w:sym w:font="Wingdings 2" w:char="F020"/>
            </w:r>
            <w:r w:rsidRPr="00FA1502">
              <w:rPr>
                <w:rFonts w:ascii="Times New Roman" w:eastAsia="Times New Roman" w:hAnsi="Times New Roman" w:cs="Times New Roman"/>
                <w:sz w:val="24"/>
                <w:szCs w:val="24"/>
                <w:lang w:val="en-GB" w:eastAsia="cs-CZ"/>
              </w:rPr>
              <w:t xml:space="preserve">Create a Czech National </w:t>
            </w:r>
            <w:r w:rsidRPr="00FA1502">
              <w:rPr>
                <w:rFonts w:ascii="Times New Roman" w:eastAsia="Times New Roman" w:hAnsi="Times New Roman" w:cs="Times New Roman"/>
                <w:i/>
                <w:iCs/>
                <w:sz w:val="24"/>
                <w:szCs w:val="24"/>
                <w:lang w:val="en-GB" w:eastAsia="cs-CZ"/>
              </w:rPr>
              <w:t xml:space="preserve">Business Angels </w:t>
            </w:r>
            <w:r w:rsidRPr="00FA1502">
              <w:rPr>
                <w:rFonts w:ascii="Times New Roman" w:eastAsia="Times New Roman" w:hAnsi="Times New Roman" w:cs="Times New Roman"/>
                <w:sz w:val="24"/>
                <w:szCs w:val="24"/>
                <w:lang w:val="en-GB" w:eastAsia="cs-CZ"/>
              </w:rPr>
              <w:t xml:space="preserve">Association (and become a member of the European </w:t>
            </w:r>
            <w:r w:rsidRPr="00FA1502">
              <w:rPr>
                <w:rFonts w:ascii="Times New Roman" w:eastAsia="Times New Roman" w:hAnsi="Times New Roman" w:cs="Times New Roman"/>
                <w:i/>
                <w:iCs/>
                <w:sz w:val="24"/>
                <w:szCs w:val="24"/>
                <w:lang w:val="en-GB" w:eastAsia="cs-CZ"/>
              </w:rPr>
              <w:t xml:space="preserve">Business Angels Europe </w:t>
            </w:r>
            <w:r w:rsidRPr="00FA1502">
              <w:rPr>
                <w:rFonts w:ascii="Times New Roman" w:eastAsia="Times New Roman" w:hAnsi="Times New Roman" w:cs="Times New Roman"/>
                <w:sz w:val="24"/>
                <w:szCs w:val="24"/>
                <w:lang w:val="en-GB" w:eastAsia="cs-CZ"/>
              </w:rPr>
              <w:t>Confederation)</w:t>
            </w:r>
            <w:r w:rsidRPr="00FA1502">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 MIT</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Q4 2020</w:t>
            </w:r>
          </w:p>
        </w:tc>
      </w:tr>
      <w:tr w:rsidTr="00176359">
        <w:tblPrEx>
          <w:tblW w:w="10031" w:type="dxa"/>
          <w:tblCellMar>
            <w:left w:w="0" w:type="dxa"/>
            <w:right w:w="0" w:type="dxa"/>
          </w:tblCellMar>
          <w:tblLook w:val="04A0"/>
        </w:tblPrEx>
        <w:trPr>
          <w:trHeight w:val="551"/>
        </w:trPr>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w:eastAsia="Times New Roman" w:hAnsi="Wingdings" w:cs="Times New Roman"/>
                <w:color w:val="FF0000"/>
                <w:sz w:val="24"/>
                <w:szCs w:val="24"/>
                <w:lang w:val="en-GB" w:eastAsia="cs-CZ"/>
              </w:rPr>
              <w:sym w:font="Wingdings" w:char="F0E8"/>
            </w:r>
            <w:r w:rsidRPr="00FA1502">
              <w:rPr>
                <w:rFonts w:ascii="Wingdings" w:eastAsia="Times New Roman" w:hAnsi="Wingdings" w:cs="Times New Roman"/>
                <w:color w:val="FF0000"/>
                <w:sz w:val="24"/>
                <w:szCs w:val="24"/>
                <w:lang w:val="en-GB" w:eastAsia="cs-CZ"/>
              </w:rPr>
              <w:sym w:font="Wingdings" w:char="F020"/>
            </w:r>
            <w:r w:rsidRPr="00FA1502">
              <w:rPr>
                <w:rFonts w:ascii="Times New Roman" w:eastAsia="Times New Roman" w:hAnsi="Times New Roman" w:cs="Times New Roman"/>
                <w:sz w:val="24"/>
                <w:szCs w:val="24"/>
                <w:lang w:val="en-GB" w:eastAsia="cs-CZ"/>
              </w:rPr>
              <w:t xml:space="preserve">Introduce a system of self-certification for </w:t>
            </w:r>
            <w:r w:rsidRPr="00FA1502">
              <w:rPr>
                <w:rFonts w:ascii="Times New Roman" w:eastAsia="Times New Roman" w:hAnsi="Times New Roman" w:cs="Times New Roman"/>
                <w:i/>
                <w:iCs/>
                <w:sz w:val="24"/>
                <w:szCs w:val="24"/>
                <w:lang w:val="en-GB" w:eastAsia="cs-CZ"/>
              </w:rPr>
              <w:t xml:space="preserve">business angels </w:t>
            </w:r>
            <w:r w:rsidRPr="00FA1502">
              <w:rPr>
                <w:rFonts w:ascii="Times New Roman" w:eastAsia="Times New Roman" w:hAnsi="Times New Roman" w:cs="Times New Roman"/>
                <w:sz w:val="24"/>
                <w:szCs w:val="24"/>
                <w:lang w:val="en-GB" w:eastAsia="cs-CZ"/>
              </w:rPr>
              <w:t>in the Czech Republic.</w:t>
            </w:r>
            <w:r w:rsidRPr="00FA1502">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 MIT</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Q4 2021</w:t>
            </w:r>
          </w:p>
        </w:tc>
      </w:tr>
      <w:tr w:rsidTr="00176359">
        <w:tblPrEx>
          <w:tblW w:w="10031" w:type="dxa"/>
          <w:tblCellMar>
            <w:left w:w="0" w:type="dxa"/>
            <w:right w:w="0" w:type="dxa"/>
          </w:tblCellMar>
          <w:tblLook w:val="04A0"/>
        </w:tblPrEx>
        <w:trPr>
          <w:trHeight w:val="487"/>
        </w:trPr>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w:eastAsia="Times New Roman" w:hAnsi="Wingdings" w:cs="Times New Roman"/>
                <w:color w:val="FF0000"/>
                <w:sz w:val="24"/>
                <w:szCs w:val="24"/>
                <w:lang w:val="en-GB" w:eastAsia="cs-CZ"/>
              </w:rPr>
              <w:sym w:font="Wingdings" w:char="F0E8"/>
            </w:r>
            <w:r w:rsidRPr="00FA1502">
              <w:rPr>
                <w:rFonts w:ascii="Wingdings" w:eastAsia="Times New Roman" w:hAnsi="Wingdings" w:cs="Times New Roman"/>
                <w:color w:val="FF0000"/>
                <w:sz w:val="24"/>
                <w:szCs w:val="24"/>
                <w:lang w:val="en-GB" w:eastAsia="cs-CZ"/>
              </w:rPr>
              <w:sym w:font="Wingdings" w:char="F020"/>
            </w:r>
            <w:r w:rsidRPr="00FA1502" w:rsidR="008E07B3">
              <w:rPr>
                <w:rFonts w:ascii="Times New Roman" w:eastAsia="Times New Roman" w:hAnsi="Times New Roman" w:cs="Times New Roman"/>
                <w:sz w:val="24"/>
                <w:szCs w:val="24"/>
                <w:lang w:val="en-GB" w:eastAsia="cs-CZ"/>
              </w:rPr>
              <w:t>Analys</w:t>
            </w:r>
            <w:r w:rsidRPr="00FA1502">
              <w:rPr>
                <w:rFonts w:ascii="Times New Roman" w:eastAsia="Times New Roman" w:hAnsi="Times New Roman" w:cs="Times New Roman"/>
                <w:sz w:val="24"/>
                <w:szCs w:val="24"/>
                <w:lang w:val="en-GB" w:eastAsia="cs-CZ"/>
              </w:rPr>
              <w:t xml:space="preserve">e the possibilities of development of investment </w:t>
            </w:r>
            <w:r w:rsidRPr="00FA1502">
              <w:rPr>
                <w:rFonts w:ascii="Times New Roman" w:eastAsia="Times New Roman" w:hAnsi="Times New Roman" w:cs="Times New Roman"/>
                <w:i/>
                <w:iCs/>
                <w:sz w:val="24"/>
                <w:szCs w:val="24"/>
                <w:lang w:val="en-GB" w:eastAsia="cs-CZ"/>
              </w:rPr>
              <w:t xml:space="preserve">crowdfunding </w:t>
            </w:r>
            <w:r w:rsidRPr="00FA1502">
              <w:rPr>
                <w:rFonts w:ascii="Times New Roman" w:eastAsia="Times New Roman" w:hAnsi="Times New Roman" w:cs="Times New Roman"/>
                <w:sz w:val="24"/>
                <w:szCs w:val="24"/>
                <w:lang w:val="en-GB" w:eastAsia="cs-CZ"/>
              </w:rPr>
              <w:t>in the Czech Republic and possibly propose further measures</w:t>
            </w:r>
            <w:r w:rsidRPr="00FA1502">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MF, MIT, </w:t>
            </w:r>
            <w:r w:rsidRPr="00FA1502">
              <w:rPr>
                <w:rFonts w:ascii="Times New Roman" w:eastAsia="Times New Roman" w:hAnsi="Times New Roman" w:cs="Times New Roman"/>
                <w:sz w:val="24"/>
                <w:szCs w:val="24"/>
                <w:lang w:val="en-GB" w:eastAsia="cs-CZ"/>
              </w:rPr>
              <w:t>Fundlift</w:t>
            </w:r>
            <w:r w:rsidRPr="00FA1502">
              <w:rPr>
                <w:rFonts w:ascii="Times New Roman" w:eastAsia="Times New Roman" w:hAnsi="Times New Roman" w:cs="Times New Roman"/>
                <w:sz w:val="24"/>
                <w:szCs w:val="24"/>
                <w:lang w:val="en-GB" w:eastAsia="cs-CZ"/>
              </w:rPr>
              <w:t>, Czech Fintech Association</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continuously</w:t>
            </w:r>
          </w:p>
        </w:tc>
      </w:tr>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DF"/>
            </w:r>
            <w:r w:rsidRPr="00FA1502">
              <w:rPr>
                <w:rFonts w:ascii="Wingdings 2" w:eastAsia="Times New Roman" w:hAnsi="Wingdings 2" w:cs="Times New Roman"/>
                <w:color w:val="FF0000"/>
                <w:sz w:val="24"/>
                <w:szCs w:val="24"/>
                <w:lang w:val="en-GB" w:eastAsia="cs-CZ"/>
              </w:rPr>
              <w:sym w:font="Wingdings 2" w:char="F020"/>
            </w:r>
            <w:r w:rsidRPr="00FA1502">
              <w:rPr>
                <w:rFonts w:ascii="Times New Roman" w:eastAsia="Times New Roman" w:hAnsi="Times New Roman" w:cs="Times New Roman"/>
                <w:sz w:val="24"/>
                <w:szCs w:val="24"/>
                <w:lang w:val="en-GB" w:eastAsia="cs-CZ"/>
              </w:rPr>
              <w:t>Consider introducing a simpler form of joint-stock company and, if necessary, propose the necessary legislative changes</w:t>
            </w:r>
            <w:r w:rsidRPr="00FA1502">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MF, </w:t>
            </w:r>
            <w:r w:rsidRPr="00FA1502">
              <w:rPr>
                <w:rFonts w:ascii="Times New Roman" w:eastAsia="Times New Roman" w:hAnsi="Times New Roman" w:cs="Times New Roman"/>
                <w:sz w:val="24"/>
                <w:szCs w:val="24"/>
                <w:lang w:val="en-GB" w:eastAsia="cs-CZ"/>
              </w:rPr>
              <w:t>MSp</w:t>
            </w:r>
            <w:r w:rsidRPr="00FA1502">
              <w:rPr>
                <w:rFonts w:ascii="Times New Roman" w:eastAsia="Times New Roman" w:hAnsi="Times New Roman" w:cs="Times New Roman"/>
                <w:sz w:val="24"/>
                <w:szCs w:val="24"/>
                <w:lang w:val="en-GB" w:eastAsia="cs-CZ"/>
              </w:rPr>
              <w:t>, MPO</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Q4 2020</w:t>
            </w:r>
          </w:p>
        </w:tc>
      </w:tr>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98"/>
            </w:r>
            <w:r w:rsidRPr="00FA1502">
              <w:rPr>
                <w:rFonts w:ascii="Wingdings 2" w:eastAsia="Times New Roman" w:hAnsi="Wingdings 2" w:cs="Times New Roman"/>
                <w:color w:val="FF0000"/>
                <w:sz w:val="24"/>
                <w:szCs w:val="24"/>
                <w:lang w:val="en-GB" w:eastAsia="cs-CZ"/>
              </w:rPr>
              <w:sym w:font="Wingdings 2" w:char="F020"/>
            </w:r>
            <w:r w:rsidRPr="00FA1502">
              <w:rPr>
                <w:rFonts w:ascii="Times New Roman" w:eastAsia="Times New Roman" w:hAnsi="Times New Roman" w:cs="Times New Roman"/>
                <w:sz w:val="24"/>
                <w:szCs w:val="24"/>
                <w:lang w:val="en-GB" w:eastAsia="cs-CZ"/>
              </w:rPr>
              <w:t>Promote disclosure of documents in English by issuers of securities, in particular in relation to listed issuers</w:t>
            </w:r>
            <w:r w:rsidR="00A7116F">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continuously</w:t>
            </w:r>
          </w:p>
        </w:tc>
      </w:tr>
      <w:tr w:rsidTr="00176359">
        <w:tblPrEx>
          <w:tblW w:w="10031" w:type="dxa"/>
          <w:tblCellMar>
            <w:left w:w="0" w:type="dxa"/>
            <w:right w:w="0" w:type="dxa"/>
          </w:tblCellMar>
          <w:tblLook w:val="04A0"/>
        </w:tblPrEx>
        <w:trPr>
          <w:trHeight w:val="610"/>
        </w:trPr>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DF"/>
            </w:r>
            <w:r w:rsidRPr="00FA1502">
              <w:rPr>
                <w:rFonts w:ascii="Wingdings 2" w:eastAsia="Times New Roman" w:hAnsi="Wingdings 2" w:cs="Times New Roman"/>
                <w:color w:val="FF0000"/>
                <w:sz w:val="24"/>
                <w:szCs w:val="24"/>
                <w:lang w:val="en-GB" w:eastAsia="cs-CZ"/>
              </w:rPr>
              <w:sym w:font="Wingdings 2" w:char="F020"/>
            </w:r>
            <w:r w:rsidRPr="00FA1502">
              <w:rPr>
                <w:rFonts w:ascii="Times New Roman" w:eastAsia="Times New Roman" w:hAnsi="Times New Roman" w:cs="Times New Roman"/>
                <w:sz w:val="24"/>
                <w:szCs w:val="24"/>
                <w:lang w:val="en-GB" w:eastAsia="cs-CZ"/>
              </w:rPr>
              <w:t>Revise Czech accounting regulations with respect to IFRS and evaluate the possibility of using IFRS for tax purposes</w:t>
            </w:r>
            <w:r w:rsidR="00A7116F">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Q4 2021</w:t>
            </w:r>
          </w:p>
        </w:tc>
      </w:tr>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98"/>
            </w:r>
            <w:r w:rsidRPr="00FA1502">
              <w:rPr>
                <w:rFonts w:ascii="Wingdings 2" w:eastAsia="Times New Roman" w:hAnsi="Wingdings 2" w:cs="Times New Roman"/>
                <w:color w:val="FF0000"/>
                <w:sz w:val="24"/>
                <w:szCs w:val="24"/>
                <w:lang w:val="en-GB" w:eastAsia="cs-CZ"/>
              </w:rPr>
              <w:sym w:font="Wingdings 2" w:char="F020"/>
            </w:r>
            <w:r w:rsidRPr="00FA1502">
              <w:rPr>
                <w:rFonts w:ascii="Times New Roman" w:eastAsia="Times New Roman" w:hAnsi="Times New Roman" w:cs="Times New Roman"/>
                <w:sz w:val="24"/>
                <w:szCs w:val="24"/>
                <w:lang w:val="en-GB" w:eastAsia="cs-CZ"/>
              </w:rPr>
              <w:t>Encourage the creation and use of a corporate governance score</w:t>
            </w:r>
            <w:r w:rsidRPr="00FA1502" w:rsidR="00727160">
              <w:rPr>
                <w:rFonts w:ascii="Times New Roman" w:eastAsia="Times New Roman" w:hAnsi="Times New Roman" w:cs="Times New Roman"/>
                <w:sz w:val="24"/>
                <w:szCs w:val="24"/>
                <w:lang w:val="en-GB" w:eastAsia="cs-CZ"/>
              </w:rPr>
              <w:t>card</w:t>
            </w:r>
            <w:r w:rsidRPr="00FA1502">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MF, </w:t>
            </w:r>
            <w:r w:rsidRPr="00FA1502">
              <w:rPr>
                <w:rFonts w:ascii="Times New Roman" w:eastAsia="Times New Roman" w:hAnsi="Times New Roman" w:cs="Times New Roman"/>
                <w:sz w:val="24"/>
                <w:szCs w:val="24"/>
                <w:lang w:val="en-GB" w:eastAsia="cs-CZ"/>
              </w:rPr>
              <w:t>MSp</w:t>
            </w:r>
            <w:r w:rsidRPr="00FA1502">
              <w:rPr>
                <w:rFonts w:ascii="Times New Roman" w:eastAsia="Times New Roman" w:hAnsi="Times New Roman" w:cs="Times New Roman"/>
                <w:sz w:val="24"/>
                <w:szCs w:val="24"/>
                <w:lang w:val="en-GB" w:eastAsia="cs-CZ"/>
              </w:rPr>
              <w:t>, PSE</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Q4 2020</w:t>
            </w:r>
          </w:p>
        </w:tc>
      </w:tr>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98"/>
            </w:r>
            <w:r w:rsidRPr="00FA1502">
              <w:rPr>
                <w:rFonts w:ascii="Wingdings 2" w:eastAsia="Times New Roman" w:hAnsi="Wingdings 2" w:cs="Times New Roman"/>
                <w:color w:val="FF0000"/>
                <w:sz w:val="24"/>
                <w:szCs w:val="24"/>
                <w:lang w:val="en-GB" w:eastAsia="cs-CZ"/>
              </w:rPr>
              <w:sym w:font="Wingdings 2" w:char="F020"/>
            </w:r>
            <w:r w:rsidRPr="00FA1502" w:rsidR="00AA5AD5">
              <w:rPr>
                <w:rFonts w:ascii="Times New Roman" w:eastAsia="Times New Roman" w:hAnsi="Times New Roman" w:cs="Times New Roman"/>
                <w:sz w:val="24"/>
                <w:szCs w:val="24"/>
                <w:lang w:val="en-GB" w:eastAsia="cs-CZ"/>
              </w:rPr>
              <w:t>Analys</w:t>
            </w:r>
            <w:r w:rsidRPr="00FA1502">
              <w:rPr>
                <w:rFonts w:ascii="Times New Roman" w:eastAsia="Times New Roman" w:hAnsi="Times New Roman" w:cs="Times New Roman"/>
                <w:sz w:val="24"/>
                <w:szCs w:val="24"/>
                <w:lang w:val="en-GB" w:eastAsia="cs-CZ"/>
              </w:rPr>
              <w:t>e the possibilities of money market development in the Czech Republic and possibly propose further measures</w:t>
            </w:r>
            <w:r w:rsidR="00A7116F">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 CNB</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Q4 2019</w:t>
            </w:r>
          </w:p>
        </w:tc>
      </w:tr>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w:eastAsia="Times New Roman" w:hAnsi="Wingdings" w:cs="Times New Roman"/>
                <w:color w:val="FF0000"/>
                <w:sz w:val="24"/>
                <w:szCs w:val="24"/>
                <w:lang w:val="en-GB" w:eastAsia="cs-CZ"/>
              </w:rPr>
              <w:sym w:font="Wingdings" w:char="F0E8"/>
            </w:r>
            <w:r w:rsidRPr="00FA1502">
              <w:rPr>
                <w:rFonts w:ascii="Wingdings" w:eastAsia="Times New Roman" w:hAnsi="Wingdings" w:cs="Times New Roman"/>
                <w:color w:val="FF0000"/>
                <w:sz w:val="24"/>
                <w:szCs w:val="24"/>
                <w:lang w:val="en-GB" w:eastAsia="cs-CZ"/>
              </w:rPr>
              <w:sym w:font="Wingdings" w:char="F020"/>
            </w:r>
            <w:r w:rsidRPr="00FA1502">
              <w:rPr>
                <w:rFonts w:ascii="Times New Roman" w:eastAsia="Times New Roman" w:hAnsi="Times New Roman" w:cs="Times New Roman"/>
                <w:sz w:val="24"/>
                <w:szCs w:val="24"/>
                <w:lang w:val="en-GB" w:eastAsia="cs-CZ"/>
              </w:rPr>
              <w:t>Propose the introduction of a new participation fund with higher management fees, which will be able to invest in alternative assets (e</w:t>
            </w:r>
            <w:r w:rsidRPr="00FA1502" w:rsidR="00B62BFB">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g</w:t>
            </w:r>
            <w:r w:rsidRPr="00FA1502" w:rsidR="00B62BFB">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iCs/>
                <w:sz w:val="24"/>
                <w:szCs w:val="24"/>
                <w:lang w:val="en-GB" w:eastAsia="cs-CZ"/>
              </w:rPr>
              <w:t>private equity</w:t>
            </w:r>
            <w:r w:rsidRPr="00FA1502">
              <w:rPr>
                <w:rFonts w:ascii="Times New Roman" w:eastAsia="Times New Roman" w:hAnsi="Times New Roman" w:cs="Times New Roman"/>
                <w:i/>
                <w:iCs/>
                <w:sz w:val="24"/>
                <w:szCs w:val="24"/>
                <w:lang w:val="en-GB" w:eastAsia="cs-CZ"/>
              </w:rPr>
              <w:t xml:space="preserve"> </w:t>
            </w:r>
            <w:r w:rsidRPr="00FA1502">
              <w:rPr>
                <w:rFonts w:ascii="Times New Roman" w:eastAsia="Times New Roman" w:hAnsi="Times New Roman" w:cs="Times New Roman"/>
                <w:sz w:val="24"/>
                <w:szCs w:val="24"/>
                <w:lang w:val="en-GB" w:eastAsia="cs-CZ"/>
              </w:rPr>
              <w:t>funds)</w:t>
            </w:r>
            <w:r w:rsidR="00A7116F">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Q4 2019</w:t>
            </w:r>
          </w:p>
        </w:tc>
      </w:tr>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DF"/>
            </w:r>
            <w:r w:rsidRPr="00FA1502">
              <w:rPr>
                <w:rFonts w:ascii="Wingdings 2" w:eastAsia="Times New Roman" w:hAnsi="Wingdings 2" w:cs="Times New Roman"/>
                <w:color w:val="FF0000"/>
                <w:sz w:val="24"/>
                <w:szCs w:val="24"/>
                <w:lang w:val="en-GB" w:eastAsia="cs-CZ"/>
              </w:rPr>
              <w:sym w:font="Wingdings 2" w:char="F020"/>
            </w:r>
            <w:r w:rsidRPr="00FA1502">
              <w:rPr>
                <w:rFonts w:ascii="Wingdings" w:eastAsia="Times New Roman" w:hAnsi="Wingdings" w:cs="Times New Roman"/>
                <w:color w:val="FF0000"/>
                <w:sz w:val="24"/>
                <w:szCs w:val="24"/>
                <w:lang w:val="en-GB" w:eastAsia="cs-CZ"/>
              </w:rPr>
              <w:sym w:font="Wingdings" w:char="F0E8"/>
            </w:r>
            <w:r w:rsidRPr="00FA1502">
              <w:rPr>
                <w:rFonts w:ascii="Wingdings" w:eastAsia="Times New Roman" w:hAnsi="Wingdings" w:cs="Times New Roman"/>
                <w:color w:val="FF0000"/>
                <w:sz w:val="24"/>
                <w:szCs w:val="24"/>
                <w:lang w:val="en-GB" w:eastAsia="cs-CZ"/>
              </w:rPr>
              <w:sym w:font="Wingdings" w:char="F020"/>
            </w:r>
            <w:r w:rsidRPr="00FA1502" w:rsidR="00B62BFB">
              <w:rPr>
                <w:rFonts w:ascii="Times New Roman" w:eastAsia="Times New Roman" w:hAnsi="Times New Roman" w:cs="Times New Roman"/>
                <w:sz w:val="24"/>
                <w:szCs w:val="24"/>
                <w:lang w:val="en-GB" w:eastAsia="cs-CZ"/>
              </w:rPr>
              <w:t>R</w:t>
            </w:r>
            <w:r w:rsidRPr="00FA1502">
              <w:rPr>
                <w:rFonts w:ascii="Times New Roman" w:eastAsia="Times New Roman" w:hAnsi="Times New Roman" w:cs="Times New Roman"/>
                <w:sz w:val="24"/>
                <w:szCs w:val="24"/>
                <w:lang w:val="en-GB" w:eastAsia="cs-CZ"/>
              </w:rPr>
              <w:t xml:space="preserve">evise the system of state aid in relation to pension funds so that the participants were motivated to higher monthly </w:t>
            </w:r>
            <w:r w:rsidRPr="00FA1502" w:rsidR="00B62BFB">
              <w:rPr>
                <w:rFonts w:ascii="Times New Roman" w:eastAsia="Times New Roman" w:hAnsi="Times New Roman" w:cs="Times New Roman"/>
                <w:sz w:val="24"/>
                <w:szCs w:val="24"/>
                <w:lang w:val="en-GB" w:eastAsia="cs-CZ"/>
              </w:rPr>
              <w:t>contributions</w:t>
            </w:r>
            <w:r w:rsidRPr="00FA1502">
              <w:rPr>
                <w:rFonts w:ascii="Times New Roman" w:eastAsia="Times New Roman" w:hAnsi="Times New Roman" w:cs="Times New Roman"/>
                <w:sz w:val="24"/>
                <w:szCs w:val="24"/>
                <w:lang w:val="en-GB" w:eastAsia="cs-CZ"/>
              </w:rPr>
              <w:t xml:space="preserve"> to transfer accumulated funds from the transformed funds to </w:t>
            </w:r>
            <w:r w:rsidRPr="00FA1502">
              <w:rPr>
                <w:rFonts w:ascii="Times New Roman" w:eastAsia="Times New Roman" w:hAnsi="Times New Roman" w:cs="Times New Roman"/>
                <w:sz w:val="24"/>
                <w:szCs w:val="24"/>
                <w:lang w:val="en-GB" w:eastAsia="cs-CZ"/>
              </w:rPr>
              <w:t>participati</w:t>
            </w:r>
            <w:r w:rsidRPr="00FA1502" w:rsidR="00FA32A8">
              <w:rPr>
                <w:rFonts w:ascii="Times New Roman" w:eastAsia="Times New Roman" w:hAnsi="Times New Roman" w:cs="Times New Roman"/>
                <w:sz w:val="24"/>
                <w:szCs w:val="24"/>
                <w:lang w:val="en-GB" w:eastAsia="cs-CZ"/>
              </w:rPr>
              <w:t>on</w:t>
            </w:r>
            <w:r w:rsidRPr="00FA1502">
              <w:rPr>
                <w:rFonts w:ascii="Times New Roman" w:eastAsia="Times New Roman" w:hAnsi="Times New Roman" w:cs="Times New Roman"/>
                <w:sz w:val="24"/>
                <w:szCs w:val="24"/>
                <w:lang w:val="en-GB" w:eastAsia="cs-CZ"/>
              </w:rPr>
              <w:t xml:space="preserve"> funds and also consider limitation of </w:t>
            </w:r>
            <w:r w:rsidRPr="00FA1502" w:rsidR="00BC3DAE">
              <w:rPr>
                <w:rFonts w:ascii="Times New Roman" w:eastAsia="Times New Roman" w:hAnsi="Times New Roman" w:cs="Times New Roman"/>
                <w:sz w:val="24"/>
                <w:szCs w:val="24"/>
                <w:lang w:val="en-GB" w:eastAsia="cs-CZ"/>
              </w:rPr>
              <w:t xml:space="preserve">provision of </w:t>
            </w:r>
            <w:r w:rsidRPr="00FA1502">
              <w:rPr>
                <w:rFonts w:ascii="Times New Roman" w:eastAsia="Times New Roman" w:hAnsi="Times New Roman" w:cs="Times New Roman"/>
                <w:sz w:val="24"/>
                <w:szCs w:val="24"/>
                <w:lang w:val="en-GB" w:eastAsia="cs-CZ"/>
              </w:rPr>
              <w:t xml:space="preserve">state aid </w:t>
            </w:r>
            <w:r w:rsidRPr="00FA1502" w:rsidR="00BC3DAE">
              <w:rPr>
                <w:rFonts w:ascii="Times New Roman" w:eastAsia="Times New Roman" w:hAnsi="Times New Roman" w:cs="Times New Roman"/>
                <w:sz w:val="24"/>
                <w:szCs w:val="24"/>
                <w:lang w:val="en-GB" w:eastAsia="cs-CZ"/>
              </w:rPr>
              <w:t xml:space="preserve">by </w:t>
            </w:r>
            <w:r w:rsidRPr="00FA1502">
              <w:rPr>
                <w:rFonts w:ascii="Times New Roman" w:eastAsia="Times New Roman" w:hAnsi="Times New Roman" w:cs="Times New Roman"/>
                <w:sz w:val="24"/>
                <w:szCs w:val="24"/>
                <w:lang w:val="en-GB" w:eastAsia="cs-CZ"/>
              </w:rPr>
              <w:t>the age of the participant</w:t>
            </w:r>
            <w:r w:rsidR="00A7116F">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Q4 2019</w:t>
            </w:r>
          </w:p>
        </w:tc>
      </w:tr>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w:eastAsia="Times New Roman" w:hAnsi="Wingdings" w:cs="Times New Roman"/>
                <w:color w:val="FF0000"/>
                <w:sz w:val="24"/>
                <w:szCs w:val="24"/>
                <w:lang w:val="en-GB" w:eastAsia="cs-CZ"/>
              </w:rPr>
              <w:sym w:font="Wingdings" w:char="F0E8"/>
            </w:r>
            <w:r w:rsidRPr="00FA1502">
              <w:rPr>
                <w:rFonts w:ascii="Wingdings" w:eastAsia="Times New Roman" w:hAnsi="Wingdings" w:cs="Times New Roman"/>
                <w:color w:val="FF0000"/>
                <w:sz w:val="24"/>
                <w:szCs w:val="24"/>
                <w:lang w:val="en-GB" w:eastAsia="cs-CZ"/>
              </w:rPr>
              <w:sym w:font="Wingdings" w:char="F020"/>
            </w:r>
            <w:r w:rsidRPr="00FA1502">
              <w:rPr>
                <w:rFonts w:ascii="Times New Roman" w:eastAsia="Times New Roman" w:hAnsi="Times New Roman" w:cs="Times New Roman"/>
                <w:sz w:val="24"/>
                <w:szCs w:val="24"/>
                <w:lang w:val="en-GB" w:eastAsia="cs-CZ"/>
              </w:rPr>
              <w:t>Allow the creation of sub-funds for legal forms other than the SICAV</w:t>
            </w:r>
            <w:r w:rsidRPr="00FA1502">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Q4 2019</w:t>
            </w:r>
          </w:p>
        </w:tc>
      </w:tr>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DF"/>
            </w:r>
            <w:r w:rsidRPr="00FA1502">
              <w:rPr>
                <w:rFonts w:ascii="Wingdings 2" w:eastAsia="Times New Roman" w:hAnsi="Wingdings 2" w:cs="Times New Roman"/>
                <w:color w:val="FF0000"/>
                <w:sz w:val="24"/>
                <w:szCs w:val="24"/>
                <w:lang w:val="en-GB" w:eastAsia="cs-CZ"/>
              </w:rPr>
              <w:sym w:font="Wingdings 2" w:char="F020"/>
            </w:r>
            <w:r w:rsidRPr="00FA1502">
              <w:rPr>
                <w:rFonts w:ascii="Times New Roman" w:eastAsia="Times New Roman" w:hAnsi="Times New Roman" w:cs="Times New Roman"/>
                <w:sz w:val="24"/>
                <w:szCs w:val="24"/>
                <w:lang w:val="en-GB" w:eastAsia="cs-CZ"/>
              </w:rPr>
              <w:t>Enable the retention of the so-called time test also for the transition between sub-funds of one SICAV</w:t>
            </w:r>
            <w:r w:rsidR="00A7116F">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Q4 2020</w:t>
            </w:r>
          </w:p>
        </w:tc>
      </w:tr>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w:eastAsia="Times New Roman" w:hAnsi="Wingdings" w:cs="Times New Roman"/>
                <w:color w:val="FF0000"/>
                <w:sz w:val="24"/>
                <w:szCs w:val="24"/>
                <w:lang w:val="en-GB" w:eastAsia="cs-CZ"/>
              </w:rPr>
              <w:sym w:font="Wingdings" w:char="F0E8"/>
            </w:r>
            <w:r w:rsidRPr="00FA1502">
              <w:rPr>
                <w:rFonts w:ascii="Wingdings" w:eastAsia="Times New Roman" w:hAnsi="Wingdings" w:cs="Times New Roman"/>
                <w:color w:val="FF0000"/>
                <w:sz w:val="24"/>
                <w:szCs w:val="24"/>
                <w:lang w:val="en-GB" w:eastAsia="cs-CZ"/>
              </w:rPr>
              <w:sym w:font="Wingdings" w:char="F020"/>
            </w:r>
            <w:r w:rsidRPr="00FA1502">
              <w:rPr>
                <w:rFonts w:ascii="Times New Roman" w:eastAsia="Times New Roman" w:hAnsi="Times New Roman" w:cs="Times New Roman"/>
                <w:sz w:val="24"/>
                <w:szCs w:val="24"/>
                <w:lang w:val="en-GB" w:eastAsia="cs-CZ"/>
              </w:rPr>
              <w:t>Encourage the use of the XML format when searching for financial assets</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MF, </w:t>
            </w:r>
            <w:r w:rsidRPr="00FA1502">
              <w:rPr>
                <w:rFonts w:ascii="Times New Roman" w:eastAsia="Times New Roman" w:hAnsi="Times New Roman" w:cs="Times New Roman"/>
                <w:sz w:val="24"/>
                <w:szCs w:val="24"/>
                <w:lang w:val="en-GB" w:eastAsia="cs-CZ"/>
              </w:rPr>
              <w:t>MSp</w:t>
            </w:r>
            <w:r w:rsidRPr="00FA1502">
              <w:rPr>
                <w:rFonts w:ascii="Times New Roman" w:eastAsia="Times New Roman" w:hAnsi="Times New Roman" w:cs="Times New Roman"/>
                <w:sz w:val="24"/>
                <w:szCs w:val="24"/>
                <w:lang w:val="en-GB" w:eastAsia="cs-CZ"/>
              </w:rPr>
              <w:t>, GFD, Chamber of Executors, CDCP, Notarial Chamber</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Q4 2019</w:t>
            </w:r>
          </w:p>
        </w:tc>
      </w:tr>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DF"/>
            </w:r>
            <w:r w:rsidRPr="00FA1502">
              <w:rPr>
                <w:rFonts w:ascii="Wingdings 2" w:eastAsia="Times New Roman" w:hAnsi="Wingdings 2" w:cs="Times New Roman"/>
                <w:color w:val="FF0000"/>
                <w:sz w:val="24"/>
                <w:szCs w:val="24"/>
                <w:lang w:val="en-GB" w:eastAsia="cs-CZ"/>
              </w:rPr>
              <w:sym w:font="Wingdings 2" w:char="F020"/>
            </w:r>
            <w:r w:rsidRPr="00FA1502" w:rsidR="00B475A4">
              <w:rPr>
                <w:rFonts w:ascii="Times New Roman" w:eastAsia="Times New Roman" w:hAnsi="Times New Roman" w:cs="Times New Roman"/>
                <w:sz w:val="24"/>
                <w:szCs w:val="24"/>
                <w:lang w:val="en-GB" w:eastAsia="cs-CZ"/>
              </w:rPr>
              <w:t>C</w:t>
            </w:r>
            <w:r w:rsidRPr="00FA1502">
              <w:rPr>
                <w:rFonts w:ascii="Times New Roman" w:eastAsia="Times New Roman" w:hAnsi="Times New Roman" w:cs="Times New Roman"/>
                <w:sz w:val="24"/>
                <w:szCs w:val="24"/>
                <w:lang w:val="en-GB" w:eastAsia="cs-CZ"/>
              </w:rPr>
              <w:t xml:space="preserve">onsider </w:t>
            </w:r>
            <w:r w:rsidRPr="00FA1502" w:rsidR="00B475A4">
              <w:rPr>
                <w:rFonts w:ascii="Times New Roman" w:eastAsia="Times New Roman" w:hAnsi="Times New Roman" w:cs="Times New Roman"/>
                <w:sz w:val="24"/>
                <w:szCs w:val="24"/>
                <w:lang w:val="en-GB" w:eastAsia="cs-CZ"/>
              </w:rPr>
              <w:t>change</w:t>
            </w:r>
            <w:r w:rsidRPr="00FA1502">
              <w:rPr>
                <w:rFonts w:ascii="Times New Roman" w:eastAsia="Times New Roman" w:hAnsi="Times New Roman" w:cs="Times New Roman"/>
                <w:sz w:val="24"/>
                <w:szCs w:val="24"/>
                <w:lang w:val="en-GB" w:eastAsia="cs-CZ"/>
              </w:rPr>
              <w:t xml:space="preserve"> of holdings of securities, including multi-step registration and use of technology DLT to register securities in the context of</w:t>
            </w:r>
            <w:r w:rsidRPr="00FA1502" w:rsidR="00B475A4">
              <w:rPr>
                <w:rFonts w:ascii="Times New Roman" w:eastAsia="Times New Roman" w:hAnsi="Times New Roman" w:cs="Times New Roman"/>
                <w:sz w:val="24"/>
                <w:szCs w:val="24"/>
                <w:lang w:val="en-GB" w:eastAsia="cs-CZ"/>
              </w:rPr>
              <w:t xml:space="preserve"> discussions with stakeholders </w:t>
            </w:r>
            <w:r w:rsidRPr="00FA1502">
              <w:rPr>
                <w:rFonts w:ascii="Times New Roman" w:eastAsia="Times New Roman" w:hAnsi="Times New Roman" w:cs="Times New Roman"/>
                <w:sz w:val="24"/>
                <w:szCs w:val="24"/>
                <w:lang w:val="en-GB" w:eastAsia="cs-CZ"/>
              </w:rPr>
              <w:t>and propose further measures</w:t>
            </w:r>
            <w:r w:rsidR="00A7116F">
              <w:rPr>
                <w:rFonts w:ascii="Times New Roman" w:eastAsia="Times New Roman" w:hAnsi="Times New Roman" w:cs="Times New Roman"/>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color w:val="FFFFFF"/>
                <w:sz w:val="24"/>
                <w:szCs w:val="24"/>
                <w:lang w:val="en-GB" w:eastAsia="cs-CZ"/>
              </w:rPr>
              <w:t xml:space="preserve">MF, </w:t>
            </w:r>
            <w:r w:rsidRPr="00FA1502">
              <w:rPr>
                <w:rFonts w:ascii="Times New Roman" w:eastAsia="Times New Roman" w:hAnsi="Times New Roman" w:cs="Times New Roman"/>
                <w:color w:val="FFFFFF"/>
                <w:sz w:val="24"/>
                <w:szCs w:val="24"/>
                <w:lang w:val="en-GB" w:eastAsia="cs-CZ"/>
              </w:rPr>
              <w:t>MSp</w:t>
            </w:r>
            <w:r w:rsidRPr="00FA1502">
              <w:rPr>
                <w:rFonts w:ascii="Times New Roman" w:eastAsia="Times New Roman" w:hAnsi="Times New Roman" w:cs="Times New Roman"/>
                <w:color w:val="FFFFFF"/>
                <w:sz w:val="24"/>
                <w:szCs w:val="24"/>
                <w:lang w:val="en-GB" w:eastAsia="cs-CZ"/>
              </w:rPr>
              <w:t>, MPO</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color w:val="FFFFFF"/>
                <w:sz w:val="24"/>
                <w:szCs w:val="24"/>
                <w:lang w:val="en-GB" w:eastAsia="cs-CZ"/>
              </w:rPr>
              <w:t>Q4 2020</w:t>
            </w:r>
          </w:p>
        </w:tc>
      </w:tr>
      <w:tr w:rsidTr="00176359">
        <w:tblPrEx>
          <w:tblW w:w="10031" w:type="dxa"/>
          <w:tblCellMar>
            <w:left w:w="0" w:type="dxa"/>
            <w:right w:w="0" w:type="dxa"/>
          </w:tblCellMar>
          <w:tblLook w:val="04A0"/>
        </w:tblPrEx>
        <w:trPr>
          <w:trHeight w:val="85"/>
        </w:trPr>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w:eastAsia="Times New Roman" w:hAnsi="Wingdings" w:cs="Times New Roman"/>
                <w:color w:val="FF0000"/>
                <w:sz w:val="24"/>
                <w:szCs w:val="24"/>
                <w:lang w:val="en-GB" w:eastAsia="cs-CZ"/>
              </w:rPr>
              <w:sym w:font="Wingdings" w:char="F0E8"/>
            </w:r>
            <w:r w:rsidRPr="00FA1502">
              <w:rPr>
                <w:rFonts w:ascii="Wingdings" w:eastAsia="Times New Roman" w:hAnsi="Wingdings" w:cs="Times New Roman"/>
                <w:color w:val="FF0000"/>
                <w:sz w:val="24"/>
                <w:szCs w:val="24"/>
                <w:lang w:val="en-GB" w:eastAsia="cs-CZ"/>
              </w:rPr>
              <w:sym w:font="Wingdings" w:char="F020"/>
            </w:r>
            <w:r w:rsidRPr="00FA1502">
              <w:rPr>
                <w:rFonts w:ascii="Times New Roman" w:eastAsia="Times New Roman" w:hAnsi="Times New Roman" w:cs="Times New Roman"/>
                <w:sz w:val="24"/>
                <w:szCs w:val="24"/>
                <w:lang w:val="en-GB" w:eastAsia="cs-CZ"/>
              </w:rPr>
              <w:t xml:space="preserve">Consider options to support trading </w:t>
            </w:r>
            <w:r w:rsidRPr="00FA1502">
              <w:rPr>
                <w:rFonts w:ascii="Times New Roman" w:eastAsia="Times New Roman" w:hAnsi="Times New Roman" w:cs="Times New Roman"/>
                <w:sz w:val="24"/>
                <w:szCs w:val="24"/>
                <w:lang w:val="en-GB" w:eastAsia="cs-CZ"/>
              </w:rPr>
              <w:t>with</w:t>
            </w:r>
            <w:r w:rsidRPr="00FA1502">
              <w:rPr>
                <w:rFonts w:ascii="Times New Roman" w:eastAsia="Times New Roman" w:hAnsi="Times New Roman" w:cs="Times New Roman"/>
                <w:sz w:val="24"/>
                <w:szCs w:val="24"/>
                <w:lang w:val="en-GB" w:eastAsia="cs-CZ"/>
              </w:rPr>
              <w:t xml:space="preserve"> corporate bonds</w:t>
            </w:r>
            <w:r w:rsidR="00A7116F">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 CNB, CSD, PSE, AKAT, CBA</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Q4 2019</w:t>
            </w:r>
          </w:p>
        </w:tc>
      </w:tr>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98"/>
            </w:r>
            <w:r w:rsidRPr="00FA1502">
              <w:rPr>
                <w:rFonts w:ascii="Wingdings 2" w:eastAsia="Times New Roman" w:hAnsi="Wingdings 2" w:cs="Times New Roman"/>
                <w:color w:val="FF0000"/>
                <w:sz w:val="24"/>
                <w:szCs w:val="24"/>
                <w:lang w:val="en-GB" w:eastAsia="cs-CZ"/>
              </w:rPr>
              <w:sym w:font="Wingdings 2" w:char="F020"/>
            </w:r>
            <w:r w:rsidRPr="00FA1502">
              <w:rPr>
                <w:rFonts w:ascii="Times New Roman" w:eastAsia="Times New Roman" w:hAnsi="Times New Roman" w:cs="Times New Roman"/>
                <w:sz w:val="24"/>
                <w:szCs w:val="24"/>
                <w:lang w:val="en-GB" w:eastAsia="cs-CZ"/>
              </w:rPr>
              <w:t xml:space="preserve">Develop and publish guidelines on entry </w:t>
            </w:r>
            <w:r w:rsidRPr="00FA1502">
              <w:rPr>
                <w:rFonts w:ascii="Times New Roman" w:eastAsia="Times New Roman" w:hAnsi="Times New Roman" w:cs="Times New Roman"/>
                <w:i/>
                <w:iCs/>
                <w:sz w:val="24"/>
                <w:szCs w:val="24"/>
                <w:lang w:val="en-GB" w:eastAsia="cs-CZ"/>
              </w:rPr>
              <w:t xml:space="preserve">due diligence </w:t>
            </w:r>
            <w:r w:rsidRPr="00FA1502">
              <w:rPr>
                <w:rFonts w:ascii="Times New Roman" w:eastAsia="Times New Roman" w:hAnsi="Times New Roman" w:cs="Times New Roman"/>
                <w:sz w:val="24"/>
                <w:szCs w:val="24"/>
                <w:lang w:val="en-GB" w:eastAsia="cs-CZ"/>
              </w:rPr>
              <w:t xml:space="preserve">for foreign investment funds, such as </w:t>
            </w:r>
            <w:r w:rsidRPr="00FA1502" w:rsidR="00B475A4">
              <w:rPr>
                <w:rFonts w:ascii="Times New Roman" w:eastAsia="Times New Roman" w:hAnsi="Times New Roman" w:cs="Times New Roman"/>
                <w:sz w:val="24"/>
                <w:szCs w:val="24"/>
                <w:lang w:val="en-GB" w:eastAsia="cs-CZ"/>
              </w:rPr>
              <w:t xml:space="preserve">according to </w:t>
            </w:r>
            <w:r w:rsidRPr="00FA1502">
              <w:rPr>
                <w:rFonts w:ascii="Times New Roman" w:eastAsia="Times New Roman" w:hAnsi="Times New Roman" w:cs="Times New Roman"/>
                <w:sz w:val="24"/>
                <w:szCs w:val="24"/>
                <w:lang w:val="en-GB" w:eastAsia="cs-CZ"/>
              </w:rPr>
              <w:t>the Vienna Stock Exchange</w:t>
            </w:r>
            <w:r w:rsidRPr="00FA1502">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 PSE</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Q4 2020</w:t>
            </w:r>
          </w:p>
        </w:tc>
      </w:tr>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98"/>
            </w:r>
            <w:r w:rsidRPr="00FA1502">
              <w:rPr>
                <w:rFonts w:ascii="Wingdings 2" w:eastAsia="Times New Roman" w:hAnsi="Wingdings 2" w:cs="Times New Roman"/>
                <w:color w:val="FF0000"/>
                <w:sz w:val="24"/>
                <w:szCs w:val="24"/>
                <w:lang w:val="en-GB" w:eastAsia="cs-CZ"/>
              </w:rPr>
              <w:sym w:font="Wingdings 2" w:char="F020"/>
            </w:r>
            <w:r w:rsidRPr="00FA1502">
              <w:rPr>
                <w:rFonts w:ascii="Times New Roman" w:eastAsia="Times New Roman" w:hAnsi="Times New Roman" w:cs="Times New Roman"/>
                <w:sz w:val="24"/>
                <w:szCs w:val="24"/>
                <w:lang w:val="en-GB" w:eastAsia="cs-CZ"/>
              </w:rPr>
              <w:t>Analy</w:t>
            </w:r>
            <w:r w:rsidRPr="00FA1502" w:rsidR="00B475A4">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e the influence of government bonds on the Czech capital market and the influence of the Czech capital market on government bonds</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continuously</w:t>
            </w:r>
          </w:p>
        </w:tc>
      </w:tr>
      <w:tr w:rsidTr="00176359">
        <w:tblPrEx>
          <w:tblW w:w="10031" w:type="dxa"/>
          <w:tblCellMar>
            <w:left w:w="0" w:type="dxa"/>
            <w:right w:w="0" w:type="dxa"/>
          </w:tblCellMar>
          <w:tblLook w:val="04A0"/>
        </w:tblPrEx>
        <w:trPr>
          <w:trHeight w:val="286"/>
        </w:trPr>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98"/>
            </w:r>
            <w:r w:rsidRPr="00FA1502">
              <w:rPr>
                <w:rFonts w:ascii="Wingdings 2" w:eastAsia="Times New Roman" w:hAnsi="Wingdings 2" w:cs="Times New Roman"/>
                <w:color w:val="FF0000"/>
                <w:sz w:val="24"/>
                <w:szCs w:val="24"/>
                <w:lang w:val="en-GB" w:eastAsia="cs-CZ"/>
              </w:rPr>
              <w:sym w:font="Wingdings 2" w:char="F020"/>
            </w:r>
            <w:r w:rsidRPr="00FA1502">
              <w:rPr>
                <w:rFonts w:ascii="Times New Roman" w:eastAsia="Times New Roman" w:hAnsi="Times New Roman" w:cs="Times New Roman"/>
                <w:sz w:val="24"/>
                <w:szCs w:val="24"/>
                <w:lang w:val="en-GB" w:eastAsia="cs-CZ"/>
              </w:rPr>
              <w:t>Strive for active cooperation with international organizations that can help develop the Czech capital market</w:t>
            </w:r>
            <w:r w:rsidRPr="00FA1502">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 CNB, MIT, Government Office, World Bank, IMF, EIB, EIF, EBRD, EFSI, IOSCO</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continuously</w:t>
            </w:r>
          </w:p>
        </w:tc>
      </w:tr>
      <w:tr w:rsidTr="00176359">
        <w:tblPrEx>
          <w:tblW w:w="10031" w:type="dxa"/>
          <w:tblCellMar>
            <w:left w:w="0" w:type="dxa"/>
            <w:right w:w="0" w:type="dxa"/>
          </w:tblCellMar>
          <w:tblLook w:val="04A0"/>
        </w:tblPrEx>
        <w:trPr>
          <w:trHeight w:val="544"/>
        </w:trPr>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98"/>
            </w:r>
            <w:r w:rsidRPr="00FA1502">
              <w:rPr>
                <w:rFonts w:ascii="Wingdings 2" w:eastAsia="Times New Roman" w:hAnsi="Wingdings 2" w:cs="Times New Roman"/>
                <w:color w:val="FF0000"/>
                <w:sz w:val="24"/>
                <w:szCs w:val="24"/>
                <w:lang w:val="en-GB" w:eastAsia="cs-CZ"/>
              </w:rPr>
              <w:sym w:font="Wingdings 2" w:char="F020"/>
            </w:r>
            <w:r w:rsidRPr="00FA1502">
              <w:rPr>
                <w:rFonts w:ascii="Times New Roman" w:eastAsia="Times New Roman" w:hAnsi="Times New Roman" w:cs="Times New Roman"/>
                <w:sz w:val="24"/>
                <w:szCs w:val="24"/>
                <w:lang w:val="en-GB" w:eastAsia="cs-CZ"/>
              </w:rPr>
              <w:t>Encourage active participation in the negotiation of EU legislation</w:t>
            </w:r>
            <w:r w:rsidRPr="00FA1502">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 CNB</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continuously</w:t>
            </w:r>
          </w:p>
        </w:tc>
      </w:tr>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98"/>
            </w:r>
            <w:r w:rsidRPr="00FA1502">
              <w:rPr>
                <w:rFonts w:ascii="Wingdings 2" w:eastAsia="Times New Roman" w:hAnsi="Wingdings 2" w:cs="Times New Roman"/>
                <w:color w:val="FF0000"/>
                <w:sz w:val="24"/>
                <w:szCs w:val="24"/>
                <w:lang w:val="en-GB" w:eastAsia="cs-CZ"/>
              </w:rPr>
              <w:sym w:font="Wingdings 2" w:char="F020"/>
            </w:r>
            <w:r w:rsidRPr="00FA1502">
              <w:rPr>
                <w:rFonts w:ascii="Times New Roman" w:eastAsia="Times New Roman" w:hAnsi="Times New Roman" w:cs="Times New Roman"/>
                <w:sz w:val="24"/>
                <w:szCs w:val="24"/>
                <w:lang w:val="en-GB" w:eastAsia="cs-CZ"/>
              </w:rPr>
              <w:t xml:space="preserve">Allowing traineeships for persons who prepare capital market regulation </w:t>
            </w:r>
            <w:r w:rsidRPr="00FA1502" w:rsidR="00B475A4">
              <w:rPr>
                <w:rFonts w:ascii="Times New Roman" w:eastAsia="Times New Roman" w:hAnsi="Times New Roman" w:cs="Times New Roman"/>
                <w:sz w:val="24"/>
                <w:szCs w:val="24"/>
                <w:lang w:val="en-GB" w:eastAsia="cs-CZ"/>
              </w:rPr>
              <w:t>in</w:t>
            </w:r>
            <w:r w:rsidRPr="00FA1502">
              <w:rPr>
                <w:rFonts w:ascii="Times New Roman" w:eastAsia="Times New Roman" w:hAnsi="Times New Roman" w:cs="Times New Roman"/>
                <w:sz w:val="24"/>
                <w:szCs w:val="24"/>
                <w:lang w:val="en-GB" w:eastAsia="cs-CZ"/>
              </w:rPr>
              <w:t xml:space="preserve"> capital market participants</w:t>
            </w:r>
            <w:r w:rsidRPr="00FA1502">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 CNB, AKAT, CBA</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continuously</w:t>
            </w:r>
          </w:p>
        </w:tc>
      </w:tr>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98"/>
            </w:r>
            <w:r w:rsidRPr="00FA1502">
              <w:rPr>
                <w:rFonts w:ascii="Wingdings 2" w:eastAsia="Times New Roman" w:hAnsi="Wingdings 2" w:cs="Times New Roman"/>
                <w:color w:val="FF0000"/>
                <w:sz w:val="24"/>
                <w:szCs w:val="24"/>
                <w:lang w:val="en-GB" w:eastAsia="cs-CZ"/>
              </w:rPr>
              <w:sym w:font="Wingdings 2" w:char="F020"/>
            </w:r>
            <w:r w:rsidRPr="00FA1502">
              <w:rPr>
                <w:rFonts w:ascii="Times New Roman" w:eastAsia="Times New Roman" w:hAnsi="Times New Roman" w:cs="Times New Roman"/>
                <w:sz w:val="24"/>
                <w:szCs w:val="24"/>
                <w:lang w:val="en-GB" w:eastAsia="cs-CZ"/>
              </w:rPr>
              <w:t>Monitor defined criteria in the Czech Republic with regard to possible future achievement of the “developed capital market” status according to the MSCI index</w:t>
            </w:r>
            <w:r w:rsidR="00A7116F">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continuously</w:t>
            </w:r>
          </w:p>
        </w:tc>
      </w:tr>
      <w:tr w:rsidTr="00176359">
        <w:tblPrEx>
          <w:tblW w:w="10031" w:type="dxa"/>
          <w:tblCellMar>
            <w:left w:w="0" w:type="dxa"/>
            <w:right w:w="0" w:type="dxa"/>
          </w:tblCellMar>
          <w:tblLook w:val="04A0"/>
        </w:tblPrEx>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98"/>
            </w:r>
            <w:r w:rsidRPr="00FA1502">
              <w:rPr>
                <w:rFonts w:ascii="Wingdings 2" w:eastAsia="Times New Roman" w:hAnsi="Wingdings 2" w:cs="Times New Roman"/>
                <w:color w:val="FF0000"/>
                <w:sz w:val="24"/>
                <w:szCs w:val="24"/>
                <w:lang w:val="en-GB" w:eastAsia="cs-CZ"/>
              </w:rPr>
              <w:sym w:font="Wingdings 2" w:char="F020"/>
            </w:r>
            <w:r w:rsidRPr="00FA1502">
              <w:rPr>
                <w:rFonts w:ascii="Times New Roman" w:eastAsia="Times New Roman" w:hAnsi="Times New Roman" w:cs="Times New Roman"/>
                <w:sz w:val="24"/>
                <w:szCs w:val="24"/>
                <w:lang w:val="en-GB" w:eastAsia="cs-CZ"/>
              </w:rPr>
              <w:t>Educate state-controlled companies about the possibilities of financing through the capital market</w:t>
            </w:r>
            <w:r w:rsidR="00A7116F">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MF, other </w:t>
            </w:r>
            <w:r w:rsidRPr="00FA1502" w:rsidR="00B475A4">
              <w:rPr>
                <w:rFonts w:ascii="Times New Roman" w:eastAsia="Times New Roman" w:hAnsi="Times New Roman" w:cs="Times New Roman"/>
                <w:sz w:val="24"/>
                <w:szCs w:val="24"/>
                <w:lang w:val="en-GB" w:eastAsia="cs-CZ"/>
              </w:rPr>
              <w:t xml:space="preserve">concerned </w:t>
            </w:r>
            <w:r w:rsidRPr="00FA1502">
              <w:rPr>
                <w:rFonts w:ascii="Times New Roman" w:eastAsia="Times New Roman" w:hAnsi="Times New Roman" w:cs="Times New Roman"/>
                <w:sz w:val="24"/>
                <w:szCs w:val="24"/>
                <w:lang w:val="en-GB" w:eastAsia="cs-CZ"/>
              </w:rPr>
              <w:t xml:space="preserve">ministries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continuously</w:t>
            </w:r>
          </w:p>
        </w:tc>
      </w:tr>
      <w:tr w:rsidTr="00176359">
        <w:tblPrEx>
          <w:tblW w:w="10031" w:type="dxa"/>
          <w:tblCellMar>
            <w:left w:w="0" w:type="dxa"/>
            <w:right w:w="0" w:type="dxa"/>
          </w:tblCellMar>
          <w:tblLook w:val="04A0"/>
        </w:tblPrEx>
        <w:trPr>
          <w:trHeight w:val="416"/>
        </w:trPr>
        <w:tc>
          <w:tcPr>
            <w:tcW w:w="5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both"/>
              <w:rPr>
                <w:rFonts w:ascii="Times New Roman" w:eastAsia="Times New Roman" w:hAnsi="Times New Roman" w:cs="Times New Roman"/>
                <w:sz w:val="24"/>
                <w:szCs w:val="24"/>
                <w:lang w:val="en-GB" w:eastAsia="cs-CZ"/>
              </w:rPr>
            </w:pPr>
            <w:r w:rsidRPr="00FA1502">
              <w:rPr>
                <w:rFonts w:ascii="Wingdings 2" w:eastAsia="Times New Roman" w:hAnsi="Wingdings 2" w:cs="Times New Roman"/>
                <w:color w:val="FF0000"/>
                <w:sz w:val="24"/>
                <w:szCs w:val="24"/>
                <w:lang w:val="en-GB" w:eastAsia="cs-CZ"/>
              </w:rPr>
              <w:sym w:font="Wingdings 2" w:char="F098"/>
            </w:r>
            <w:r w:rsidRPr="00FA1502">
              <w:rPr>
                <w:rFonts w:ascii="Wingdings 2" w:eastAsia="Times New Roman" w:hAnsi="Wingdings 2" w:cs="Times New Roman"/>
                <w:color w:val="FF0000"/>
                <w:sz w:val="24"/>
                <w:szCs w:val="24"/>
                <w:lang w:val="en-GB" w:eastAsia="cs-CZ"/>
              </w:rPr>
              <w:sym w:font="Wingdings 2" w:char="F020"/>
            </w:r>
            <w:r w:rsidRPr="00FA1502">
              <w:rPr>
                <w:rFonts w:ascii="Times New Roman" w:eastAsia="Times New Roman" w:hAnsi="Times New Roman" w:cs="Times New Roman"/>
                <w:sz w:val="24"/>
                <w:szCs w:val="24"/>
                <w:lang w:val="en-GB" w:eastAsia="cs-CZ"/>
              </w:rPr>
              <w:t>Ensure availability of up-to-date capital market legislation in English</w:t>
            </w:r>
            <w:r w:rsidRPr="00FA1502">
              <w:rPr>
                <w:rFonts w:ascii="Times New Roman" w:eastAsia="Times New Roman" w:hAnsi="Times New Roman" w:cs="Times New Roman"/>
                <w:color w:val="FF0000"/>
                <w:sz w:val="24"/>
                <w:szCs w:val="24"/>
                <w:lang w:val="en-GB" w:eastAsia="cs-CZ"/>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MF, CNB</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continuously</w:t>
            </w:r>
          </w:p>
        </w:tc>
      </w:tr>
    </w:tbl>
    <w:p w:rsidR="00176359" w:rsidRPr="00FA1502" w:rsidP="00A7116F">
      <w:pPr>
        <w:keepNext/>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above overview shows that this proposal implements (or attempts to</w:t>
      </w:r>
      <w:r w:rsidRPr="00FA1502" w:rsidR="00B475A4">
        <w:rPr>
          <w:rFonts w:ascii="Times New Roman" w:eastAsia="Times New Roman" w:hAnsi="Times New Roman" w:cs="Times New Roman"/>
          <w:sz w:val="24"/>
          <w:szCs w:val="24"/>
          <w:lang w:val="en-GB" w:eastAsia="cs-CZ"/>
        </w:rPr>
        <w:t xml:space="preserve"> implement) 8 measures out of 3</w:t>
      </w:r>
      <w:r w:rsidRPr="00FA1502">
        <w:rPr>
          <w:rFonts w:ascii="Times New Roman" w:eastAsia="Times New Roman" w:hAnsi="Times New Roman" w:cs="Times New Roman"/>
          <w:sz w:val="24"/>
          <w:szCs w:val="24"/>
          <w:lang w:val="en-GB" w:eastAsia="cs-CZ"/>
        </w:rPr>
        <w:t>4 (one of them, mobility of participant</w:t>
      </w:r>
      <w:r w:rsidRPr="00FA1502" w:rsidR="00B475A4">
        <w:rPr>
          <w:rFonts w:ascii="Times New Roman" w:eastAsia="Times New Roman" w:hAnsi="Times New Roman" w:cs="Times New Roman"/>
          <w:sz w:val="24"/>
          <w:szCs w:val="24"/>
          <w:lang w:val="en-GB" w:eastAsia="cs-CZ"/>
        </w:rPr>
        <w:t>s in transformed funds, partly)</w:t>
      </w:r>
      <w:r w:rsidRPr="00FA1502">
        <w:rPr>
          <w:rFonts w:ascii="Times New Roman" w:eastAsia="Times New Roman" w:hAnsi="Times New Roman" w:cs="Times New Roman"/>
          <w:sz w:val="24"/>
          <w:szCs w:val="24"/>
          <w:lang w:val="en-GB" w:eastAsia="cs-CZ"/>
        </w:rPr>
        <w:t xml:space="preserve">. The </w:t>
      </w:r>
      <w:r w:rsidRPr="00FA1502" w:rsidR="00B475A4">
        <w:rPr>
          <w:rFonts w:ascii="Times New Roman" w:eastAsia="Times New Roman" w:hAnsi="Times New Roman" w:cs="Times New Roman"/>
          <w:sz w:val="24"/>
          <w:szCs w:val="24"/>
          <w:lang w:val="en-GB" w:eastAsia="cs-CZ"/>
        </w:rPr>
        <w:t xml:space="preserve">remaining </w:t>
      </w:r>
      <w:r w:rsidRPr="00FA1502">
        <w:rPr>
          <w:rFonts w:ascii="Times New Roman" w:eastAsia="Times New Roman" w:hAnsi="Times New Roman" w:cs="Times New Roman"/>
          <w:sz w:val="24"/>
          <w:szCs w:val="24"/>
          <w:lang w:val="en-GB" w:eastAsia="cs-CZ"/>
        </w:rPr>
        <w:t xml:space="preserve">22 measures are non-legislative in nature. The last 5 measures </w:t>
      </w:r>
      <w:r w:rsidRPr="00FA1502" w:rsidR="00B475A4">
        <w:rPr>
          <w:rFonts w:ascii="Times New Roman" w:eastAsia="Times New Roman" w:hAnsi="Times New Roman" w:cs="Times New Roman"/>
          <w:sz w:val="24"/>
          <w:szCs w:val="24"/>
          <w:lang w:val="en-GB" w:eastAsia="cs-CZ"/>
        </w:rPr>
        <w:t xml:space="preserve">are </w:t>
      </w:r>
      <w:r w:rsidRPr="00FA1502">
        <w:rPr>
          <w:rFonts w:ascii="Times New Roman" w:eastAsia="Times New Roman" w:hAnsi="Times New Roman" w:cs="Times New Roman"/>
          <w:sz w:val="24"/>
          <w:szCs w:val="24"/>
          <w:lang w:val="en-GB" w:eastAsia="cs-CZ"/>
        </w:rPr>
        <w:t>of a legislative nature</w:t>
      </w:r>
      <w:r w:rsidRPr="00FA1502" w:rsidR="00B475A4">
        <w:rPr>
          <w:rFonts w:ascii="Times New Roman" w:eastAsia="Times New Roman" w:hAnsi="Times New Roman" w:cs="Times New Roman"/>
          <w:sz w:val="24"/>
          <w:szCs w:val="24"/>
          <w:lang w:val="en-GB" w:eastAsia="cs-CZ"/>
        </w:rPr>
        <w:t xml:space="preserve"> and</w:t>
      </w:r>
      <w:r w:rsidRPr="00FA1502">
        <w:rPr>
          <w:rFonts w:ascii="Times New Roman" w:eastAsia="Times New Roman" w:hAnsi="Times New Roman" w:cs="Times New Roman"/>
          <w:sz w:val="24"/>
          <w:szCs w:val="24"/>
          <w:lang w:val="en-GB" w:eastAsia="cs-CZ"/>
        </w:rPr>
        <w:t xml:space="preserve"> will be implemented by other legislative proposals and they are not expected to be submitted to the </w:t>
      </w:r>
      <w:r w:rsidRPr="00FA1502" w:rsidR="00541D6F">
        <w:rPr>
          <w:rFonts w:ascii="Times New Roman" w:eastAsia="Times New Roman" w:hAnsi="Times New Roman" w:cs="Times New Roman"/>
          <w:sz w:val="24"/>
          <w:szCs w:val="24"/>
          <w:lang w:val="en-GB" w:eastAsia="cs-CZ"/>
        </w:rPr>
        <w:t>G</w:t>
      </w:r>
      <w:r w:rsidRPr="00FA1502">
        <w:rPr>
          <w:rFonts w:ascii="Times New Roman" w:eastAsia="Times New Roman" w:hAnsi="Times New Roman" w:cs="Times New Roman"/>
          <w:sz w:val="24"/>
          <w:szCs w:val="24"/>
          <w:lang w:val="en-GB" w:eastAsia="cs-CZ"/>
        </w:rPr>
        <w:t>overnment by the end of 2019, but later, for example</w:t>
      </w:r>
    </w:p>
    <w:p w:rsidR="00176359" w:rsidRPr="00FA1502" w:rsidP="00A7116F">
      <w:pPr>
        <w:keepNext/>
        <w:numPr>
          <w:ilvl w:val="0"/>
          <w:numId w:val="2"/>
        </w:numPr>
        <w:spacing w:before="120" w:after="120" w:line="240" w:lineRule="auto"/>
        <w:ind w:left="1247" w:firstLine="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in relation </w:t>
      </w:r>
      <w:r w:rsidRPr="00FA1502" w:rsidR="00B475A4">
        <w:rPr>
          <w:rFonts w:ascii="Times New Roman" w:eastAsia="Times New Roman" w:hAnsi="Times New Roman" w:cs="Times New Roman"/>
          <w:sz w:val="24"/>
          <w:szCs w:val="24"/>
          <w:lang w:val="en-GB" w:eastAsia="cs-CZ"/>
        </w:rPr>
        <w:t>to a simple joint-stock company</w:t>
      </w:r>
      <w:r w:rsidRPr="00FA1502">
        <w:rPr>
          <w:rFonts w:ascii="Times New Roman" w:eastAsia="Times New Roman" w:hAnsi="Times New Roman" w:cs="Times New Roman"/>
          <w:sz w:val="24"/>
          <w:szCs w:val="24"/>
          <w:lang w:val="en-GB" w:eastAsia="cs-CZ"/>
        </w:rPr>
        <w:t>, Q4 2020 is foreseen in view of considering the introduction of th</w:t>
      </w:r>
      <w:r w:rsidRPr="00FA1502" w:rsidR="00B475A4">
        <w:rPr>
          <w:rFonts w:ascii="Times New Roman" w:eastAsia="Times New Roman" w:hAnsi="Times New Roman" w:cs="Times New Roman"/>
          <w:sz w:val="24"/>
          <w:szCs w:val="24"/>
          <w:lang w:val="en-GB" w:eastAsia="cs-CZ"/>
        </w:rPr>
        <w:t>is type of business corporation</w:t>
      </w:r>
      <w:r w:rsidRPr="00FA1502">
        <w:rPr>
          <w:rFonts w:ascii="Times New Roman" w:eastAsia="Times New Roman" w:hAnsi="Times New Roman" w:cs="Times New Roman"/>
          <w:sz w:val="24"/>
          <w:szCs w:val="24"/>
          <w:lang w:val="en-GB" w:eastAsia="cs-CZ"/>
        </w:rPr>
        <w:t>,</w:t>
      </w:r>
      <w:r w:rsidR="00A7116F">
        <w:rPr>
          <w:rFonts w:ascii="Times New Roman" w:eastAsia="Times New Roman" w:hAnsi="Times New Roman" w:cs="Times New Roman"/>
          <w:sz w:val="24"/>
          <w:szCs w:val="24"/>
          <w:lang w:val="en-GB" w:eastAsia="cs-CZ"/>
        </w:rPr>
        <w:t xml:space="preserve"> </w:t>
      </w:r>
    </w:p>
    <w:p w:rsidR="00176359" w:rsidRPr="00FA1502" w:rsidP="00A7116F">
      <w:pPr>
        <w:keepNext/>
        <w:numPr>
          <w:ilvl w:val="0"/>
          <w:numId w:val="2"/>
        </w:numPr>
        <w:spacing w:before="120" w:after="120" w:line="240" w:lineRule="auto"/>
        <w:ind w:left="1247" w:firstLine="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in relation to </w:t>
      </w:r>
      <w:r w:rsidRPr="00FA1502">
        <w:rPr>
          <w:rFonts w:ascii="Times New Roman" w:eastAsia="Times New Roman" w:hAnsi="Times New Roman" w:cs="Times New Roman"/>
          <w:sz w:val="24"/>
          <w:szCs w:val="24"/>
          <w:lang w:val="en-GB" w:eastAsia="cs-CZ"/>
        </w:rPr>
        <w:t xml:space="preserve">review </w:t>
      </w:r>
      <w:r w:rsidRPr="00FA1502">
        <w:rPr>
          <w:rFonts w:ascii="Times New Roman" w:eastAsia="Times New Roman" w:hAnsi="Times New Roman" w:cs="Times New Roman"/>
          <w:sz w:val="24"/>
          <w:szCs w:val="24"/>
          <w:lang w:val="en-GB" w:eastAsia="cs-CZ"/>
        </w:rPr>
        <w:t xml:space="preserve">of </w:t>
      </w:r>
      <w:r w:rsidRPr="00FA1502">
        <w:rPr>
          <w:rFonts w:ascii="Times New Roman" w:eastAsia="Times New Roman" w:hAnsi="Times New Roman" w:cs="Times New Roman"/>
          <w:sz w:val="24"/>
          <w:szCs w:val="24"/>
          <w:lang w:val="en-GB" w:eastAsia="cs-CZ"/>
        </w:rPr>
        <w:t xml:space="preserve">the effectiveness of transposition of the </w:t>
      </w:r>
      <w:r w:rsidRPr="00FA1502">
        <w:rPr>
          <w:rFonts w:ascii="Times New Roman" w:eastAsia="Times New Roman" w:hAnsi="Times New Roman" w:cs="Times New Roman"/>
          <w:sz w:val="24"/>
          <w:szCs w:val="24"/>
          <w:lang w:val="en-GB" w:eastAsia="cs-CZ"/>
        </w:rPr>
        <w:t xml:space="preserve">directive on </w:t>
      </w:r>
      <w:r w:rsidRPr="00FA1502">
        <w:rPr>
          <w:rFonts w:ascii="Times New Roman" w:eastAsia="Times New Roman" w:hAnsi="Times New Roman" w:cs="Times New Roman"/>
          <w:sz w:val="24"/>
          <w:szCs w:val="24"/>
          <w:lang w:val="en-GB" w:eastAsia="cs-CZ"/>
        </w:rPr>
        <w:t xml:space="preserve">shareholder </w:t>
      </w:r>
      <w:r w:rsidRPr="00FA1502">
        <w:rPr>
          <w:rFonts w:ascii="Times New Roman" w:eastAsia="Times New Roman" w:hAnsi="Times New Roman" w:cs="Times New Roman"/>
          <w:sz w:val="24"/>
          <w:szCs w:val="24"/>
          <w:lang w:val="en-GB" w:eastAsia="cs-CZ"/>
        </w:rPr>
        <w:t xml:space="preserve">rights </w:t>
      </w:r>
      <w:r w:rsidRPr="00FA1502">
        <w:rPr>
          <w:rFonts w:ascii="Times New Roman" w:eastAsia="Times New Roman" w:hAnsi="Times New Roman" w:cs="Times New Roman"/>
          <w:sz w:val="24"/>
          <w:szCs w:val="24"/>
          <w:lang w:val="en-GB" w:eastAsia="cs-CZ"/>
        </w:rPr>
        <w:t>(Act no. 204/2019 Coll.)</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 xml:space="preserve">the period </w:t>
      </w:r>
      <w:r w:rsidRPr="00FA1502">
        <w:rPr>
          <w:rFonts w:ascii="Times New Roman" w:eastAsia="Times New Roman" w:hAnsi="Times New Roman" w:cs="Times New Roman"/>
          <w:sz w:val="24"/>
          <w:szCs w:val="24"/>
          <w:lang w:val="en-GB" w:eastAsia="cs-CZ"/>
        </w:rPr>
        <w:t xml:space="preserve">of </w:t>
      </w:r>
      <w:r w:rsidRPr="00FA1502">
        <w:rPr>
          <w:rFonts w:ascii="Times New Roman" w:eastAsia="Times New Roman" w:hAnsi="Times New Roman" w:cs="Times New Roman"/>
          <w:sz w:val="24"/>
          <w:szCs w:val="24"/>
          <w:lang w:val="en-GB" w:eastAsia="cs-CZ"/>
        </w:rPr>
        <w:t>Q4 2021</w:t>
      </w:r>
      <w:r w:rsidRPr="00FA1502">
        <w:rPr>
          <w:rFonts w:ascii="Times New Roman" w:eastAsia="Times New Roman" w:hAnsi="Times New Roman" w:cs="Times New Roman"/>
          <w:sz w:val="24"/>
          <w:szCs w:val="24"/>
          <w:lang w:val="en-GB" w:eastAsia="cs-CZ"/>
        </w:rPr>
        <w:t xml:space="preserve"> is anticipated</w:t>
      </w:r>
      <w:r w:rsidRPr="00FA1502">
        <w:rPr>
          <w:rFonts w:ascii="Times New Roman" w:eastAsia="Times New Roman" w:hAnsi="Times New Roman" w:cs="Times New Roman"/>
          <w:sz w:val="24"/>
          <w:szCs w:val="24"/>
          <w:lang w:val="en-GB" w:eastAsia="cs-CZ"/>
        </w:rPr>
        <w:t>, if necessary (</w:t>
      </w:r>
      <w:r w:rsidRPr="00FA1502">
        <w:rPr>
          <w:rFonts w:ascii="Times New Roman" w:eastAsia="Times New Roman" w:hAnsi="Times New Roman" w:cs="Times New Roman"/>
          <w:sz w:val="24"/>
          <w:szCs w:val="24"/>
          <w:lang w:val="en-GB" w:eastAsia="cs-CZ"/>
        </w:rPr>
        <w:t>it may result from</w:t>
      </w:r>
      <w:r w:rsidRPr="00FA1502">
        <w:rPr>
          <w:rFonts w:ascii="Times New Roman" w:eastAsia="Times New Roman" w:hAnsi="Times New Roman" w:cs="Times New Roman"/>
          <w:sz w:val="24"/>
          <w:szCs w:val="24"/>
          <w:lang w:val="en-GB" w:eastAsia="cs-CZ"/>
        </w:rPr>
        <w:t xml:space="preserve"> the analysis</w:t>
      </w:r>
      <w:r w:rsidRPr="00FA1502">
        <w:rPr>
          <w:rFonts w:ascii="Times New Roman" w:eastAsia="Times New Roman" w:hAnsi="Times New Roman" w:cs="Times New Roman"/>
          <w:sz w:val="24"/>
          <w:szCs w:val="24"/>
          <w:lang w:val="en-GB" w:eastAsia="cs-CZ"/>
        </w:rPr>
        <w:t xml:space="preserve"> that it is not),</w:t>
      </w:r>
    </w:p>
    <w:p w:rsidR="00176359" w:rsidRPr="00FA1502" w:rsidP="00A7116F">
      <w:pPr>
        <w:keepNext/>
        <w:numPr>
          <w:ilvl w:val="0"/>
          <w:numId w:val="2"/>
        </w:numPr>
        <w:spacing w:before="120" w:after="120" w:line="240" w:lineRule="auto"/>
        <w:ind w:left="1247" w:firstLine="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in relation to </w:t>
      </w:r>
      <w:r w:rsidRPr="00FA1502">
        <w:rPr>
          <w:rFonts w:ascii="Times New Roman" w:eastAsia="Times New Roman" w:hAnsi="Times New Roman" w:cs="Times New Roman"/>
          <w:sz w:val="24"/>
          <w:szCs w:val="24"/>
          <w:lang w:val="en-GB" w:eastAsia="cs-CZ"/>
        </w:rPr>
        <w:t xml:space="preserve">the revision of Czech accounting standards also </w:t>
      </w:r>
      <w:r w:rsidRPr="00FA1502">
        <w:rPr>
          <w:rFonts w:ascii="Times New Roman" w:eastAsia="Times New Roman" w:hAnsi="Times New Roman" w:cs="Times New Roman"/>
          <w:sz w:val="24"/>
          <w:szCs w:val="24"/>
          <w:lang w:val="en-GB" w:eastAsia="cs-CZ"/>
        </w:rPr>
        <w:t>the Q4 2021 deadline is envisaged</w:t>
      </w:r>
      <w:r w:rsidRPr="00FA1502">
        <w:rPr>
          <w:rFonts w:ascii="Times New Roman" w:eastAsia="Times New Roman" w:hAnsi="Times New Roman" w:cs="Times New Roman"/>
          <w:sz w:val="24"/>
          <w:szCs w:val="24"/>
          <w:lang w:val="en-GB" w:eastAsia="cs-CZ"/>
        </w:rPr>
        <w:t xml:space="preserve"> (the substantive intent of the new Accounting Act is to be approved by the Government by the end of 2020)</w:t>
      </w:r>
      <w:bookmarkStart w:id="2" w:name="_ftnref3"/>
      <w:bookmarkEnd w:id="2"/>
      <w:r>
        <w:rPr>
          <w:rStyle w:val="FootnoteReference"/>
          <w:rFonts w:ascii="Times New Roman" w:eastAsia="Times New Roman" w:hAnsi="Times New Roman" w:cs="Times New Roman"/>
          <w:sz w:val="24"/>
          <w:szCs w:val="24"/>
          <w:lang w:val="en-GB" w:eastAsia="cs-CZ"/>
        </w:rPr>
        <w:footnoteReference w:id="4"/>
      </w:r>
      <w:r w:rsidRPr="00FA1502">
        <w:rPr>
          <w:rFonts w:ascii="Times New Roman" w:eastAsia="Times New Roman" w:hAnsi="Times New Roman" w:cs="Times New Roman"/>
          <w:sz w:val="24"/>
          <w:szCs w:val="24"/>
          <w:lang w:val="en-GB" w:eastAsia="cs-CZ"/>
        </w:rPr>
        <w:t>,</w:t>
      </w:r>
    </w:p>
    <w:p w:rsidR="00176359" w:rsidRPr="00FA1502" w:rsidP="00A7116F">
      <w:pPr>
        <w:keepNext/>
        <w:numPr>
          <w:ilvl w:val="0"/>
          <w:numId w:val="2"/>
        </w:numPr>
        <w:spacing w:before="120" w:after="120" w:line="240" w:lineRule="auto"/>
        <w:ind w:left="1247" w:firstLine="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in relation to the revision of state aid participation and tran</w:t>
      </w:r>
      <w:r w:rsidRPr="00FA1502" w:rsidR="00D53BBD">
        <w:rPr>
          <w:rFonts w:ascii="Times New Roman" w:eastAsia="Times New Roman" w:hAnsi="Times New Roman" w:cs="Times New Roman"/>
          <w:sz w:val="24"/>
          <w:szCs w:val="24"/>
          <w:lang w:val="en-GB" w:eastAsia="cs-CZ"/>
        </w:rPr>
        <w:t xml:space="preserve">sformed </w:t>
      </w:r>
      <w:r w:rsidRPr="00FA1502">
        <w:rPr>
          <w:rFonts w:ascii="Times New Roman" w:eastAsia="Times New Roman" w:hAnsi="Times New Roman" w:cs="Times New Roman"/>
          <w:sz w:val="24"/>
          <w:szCs w:val="24"/>
          <w:lang w:val="en-GB" w:eastAsia="cs-CZ"/>
        </w:rPr>
        <w:t>funds is calculated with a separate amendment that should be discussed during 2020,</w:t>
      </w:r>
      <w:r w:rsidR="00A7116F">
        <w:rPr>
          <w:rFonts w:ascii="Times New Roman" w:eastAsia="Times New Roman" w:hAnsi="Times New Roman" w:cs="Times New Roman"/>
          <w:sz w:val="24"/>
          <w:szCs w:val="24"/>
          <w:lang w:val="en-GB" w:eastAsia="cs-CZ"/>
        </w:rPr>
        <w:t xml:space="preserve"> </w:t>
      </w:r>
    </w:p>
    <w:p w:rsidR="00176359" w:rsidRPr="00FA1502" w:rsidP="00A7116F">
      <w:pPr>
        <w:keepNext/>
        <w:numPr>
          <w:ilvl w:val="0"/>
          <w:numId w:val="2"/>
        </w:numPr>
        <w:spacing w:before="120" w:after="120" w:line="240" w:lineRule="auto"/>
        <w:ind w:left="1247" w:firstLine="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in</w:t>
      </w:r>
      <w:r w:rsidRPr="00FA1502">
        <w:rPr>
          <w:rFonts w:ascii="Times New Roman" w:eastAsia="Times New Roman" w:hAnsi="Times New Roman" w:cs="Times New Roman"/>
          <w:sz w:val="24"/>
          <w:szCs w:val="24"/>
          <w:lang w:val="en-GB" w:eastAsia="cs-CZ"/>
        </w:rPr>
        <w:t xml:space="preserve"> relation to the holding </w:t>
      </w:r>
      <w:r w:rsidRPr="00FA1502">
        <w:rPr>
          <w:rFonts w:ascii="Times New Roman" w:eastAsia="Times New Roman" w:hAnsi="Times New Roman" w:cs="Times New Roman"/>
          <w:sz w:val="24"/>
          <w:szCs w:val="24"/>
          <w:lang w:val="en-GB" w:eastAsia="cs-CZ"/>
        </w:rPr>
        <w:t xml:space="preserve">of securities and use of </w:t>
      </w:r>
      <w:r w:rsidRPr="00FA1502">
        <w:rPr>
          <w:rFonts w:ascii="Times New Roman" w:eastAsia="Times New Roman" w:hAnsi="Times New Roman" w:cs="Times New Roman"/>
          <w:sz w:val="24"/>
          <w:szCs w:val="24"/>
          <w:lang w:val="en-GB" w:eastAsia="cs-CZ"/>
        </w:rPr>
        <w:t xml:space="preserve">DLT </w:t>
      </w:r>
      <w:r w:rsidRPr="00FA1502">
        <w:rPr>
          <w:rFonts w:ascii="Times New Roman" w:eastAsia="Times New Roman" w:hAnsi="Times New Roman" w:cs="Times New Roman"/>
          <w:sz w:val="24"/>
          <w:szCs w:val="24"/>
          <w:lang w:val="en-GB" w:eastAsia="cs-CZ"/>
        </w:rPr>
        <w:t xml:space="preserve">technology </w:t>
      </w:r>
      <w:r w:rsidRPr="00FA1502">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i/>
          <w:iCs/>
          <w:sz w:val="24"/>
          <w:szCs w:val="24"/>
          <w:lang w:val="en-GB" w:eastAsia="cs-CZ"/>
        </w:rPr>
        <w:t>blockchain</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t</w:t>
      </w:r>
      <w:r w:rsidRPr="00FA1502">
        <w:rPr>
          <w:rFonts w:ascii="Times New Roman" w:eastAsia="Times New Roman" w:hAnsi="Times New Roman" w:cs="Times New Roman"/>
          <w:sz w:val="24"/>
          <w:szCs w:val="24"/>
          <w:lang w:val="en-GB" w:eastAsia="cs-CZ"/>
        </w:rPr>
        <w:t xml:space="preserve">he </w:t>
      </w:r>
      <w:r w:rsidRPr="00FA1502" w:rsidR="004D6324">
        <w:rPr>
          <w:rFonts w:ascii="Times New Roman" w:eastAsia="Times New Roman" w:hAnsi="Times New Roman" w:cs="Times New Roman"/>
          <w:sz w:val="24"/>
          <w:szCs w:val="24"/>
          <w:lang w:val="en-GB" w:eastAsia="cs-CZ"/>
        </w:rPr>
        <w:t>National Strategy</w:t>
      </w:r>
      <w:r w:rsidRPr="00FA1502">
        <w:rPr>
          <w:rFonts w:ascii="Times New Roman" w:eastAsia="Times New Roman" w:hAnsi="Times New Roman" w:cs="Times New Roman"/>
          <w:sz w:val="24"/>
          <w:szCs w:val="24"/>
          <w:lang w:val="en-GB" w:eastAsia="cs-CZ"/>
        </w:rPr>
        <w:t xml:space="preserve"> envisages a period </w:t>
      </w:r>
      <w:r w:rsidRPr="00FA1502">
        <w:rPr>
          <w:rFonts w:ascii="Times New Roman" w:eastAsia="Times New Roman" w:hAnsi="Times New Roman" w:cs="Times New Roman"/>
          <w:sz w:val="24"/>
          <w:szCs w:val="24"/>
          <w:lang w:val="en-GB" w:eastAsia="cs-CZ"/>
        </w:rPr>
        <w:t xml:space="preserve">of </w:t>
      </w:r>
      <w:r w:rsidRPr="00FA1502">
        <w:rPr>
          <w:rFonts w:ascii="Times New Roman" w:eastAsia="Times New Roman" w:hAnsi="Times New Roman" w:cs="Times New Roman"/>
          <w:sz w:val="24"/>
          <w:szCs w:val="24"/>
          <w:lang w:val="en-GB" w:eastAsia="cs-CZ"/>
        </w:rPr>
        <w:t xml:space="preserve">Q4 2020 </w:t>
      </w:r>
      <w:r w:rsidRPr="00FA1502">
        <w:rPr>
          <w:rFonts w:ascii="Times New Roman" w:eastAsia="Times New Roman" w:hAnsi="Times New Roman" w:cs="Times New Roman"/>
          <w:sz w:val="24"/>
          <w:szCs w:val="24"/>
          <w:lang w:val="en-GB" w:eastAsia="cs-CZ"/>
        </w:rPr>
        <w:t>whereas</w:t>
      </w:r>
      <w:r w:rsidRPr="00FA1502">
        <w:rPr>
          <w:rFonts w:ascii="Times New Roman" w:eastAsia="Times New Roman" w:hAnsi="Times New Roman" w:cs="Times New Roman"/>
          <w:sz w:val="24"/>
          <w:szCs w:val="24"/>
          <w:lang w:val="en-GB" w:eastAsia="cs-CZ"/>
        </w:rPr>
        <w:t xml:space="preserve"> the Ministry of Finance of the Czech Republic has </w:t>
      </w:r>
      <w:r w:rsidRPr="00FA1502">
        <w:rPr>
          <w:rFonts w:ascii="Times New Roman" w:eastAsia="Times New Roman" w:hAnsi="Times New Roman" w:cs="Times New Roman"/>
          <w:sz w:val="24"/>
          <w:szCs w:val="24"/>
          <w:lang w:val="en-GB" w:eastAsia="cs-CZ"/>
        </w:rPr>
        <w:t xml:space="preserve">already </w:t>
      </w:r>
      <w:r w:rsidRPr="00FA1502">
        <w:rPr>
          <w:rFonts w:ascii="Times New Roman" w:eastAsia="Times New Roman" w:hAnsi="Times New Roman" w:cs="Times New Roman"/>
          <w:sz w:val="24"/>
          <w:szCs w:val="24"/>
          <w:lang w:val="en-GB" w:eastAsia="cs-CZ"/>
        </w:rPr>
        <w:t xml:space="preserve">published a consultation paper </w:t>
      </w:r>
      <w:r w:rsidRPr="00FA1502">
        <w:rPr>
          <w:rFonts w:ascii="Times New Roman" w:eastAsia="Times New Roman" w:hAnsi="Times New Roman" w:cs="Times New Roman"/>
          <w:sz w:val="24"/>
          <w:szCs w:val="24"/>
          <w:lang w:val="en-GB" w:eastAsia="cs-CZ"/>
        </w:rPr>
        <w:t>titled “</w:t>
      </w:r>
      <w:r w:rsidRPr="00FA1502">
        <w:rPr>
          <w:rFonts w:ascii="Times New Roman" w:eastAsia="Times New Roman" w:hAnsi="Times New Roman" w:cs="Times New Roman"/>
          <w:sz w:val="24"/>
          <w:szCs w:val="24"/>
          <w:lang w:val="en-GB" w:eastAsia="cs-CZ"/>
        </w:rPr>
        <w:t>Blockchain</w:t>
      </w:r>
      <w:r w:rsidRPr="00FA1502">
        <w:rPr>
          <w:rFonts w:ascii="Times New Roman" w:eastAsia="Times New Roman" w:hAnsi="Times New Roman" w:cs="Times New Roman"/>
          <w:sz w:val="24"/>
          <w:szCs w:val="24"/>
          <w:lang w:val="en-GB" w:eastAsia="cs-CZ"/>
        </w:rPr>
        <w:t>, virtual currencies</w:t>
      </w:r>
      <w:r w:rsidRPr="00FA1502">
        <w:rPr>
          <w:rFonts w:ascii="Times New Roman" w:eastAsia="Times New Roman" w:hAnsi="Times New Roman" w:cs="Times New Roman"/>
          <w:sz w:val="24"/>
          <w:szCs w:val="24"/>
          <w:lang w:val="en-GB" w:eastAsia="cs-CZ"/>
        </w:rPr>
        <w:t xml:space="preserve"> and assets</w:t>
      </w:r>
      <w:r w:rsidRPr="00FA1502">
        <w:rPr>
          <w:rFonts w:ascii="Times New Roman" w:eastAsia="Times New Roman" w:hAnsi="Times New Roman" w:cs="Times New Roman"/>
          <w:sz w:val="24"/>
          <w:szCs w:val="24"/>
          <w:lang w:val="en-GB" w:eastAsia="cs-CZ"/>
        </w:rPr>
        <w:t>”</w:t>
      </w:r>
      <w:r>
        <w:rPr>
          <w:rStyle w:val="FootnoteReference"/>
          <w:rFonts w:ascii="Times New Roman" w:eastAsia="Times New Roman" w:hAnsi="Times New Roman" w:cs="Times New Roman"/>
          <w:sz w:val="24"/>
          <w:szCs w:val="24"/>
          <w:lang w:val="en-GB" w:eastAsia="cs-CZ"/>
        </w:rPr>
        <w:footnoteReference w:id="5"/>
      </w:r>
      <w:r w:rsidRPr="00FA1502">
        <w:rPr>
          <w:rFonts w:ascii="Times New Roman" w:eastAsia="Times New Roman" w:hAnsi="Times New Roman" w:cs="Times New Roman"/>
          <w:sz w:val="24"/>
          <w:szCs w:val="24"/>
          <w:lang w:val="en-GB" w:eastAsia="cs-CZ"/>
        </w:rPr>
        <w:t>; the European Commission is also implementing</w:t>
      </w:r>
      <w:r w:rsidRPr="00FA1502">
        <w:rPr>
          <w:rFonts w:ascii="Times New Roman" w:eastAsia="Times New Roman" w:hAnsi="Times New Roman" w:cs="Times New Roman"/>
          <w:sz w:val="24"/>
          <w:szCs w:val="24"/>
          <w:lang w:val="en-GB" w:eastAsia="cs-CZ"/>
        </w:rPr>
        <w:t xml:space="preserve"> a similar consultation </w:t>
      </w:r>
      <w:r w:rsidRPr="00FA1502">
        <w:rPr>
          <w:rFonts w:ascii="Times New Roman" w:eastAsia="Times New Roman" w:hAnsi="Times New Roman" w:cs="Times New Roman"/>
          <w:sz w:val="24"/>
          <w:szCs w:val="24"/>
          <w:lang w:val="en-GB" w:eastAsia="cs-CZ"/>
        </w:rPr>
        <w:t>by 19 March 2020</w:t>
      </w:r>
      <w:bookmarkStart w:id="3" w:name="_ftnref5"/>
      <w:bookmarkEnd w:id="3"/>
      <w:r>
        <w:rPr>
          <w:rStyle w:val="FootnoteReference"/>
          <w:rFonts w:ascii="Times New Roman" w:eastAsia="Times New Roman" w:hAnsi="Times New Roman" w:cs="Times New Roman"/>
          <w:sz w:val="24"/>
          <w:szCs w:val="24"/>
          <w:lang w:val="en-GB" w:eastAsia="cs-CZ"/>
        </w:rPr>
        <w:footnoteReference w:id="6"/>
      </w:r>
      <w:r w:rsidRPr="00FA1502">
        <w:rPr>
          <w:rFonts w:ascii="Times New Roman" w:eastAsia="Times New Roman" w:hAnsi="Times New Roman" w:cs="Times New Roman"/>
          <w:sz w:val="24"/>
          <w:szCs w:val="24"/>
          <w:lang w:val="en-GB" w:eastAsia="cs-CZ"/>
        </w:rPr>
        <w:t>.</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National Strategy</w:t>
      </w:r>
      <w:r w:rsidRPr="00FA1502">
        <w:rPr>
          <w:rFonts w:ascii="Times New Roman" w:eastAsia="Times New Roman" w:hAnsi="Times New Roman" w:cs="Times New Roman"/>
          <w:sz w:val="24"/>
          <w:szCs w:val="24"/>
          <w:lang w:val="en-GB" w:eastAsia="cs-CZ"/>
        </w:rPr>
        <w:t xml:space="preserve"> itself refers to other related strategy papers and initiatives, such as the revision of </w:t>
      </w:r>
      <w:r w:rsidRPr="00FA1502">
        <w:rPr>
          <w:rFonts w:ascii="Times New Roman" w:eastAsia="Times New Roman" w:hAnsi="Times New Roman" w:cs="Times New Roman"/>
          <w:sz w:val="24"/>
          <w:szCs w:val="24"/>
          <w:lang w:val="en-GB" w:eastAsia="cs-CZ"/>
        </w:rPr>
        <w:t>the National Financial Literacy</w:t>
      </w:r>
      <w:r w:rsidRPr="00FA1502">
        <w:rPr>
          <w:rFonts w:ascii="Times New Roman" w:eastAsia="Times New Roman" w:hAnsi="Times New Roman" w:cs="Times New Roman"/>
          <w:sz w:val="24"/>
          <w:szCs w:val="24"/>
          <w:lang w:val="en-GB" w:eastAsia="cs-CZ"/>
        </w:rPr>
        <w:t xml:space="preserve"> Strategy 2.0 (approved by the Government on 13 January 2020)</w:t>
      </w:r>
      <w:bookmarkStart w:id="4" w:name="_ftnref6"/>
      <w:bookmarkEnd w:id="4"/>
      <w:r>
        <w:rPr>
          <w:rStyle w:val="FootnoteReference"/>
          <w:rFonts w:ascii="Times New Roman" w:eastAsia="Times New Roman" w:hAnsi="Times New Roman" w:cs="Times New Roman"/>
          <w:sz w:val="24"/>
          <w:szCs w:val="24"/>
          <w:lang w:val="en-GB" w:eastAsia="cs-CZ"/>
        </w:rPr>
        <w:footnoteReference w:id="7"/>
      </w:r>
      <w:r w:rsidRPr="00FA1502">
        <w:rPr>
          <w:rFonts w:ascii="Times New Roman" w:eastAsia="Times New Roman" w:hAnsi="Times New Roman" w:cs="Times New Roman"/>
          <w:sz w:val="24"/>
          <w:szCs w:val="24"/>
          <w:lang w:val="en-GB" w:eastAsia="cs-CZ"/>
        </w:rPr>
        <w:t xml:space="preserve">, My </w:t>
      </w:r>
      <w:r w:rsidRPr="00FA1502" w:rsidR="00D53BBD">
        <w:rPr>
          <w:rFonts w:ascii="Times New Roman" w:eastAsia="Times New Roman" w:hAnsi="Times New Roman" w:cs="Times New Roman"/>
          <w:sz w:val="24"/>
          <w:szCs w:val="24"/>
          <w:lang w:val="en-GB" w:eastAsia="cs-CZ"/>
        </w:rPr>
        <w:t>T</w:t>
      </w:r>
      <w:r w:rsidRPr="00FA1502">
        <w:rPr>
          <w:rFonts w:ascii="Times New Roman" w:eastAsia="Times New Roman" w:hAnsi="Times New Roman" w:cs="Times New Roman"/>
          <w:sz w:val="24"/>
          <w:szCs w:val="24"/>
          <w:lang w:val="en-GB" w:eastAsia="cs-CZ"/>
        </w:rPr>
        <w:t>axes initiative</w:t>
      </w:r>
      <w:bookmarkStart w:id="5" w:name="_ftnref7"/>
      <w:bookmarkEnd w:id="5"/>
      <w:r>
        <w:rPr>
          <w:rStyle w:val="FootnoteReference"/>
          <w:rFonts w:ascii="Times New Roman" w:eastAsia="Times New Roman" w:hAnsi="Times New Roman" w:cs="Times New Roman"/>
          <w:sz w:val="24"/>
          <w:szCs w:val="24"/>
          <w:lang w:val="en-GB" w:eastAsia="cs-CZ"/>
        </w:rPr>
        <w:footnoteReference w:id="8"/>
      </w:r>
      <w:r w:rsidRPr="00FA1502">
        <w:rPr>
          <w:rFonts w:ascii="Times New Roman" w:eastAsia="Times New Roman" w:hAnsi="Times New Roman" w:cs="Times New Roman"/>
          <w:sz w:val="24"/>
          <w:szCs w:val="24"/>
          <w:lang w:val="en-GB" w:eastAsia="cs-CZ"/>
        </w:rPr>
        <w:t>, State Ownership Policy Strategy (approved by the Government on 17 February 2020)</w:t>
      </w:r>
      <w:bookmarkStart w:id="6" w:name="_ftnref8"/>
      <w:bookmarkEnd w:id="6"/>
      <w:r>
        <w:rPr>
          <w:rStyle w:val="FootnoteReference"/>
          <w:rFonts w:ascii="Times New Roman" w:eastAsia="Times New Roman" w:hAnsi="Times New Roman" w:cs="Times New Roman"/>
          <w:sz w:val="24"/>
          <w:szCs w:val="24"/>
          <w:lang w:val="en-GB" w:eastAsia="cs-CZ"/>
        </w:rPr>
        <w:footnoteReference w:id="9"/>
      </w:r>
      <w:r w:rsidRPr="00FA1502">
        <w:rPr>
          <w:rFonts w:ascii="Times New Roman" w:eastAsia="Times New Roman" w:hAnsi="Times New Roman" w:cs="Times New Roman"/>
          <w:sz w:val="24"/>
          <w:szCs w:val="24"/>
          <w:lang w:val="en-GB" w:eastAsia="cs-CZ"/>
        </w:rPr>
        <w:t>, or the creation of a fund of funds of the European Investment Fund</w:t>
      </w:r>
      <w:bookmarkStart w:id="7" w:name="_ftnref9"/>
      <w:bookmarkEnd w:id="7"/>
      <w:r>
        <w:rPr>
          <w:rStyle w:val="FootnoteReference"/>
          <w:rFonts w:ascii="Times New Roman" w:eastAsia="Times New Roman" w:hAnsi="Times New Roman" w:cs="Times New Roman"/>
          <w:sz w:val="24"/>
          <w:szCs w:val="24"/>
          <w:lang w:val="en-GB" w:eastAsia="cs-CZ"/>
        </w:rPr>
        <w:footnoteReference w:id="10"/>
      </w:r>
      <w:r w:rsidRPr="00FA1502">
        <w:rPr>
          <w:rFonts w:ascii="Times New Roman" w:eastAsia="Times New Roman" w:hAnsi="Times New Roman" w:cs="Times New Roman"/>
          <w:sz w:val="24"/>
          <w:szCs w:val="24"/>
          <w:lang w:val="en-GB" w:eastAsia="cs-CZ"/>
        </w:rPr>
        <w:t>. During the finalization of the</w:t>
      </w:r>
      <w:r w:rsidRPr="00FA1502">
        <w:rPr>
          <w:rFonts w:ascii="Times New Roman" w:eastAsia="Times New Roman" w:hAnsi="Times New Roman" w:cs="Times New Roman"/>
          <w:sz w:val="24"/>
          <w:szCs w:val="24"/>
          <w:lang w:val="en-GB" w:eastAsia="cs-CZ"/>
        </w:rPr>
        <w:t xml:space="preserve"> National Strategy</w:t>
      </w:r>
      <w:r w:rsidRPr="00FA1502">
        <w:rPr>
          <w:rFonts w:ascii="Times New Roman" w:eastAsia="Times New Roman" w:hAnsi="Times New Roman" w:cs="Times New Roman"/>
          <w:sz w:val="24"/>
          <w:szCs w:val="24"/>
          <w:lang w:val="en-GB" w:eastAsia="cs-CZ"/>
        </w:rPr>
        <w:t xml:space="preserve">, other strategic documents </w:t>
      </w:r>
      <w:r w:rsidRPr="00FA1502" w:rsidR="00D53BBD">
        <w:rPr>
          <w:rFonts w:ascii="Times New Roman" w:eastAsia="Times New Roman" w:hAnsi="Times New Roman" w:cs="Times New Roman"/>
          <w:sz w:val="24"/>
          <w:szCs w:val="24"/>
          <w:lang w:val="en-GB" w:eastAsia="cs-CZ"/>
        </w:rPr>
        <w:t xml:space="preserve">(or at least the intention to prepare them) </w:t>
      </w:r>
      <w:r w:rsidRPr="00FA1502">
        <w:rPr>
          <w:rFonts w:ascii="Times New Roman" w:eastAsia="Times New Roman" w:hAnsi="Times New Roman" w:cs="Times New Roman"/>
          <w:sz w:val="24"/>
          <w:szCs w:val="24"/>
          <w:lang w:val="en-GB" w:eastAsia="cs-CZ"/>
        </w:rPr>
        <w:t>related to the development of the capital market in the Czech Repub</w:t>
      </w:r>
      <w:r w:rsidRPr="00FA1502" w:rsidR="00D53BBD">
        <w:rPr>
          <w:rFonts w:ascii="Times New Roman" w:eastAsia="Times New Roman" w:hAnsi="Times New Roman" w:cs="Times New Roman"/>
          <w:sz w:val="24"/>
          <w:szCs w:val="24"/>
          <w:lang w:val="en-GB" w:eastAsia="cs-CZ"/>
        </w:rPr>
        <w:t>lic were approved or elaborated</w:t>
      </w:r>
      <w:r w:rsidRPr="00FA1502">
        <w:rPr>
          <w:rFonts w:ascii="Times New Roman" w:eastAsia="Times New Roman" w:hAnsi="Times New Roman" w:cs="Times New Roman"/>
          <w:sz w:val="24"/>
          <w:szCs w:val="24"/>
          <w:lang w:val="en-GB" w:eastAsia="cs-CZ"/>
        </w:rPr>
        <w:t>, e</w:t>
      </w:r>
      <w:r w:rsidRPr="00FA1502" w:rsidR="00D53BBD">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g</w:t>
      </w:r>
      <w:r w:rsidRPr="00FA1502" w:rsidR="00D53BBD">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t>
      </w:r>
      <w:r w:rsidRPr="00FA1502" w:rsidR="00D53BBD">
        <w:rPr>
          <w:rFonts w:ascii="Times New Roman" w:eastAsia="Times New Roman" w:hAnsi="Times New Roman" w:cs="Times New Roman"/>
          <w:sz w:val="24"/>
          <w:szCs w:val="24"/>
          <w:lang w:val="en-GB" w:eastAsia="cs-CZ"/>
        </w:rPr>
        <w:t>t</w:t>
      </w:r>
      <w:r w:rsidRPr="00FA1502">
        <w:rPr>
          <w:rFonts w:ascii="Times New Roman" w:eastAsia="Times New Roman" w:hAnsi="Times New Roman" w:cs="Times New Roman"/>
          <w:sz w:val="24"/>
          <w:szCs w:val="24"/>
          <w:lang w:val="en-GB" w:eastAsia="cs-CZ"/>
        </w:rPr>
        <w:t xml:space="preserve">hat there is </w:t>
      </w:r>
      <w:r w:rsidRPr="00FA1502" w:rsidR="00D53BBD">
        <w:rPr>
          <w:rFonts w:ascii="Times New Roman" w:eastAsia="Times New Roman" w:hAnsi="Times New Roman" w:cs="Times New Roman"/>
          <w:sz w:val="24"/>
          <w:szCs w:val="24"/>
          <w:lang w:val="en-GB" w:eastAsia="cs-CZ"/>
        </w:rPr>
        <w:t xml:space="preserve">a </w:t>
      </w:r>
      <w:r w:rsidRPr="00FA1502">
        <w:rPr>
          <w:rFonts w:ascii="Times New Roman" w:eastAsia="Times New Roman" w:hAnsi="Times New Roman" w:cs="Times New Roman"/>
          <w:sz w:val="24"/>
          <w:szCs w:val="24"/>
          <w:lang w:val="en-GB" w:eastAsia="cs-CZ"/>
        </w:rPr>
        <w:t xml:space="preserve">clearly declared interest in transforming the Czech economy into an innovative economy </w:t>
      </w:r>
      <w:r w:rsidRPr="00FA1502" w:rsidR="00D53BBD">
        <w:rPr>
          <w:rFonts w:ascii="Times New Roman" w:eastAsia="Times New Roman" w:hAnsi="Times New Roman" w:cs="Times New Roman"/>
          <w:sz w:val="24"/>
          <w:szCs w:val="24"/>
          <w:lang w:val="en-GB" w:eastAsia="cs-CZ"/>
        </w:rPr>
        <w:t>and ensuring access of start-ups to financing</w:t>
      </w:r>
      <w:r w:rsidRPr="00FA1502">
        <w:rPr>
          <w:rFonts w:ascii="Times New Roman" w:eastAsia="Times New Roman" w:hAnsi="Times New Roman" w:cs="Times New Roman"/>
          <w:sz w:val="24"/>
          <w:szCs w:val="24"/>
          <w:lang w:val="en-GB" w:eastAsia="cs-CZ"/>
        </w:rPr>
        <w:t>. In particular, the Digital Czech Initiative (approved by the Government on 3 October 2018)</w:t>
      </w:r>
      <w:bookmarkStart w:id="8" w:name="_ftnref10"/>
      <w:bookmarkEnd w:id="8"/>
      <w:r>
        <w:rPr>
          <w:rStyle w:val="FootnoteReference"/>
          <w:rFonts w:ascii="Times New Roman" w:eastAsia="Times New Roman" w:hAnsi="Times New Roman" w:cs="Times New Roman"/>
          <w:sz w:val="24"/>
          <w:szCs w:val="24"/>
          <w:lang w:val="en-GB" w:eastAsia="cs-CZ"/>
        </w:rPr>
        <w:footnoteReference w:id="11"/>
      </w:r>
      <w:r w:rsidRPr="00FA1502">
        <w:rPr>
          <w:rFonts w:ascii="Times New Roman" w:eastAsia="Times New Roman" w:hAnsi="Times New Roman" w:cs="Times New Roman"/>
          <w:sz w:val="24"/>
          <w:szCs w:val="24"/>
          <w:lang w:val="en-GB" w:eastAsia="cs-CZ"/>
        </w:rPr>
        <w:t>, Innovation Strategy of the Czech Republic 2019-2030</w:t>
      </w:r>
      <w:bookmarkStart w:id="9" w:name="_ftnref11"/>
      <w:bookmarkEnd w:id="9"/>
      <w:r>
        <w:rPr>
          <w:rStyle w:val="FootnoteReference"/>
          <w:rFonts w:ascii="Times New Roman" w:eastAsia="Times New Roman" w:hAnsi="Times New Roman" w:cs="Times New Roman"/>
          <w:sz w:val="24"/>
          <w:szCs w:val="24"/>
          <w:lang w:val="en-GB" w:eastAsia="cs-CZ"/>
        </w:rPr>
        <w:footnoteReference w:id="12"/>
      </w:r>
      <w:r w:rsidRPr="00FA1502" w:rsidR="00203829">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 xml:space="preserve">approved by the </w:t>
      </w:r>
      <w:r w:rsidRPr="00FA1502">
        <w:rPr>
          <w:rFonts w:ascii="Times New Roman" w:eastAsia="Times New Roman" w:hAnsi="Times New Roman" w:cs="Times New Roman"/>
          <w:sz w:val="24"/>
          <w:szCs w:val="24"/>
          <w:lang w:val="en-GB" w:eastAsia="cs-CZ"/>
        </w:rPr>
        <w:t>Government on 4 February 2019</w:t>
      </w:r>
      <w:r w:rsidRPr="00FA1502" w:rsidR="00203829">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Strategic Framework of the Czech Republic 2030 (approved by the Government on 19 April 2017)</w:t>
      </w:r>
      <w:bookmarkStart w:id="10" w:name="_ftnref12"/>
      <w:bookmarkEnd w:id="10"/>
      <w:r>
        <w:rPr>
          <w:rStyle w:val="FootnoteReference"/>
          <w:rFonts w:ascii="Times New Roman" w:eastAsia="Times New Roman" w:hAnsi="Times New Roman" w:cs="Times New Roman"/>
          <w:sz w:val="24"/>
          <w:szCs w:val="24"/>
          <w:lang w:val="en-GB" w:eastAsia="cs-CZ"/>
        </w:rPr>
        <w:footnoteReference w:id="13"/>
      </w:r>
      <w:r w:rsidRPr="00FA1502">
        <w:rPr>
          <w:rFonts w:ascii="Times New Roman" w:eastAsia="Times New Roman" w:hAnsi="Times New Roman" w:cs="Times New Roman"/>
          <w:sz w:val="24"/>
          <w:szCs w:val="24"/>
          <w:lang w:val="en-GB" w:eastAsia="cs-CZ"/>
        </w:rPr>
        <w:t xml:space="preserve">, Government Memorandum of Cooperation with the </w:t>
      </w:r>
      <w:r w:rsidRPr="00FA1502">
        <w:rPr>
          <w:rFonts w:ascii="Times New Roman" w:eastAsia="Times New Roman" w:hAnsi="Times New Roman" w:cs="Times New Roman"/>
          <w:sz w:val="24"/>
          <w:szCs w:val="24"/>
          <w:lang w:val="en-GB" w:eastAsia="cs-CZ"/>
        </w:rPr>
        <w:t>Blockchain</w:t>
      </w:r>
      <w:r w:rsidRPr="00FA1502">
        <w:rPr>
          <w:rFonts w:ascii="Times New Roman" w:eastAsia="Times New Roman" w:hAnsi="Times New Roman" w:cs="Times New Roman"/>
          <w:sz w:val="24"/>
          <w:szCs w:val="24"/>
          <w:lang w:val="en-GB" w:eastAsia="cs-CZ"/>
        </w:rPr>
        <w:t xml:space="preserve"> Republic</w:t>
      </w:r>
      <w:bookmarkStart w:id="11" w:name="_ftnref13"/>
      <w:bookmarkEnd w:id="11"/>
      <w:r>
        <w:rPr>
          <w:rStyle w:val="FootnoteReference"/>
          <w:rFonts w:ascii="Times New Roman" w:eastAsia="Times New Roman" w:hAnsi="Times New Roman" w:cs="Times New Roman"/>
          <w:sz w:val="24"/>
          <w:szCs w:val="24"/>
          <w:lang w:val="en-GB" w:eastAsia="cs-CZ"/>
        </w:rPr>
        <w:footnoteReference w:id="14"/>
      </w:r>
      <w:r w:rsidRPr="00FA1502">
        <w:rPr>
          <w:rFonts w:ascii="Times New Roman" w:eastAsia="Times New Roman" w:hAnsi="Times New Roman" w:cs="Times New Roman"/>
          <w:sz w:val="24"/>
          <w:szCs w:val="24"/>
          <w:lang w:val="en-GB" w:eastAsia="cs-CZ"/>
        </w:rPr>
        <w:t xml:space="preserve">, National Strategy of Artificial Intelligence in the Czech Republic (approved by the </w:t>
      </w:r>
      <w:r w:rsidRPr="00FA1502" w:rsidR="00541D6F">
        <w:rPr>
          <w:rFonts w:ascii="Times New Roman" w:eastAsia="Times New Roman" w:hAnsi="Times New Roman" w:cs="Times New Roman"/>
          <w:sz w:val="24"/>
          <w:szCs w:val="24"/>
          <w:lang w:val="en-GB" w:eastAsia="cs-CZ"/>
        </w:rPr>
        <w:t>G</w:t>
      </w:r>
      <w:r w:rsidRPr="00FA1502">
        <w:rPr>
          <w:rFonts w:ascii="Times New Roman" w:eastAsia="Times New Roman" w:hAnsi="Times New Roman" w:cs="Times New Roman"/>
          <w:sz w:val="24"/>
          <w:szCs w:val="24"/>
          <w:lang w:val="en-GB" w:eastAsia="cs-CZ"/>
        </w:rPr>
        <w:t xml:space="preserve">overnment on </w:t>
      </w:r>
      <w:r w:rsidRPr="00FA1502" w:rsidR="00203829">
        <w:rPr>
          <w:rFonts w:ascii="Times New Roman" w:eastAsia="Times New Roman" w:hAnsi="Times New Roman" w:cs="Times New Roman"/>
          <w:sz w:val="24"/>
          <w:szCs w:val="24"/>
          <w:lang w:val="en-GB" w:eastAsia="cs-CZ"/>
        </w:rPr>
        <w:t>6 May</w:t>
      </w:r>
      <w:r w:rsidRPr="00FA1502">
        <w:rPr>
          <w:rFonts w:ascii="Times New Roman" w:eastAsia="Times New Roman" w:hAnsi="Times New Roman" w:cs="Times New Roman"/>
          <w:sz w:val="24"/>
          <w:szCs w:val="24"/>
          <w:lang w:val="en-GB" w:eastAsia="cs-CZ"/>
        </w:rPr>
        <w:t xml:space="preserve"> 2019)</w:t>
      </w:r>
      <w:bookmarkStart w:id="12" w:name="_ftnref14"/>
      <w:bookmarkEnd w:id="12"/>
      <w:r>
        <w:rPr>
          <w:rStyle w:val="FootnoteReference"/>
          <w:rFonts w:ascii="Times New Roman" w:eastAsia="Times New Roman" w:hAnsi="Times New Roman" w:cs="Times New Roman"/>
          <w:sz w:val="24"/>
          <w:szCs w:val="24"/>
          <w:lang w:val="en-GB" w:eastAsia="cs-CZ"/>
        </w:rPr>
        <w:footnoteReference w:id="15"/>
      </w:r>
      <w:r w:rsidRPr="00FA1502">
        <w:rPr>
          <w:rFonts w:ascii="Times New Roman" w:eastAsia="Times New Roman" w:hAnsi="Times New Roman" w:cs="Times New Roman"/>
          <w:sz w:val="24"/>
          <w:szCs w:val="24"/>
          <w:lang w:val="en-GB" w:eastAsia="cs-CZ"/>
        </w:rPr>
        <w:t xml:space="preserve">, Economic Strategy of the Czech Republic (Government approved theses on </w:t>
      </w:r>
      <w:r w:rsidRPr="00FA1502" w:rsidR="00203829">
        <w:rPr>
          <w:rFonts w:ascii="Times New Roman" w:eastAsia="Times New Roman" w:hAnsi="Times New Roman" w:cs="Times New Roman"/>
          <w:sz w:val="24"/>
          <w:szCs w:val="24"/>
          <w:lang w:val="en-GB" w:eastAsia="cs-CZ"/>
        </w:rPr>
        <w:t xml:space="preserve">20 </w:t>
      </w:r>
      <w:r w:rsidRPr="00FA1502">
        <w:rPr>
          <w:rFonts w:ascii="Times New Roman" w:eastAsia="Times New Roman" w:hAnsi="Times New Roman" w:cs="Times New Roman"/>
          <w:sz w:val="24"/>
          <w:szCs w:val="24"/>
          <w:lang w:val="en-GB" w:eastAsia="cs-CZ"/>
        </w:rPr>
        <w:t>January 2020)</w:t>
      </w:r>
      <w:bookmarkStart w:id="13" w:name="_ftnref15"/>
      <w:bookmarkEnd w:id="13"/>
      <w:r>
        <w:rPr>
          <w:rStyle w:val="FootnoteReference"/>
          <w:rFonts w:ascii="Times New Roman" w:eastAsia="Times New Roman" w:hAnsi="Times New Roman" w:cs="Times New Roman"/>
          <w:sz w:val="24"/>
          <w:szCs w:val="24"/>
          <w:lang w:val="en-GB" w:eastAsia="cs-CZ"/>
        </w:rPr>
        <w:footnoteReference w:id="16"/>
      </w:r>
      <w:r w:rsidRPr="00FA1502" w:rsidR="00203829">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or the National Development Fund</w:t>
      </w:r>
      <w:bookmarkStart w:id="14" w:name="_ftnref16"/>
      <w:bookmarkEnd w:id="14"/>
      <w:r>
        <w:rPr>
          <w:rStyle w:val="FootnoteReference"/>
          <w:rFonts w:ascii="Times New Roman" w:eastAsia="Times New Roman" w:hAnsi="Times New Roman" w:cs="Times New Roman"/>
          <w:sz w:val="24"/>
          <w:szCs w:val="24"/>
          <w:lang w:val="en-GB" w:eastAsia="cs-CZ"/>
        </w:rPr>
        <w:footnoteReference w:id="17"/>
      </w:r>
      <w:r w:rsidRPr="00FA1502">
        <w:rPr>
          <w:rFonts w:ascii="Times New Roman" w:eastAsia="Times New Roman" w:hAnsi="Times New Roman" w:cs="Times New Roman"/>
          <w:sz w:val="24"/>
          <w:szCs w:val="24"/>
          <w:lang w:val="en-GB" w:eastAsia="cs-CZ"/>
        </w:rPr>
        <w:t>. An important initiative in terms of the structure of savings of Czech households is the project Bonds of the Republic</w:t>
      </w:r>
      <w:bookmarkStart w:id="15" w:name="_ftnref17"/>
      <w:bookmarkEnd w:id="15"/>
      <w:r>
        <w:rPr>
          <w:rStyle w:val="FootnoteReference"/>
          <w:rFonts w:ascii="Times New Roman" w:eastAsia="Times New Roman" w:hAnsi="Times New Roman" w:cs="Times New Roman"/>
          <w:sz w:val="24"/>
          <w:szCs w:val="24"/>
          <w:lang w:val="en-GB" w:eastAsia="cs-CZ"/>
        </w:rPr>
        <w:footnoteReference w:id="18"/>
      </w:r>
      <w:r w:rsidRPr="00FA1502">
        <w:rPr>
          <w:rFonts w:ascii="Times New Roman" w:eastAsia="Times New Roman" w:hAnsi="Times New Roman" w:cs="Times New Roman"/>
          <w:sz w:val="24"/>
          <w:szCs w:val="24"/>
          <w:lang w:val="en-GB" w:eastAsia="cs-CZ"/>
        </w:rPr>
        <w:t>.</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National Strategy</w:t>
      </w:r>
      <w:r w:rsidRPr="00FA1502">
        <w:rPr>
          <w:rFonts w:ascii="Times New Roman" w:eastAsia="Times New Roman" w:hAnsi="Times New Roman" w:cs="Times New Roman"/>
          <w:sz w:val="24"/>
          <w:szCs w:val="24"/>
          <w:lang w:val="en-GB" w:eastAsia="cs-CZ"/>
        </w:rPr>
        <w:t xml:space="preserve"> refers to foreign models for a national strategy for capital market development, such as Ireland</w:t>
      </w:r>
      <w:bookmarkStart w:id="16" w:name="_ftnref18"/>
      <w:bookmarkEnd w:id="16"/>
      <w:r>
        <w:rPr>
          <w:rStyle w:val="FootnoteReference"/>
          <w:rFonts w:ascii="Times New Roman" w:eastAsia="Times New Roman" w:hAnsi="Times New Roman" w:cs="Times New Roman"/>
          <w:sz w:val="24"/>
          <w:szCs w:val="24"/>
          <w:lang w:val="en-GB" w:eastAsia="cs-CZ"/>
        </w:rPr>
        <w:footnoteReference w:id="19"/>
      </w:r>
      <w:r w:rsidRPr="00FA1502">
        <w:rPr>
          <w:rFonts w:ascii="Times New Roman" w:eastAsia="Times New Roman" w:hAnsi="Times New Roman" w:cs="Times New Roman"/>
          <w:sz w:val="24"/>
          <w:szCs w:val="24"/>
          <w:lang w:val="en-GB" w:eastAsia="cs-CZ"/>
        </w:rPr>
        <w:t>, Luxembourg</w:t>
      </w:r>
      <w:bookmarkStart w:id="17" w:name="_ftnref19"/>
      <w:bookmarkEnd w:id="17"/>
      <w:r>
        <w:rPr>
          <w:rStyle w:val="FootnoteReference"/>
          <w:rFonts w:ascii="Times New Roman" w:eastAsia="Times New Roman" w:hAnsi="Times New Roman" w:cs="Times New Roman"/>
          <w:sz w:val="24"/>
          <w:szCs w:val="24"/>
          <w:lang w:val="en-GB" w:eastAsia="cs-CZ"/>
        </w:rPr>
        <w:footnoteReference w:id="20"/>
      </w:r>
      <w:r w:rsidRPr="00FA1502">
        <w:rPr>
          <w:rFonts w:ascii="Times New Roman" w:eastAsia="Times New Roman" w:hAnsi="Times New Roman" w:cs="Times New Roman"/>
          <w:sz w:val="24"/>
          <w:szCs w:val="24"/>
          <w:lang w:val="en-GB" w:eastAsia="cs-CZ"/>
        </w:rPr>
        <w:t>, Slovakia</w:t>
      </w:r>
      <w:bookmarkStart w:id="18" w:name="_ftnref20"/>
      <w:bookmarkEnd w:id="18"/>
      <w:r>
        <w:rPr>
          <w:rStyle w:val="FootnoteReference"/>
          <w:rFonts w:ascii="Times New Roman" w:eastAsia="Times New Roman" w:hAnsi="Times New Roman" w:cs="Times New Roman"/>
          <w:sz w:val="24"/>
          <w:szCs w:val="24"/>
          <w:lang w:val="en-GB" w:eastAsia="cs-CZ"/>
        </w:rPr>
        <w:footnoteReference w:id="21"/>
      </w:r>
      <w:r w:rsidRPr="00FA1502">
        <w:rPr>
          <w:rFonts w:ascii="Times New Roman" w:eastAsia="Times New Roman" w:hAnsi="Times New Roman" w:cs="Times New Roman"/>
          <w:sz w:val="24"/>
          <w:szCs w:val="24"/>
          <w:lang w:val="en-GB" w:eastAsia="cs-CZ"/>
        </w:rPr>
        <w:t>, Bulgaria</w:t>
      </w:r>
      <w:bookmarkStart w:id="19" w:name="_ftnref21"/>
      <w:bookmarkEnd w:id="19"/>
      <w:r>
        <w:rPr>
          <w:rStyle w:val="FootnoteReference"/>
          <w:rFonts w:ascii="Times New Roman" w:eastAsia="Times New Roman" w:hAnsi="Times New Roman" w:cs="Times New Roman"/>
          <w:sz w:val="24"/>
          <w:szCs w:val="24"/>
          <w:lang w:val="en-GB" w:eastAsia="cs-CZ"/>
        </w:rPr>
        <w:footnoteReference w:id="22"/>
      </w:r>
      <w:r w:rsidRPr="00FA1502">
        <w:rPr>
          <w:rFonts w:ascii="Times New Roman" w:eastAsia="Times New Roman" w:hAnsi="Times New Roman" w:cs="Times New Roman"/>
          <w:sz w:val="24"/>
          <w:szCs w:val="24"/>
          <w:lang w:val="en-GB" w:eastAsia="cs-CZ"/>
        </w:rPr>
        <w:t>, Hungary</w:t>
      </w:r>
      <w:bookmarkStart w:id="20" w:name="_ftnref22"/>
      <w:bookmarkEnd w:id="20"/>
      <w:r>
        <w:rPr>
          <w:rStyle w:val="FootnoteReference"/>
          <w:rFonts w:ascii="Times New Roman" w:eastAsia="Times New Roman" w:hAnsi="Times New Roman" w:cs="Times New Roman"/>
          <w:sz w:val="24"/>
          <w:szCs w:val="24"/>
          <w:lang w:val="en-GB" w:eastAsia="cs-CZ"/>
        </w:rPr>
        <w:footnoteReference w:id="23"/>
      </w:r>
      <w:r w:rsidRPr="00FA1502" w:rsidR="00EC50E1">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or Latvia</w:t>
      </w:r>
      <w:bookmarkStart w:id="21" w:name="_ftnref23"/>
      <w:bookmarkEnd w:id="21"/>
      <w:r>
        <w:rPr>
          <w:rStyle w:val="FootnoteReference"/>
          <w:rFonts w:ascii="Times New Roman" w:eastAsia="Times New Roman" w:hAnsi="Times New Roman" w:cs="Times New Roman"/>
          <w:sz w:val="24"/>
          <w:szCs w:val="24"/>
          <w:lang w:val="en-GB" w:eastAsia="cs-CZ"/>
        </w:rPr>
        <w:footnoteReference w:id="24"/>
      </w:r>
      <w:r w:rsidRPr="00FA1502">
        <w:rPr>
          <w:rFonts w:ascii="Times New Roman" w:eastAsia="Times New Roman" w:hAnsi="Times New Roman" w:cs="Times New Roman"/>
          <w:sz w:val="24"/>
          <w:szCs w:val="24"/>
          <w:lang w:val="en-GB" w:eastAsia="cs-CZ"/>
        </w:rPr>
        <w:t xml:space="preserve">. Inspiration in Poland has also recently proved important, where the Polish government approved on </w:t>
      </w:r>
      <w:r w:rsidRPr="00FA1502" w:rsidR="00EC50E1">
        <w:rPr>
          <w:rFonts w:ascii="Times New Roman" w:eastAsia="Times New Roman" w:hAnsi="Times New Roman" w:cs="Times New Roman"/>
          <w:sz w:val="24"/>
          <w:szCs w:val="24"/>
          <w:lang w:val="en-GB" w:eastAsia="cs-CZ"/>
        </w:rPr>
        <w:t xml:space="preserve">1 </w:t>
      </w:r>
      <w:r w:rsidRPr="00FA1502">
        <w:rPr>
          <w:rFonts w:ascii="Times New Roman" w:eastAsia="Times New Roman" w:hAnsi="Times New Roman" w:cs="Times New Roman"/>
          <w:sz w:val="24"/>
          <w:szCs w:val="24"/>
          <w:lang w:val="en-GB" w:eastAsia="cs-CZ"/>
        </w:rPr>
        <w:t>October</w:t>
      </w:r>
      <w:r w:rsidRPr="00FA1502" w:rsidR="00EC50E1">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2019 the national strategy for the deve</w:t>
      </w:r>
      <w:r w:rsidRPr="00FA1502" w:rsidR="00EC50E1">
        <w:rPr>
          <w:rFonts w:ascii="Times New Roman" w:eastAsia="Times New Roman" w:hAnsi="Times New Roman" w:cs="Times New Roman"/>
          <w:sz w:val="24"/>
          <w:szCs w:val="24"/>
          <w:lang w:val="en-GB" w:eastAsia="cs-CZ"/>
        </w:rPr>
        <w:t>lopment of the capital market “</w:t>
      </w:r>
      <w:r w:rsidRPr="00FA1502">
        <w:rPr>
          <w:rFonts w:ascii="Times New Roman" w:eastAsia="Times New Roman" w:hAnsi="Times New Roman" w:cs="Times New Roman"/>
          <w:i/>
          <w:iCs/>
          <w:sz w:val="24"/>
          <w:szCs w:val="24"/>
          <w:lang w:val="en-GB" w:eastAsia="cs-CZ"/>
        </w:rPr>
        <w:t>Strategia</w:t>
      </w:r>
      <w:r w:rsidRPr="00FA1502">
        <w:rPr>
          <w:rFonts w:ascii="Times New Roman" w:eastAsia="Times New Roman" w:hAnsi="Times New Roman" w:cs="Times New Roman"/>
          <w:i/>
          <w:iCs/>
          <w:sz w:val="24"/>
          <w:szCs w:val="24"/>
          <w:lang w:val="en-GB" w:eastAsia="cs-CZ"/>
        </w:rPr>
        <w:t xml:space="preserve"> </w:t>
      </w:r>
      <w:r w:rsidRPr="00FA1502">
        <w:rPr>
          <w:rFonts w:ascii="Times New Roman" w:eastAsia="Times New Roman" w:hAnsi="Times New Roman" w:cs="Times New Roman"/>
          <w:i/>
          <w:iCs/>
          <w:sz w:val="24"/>
          <w:szCs w:val="24"/>
          <w:lang w:val="en-GB" w:eastAsia="cs-CZ"/>
        </w:rPr>
        <w:t>Rozwoju</w:t>
      </w:r>
      <w:r w:rsidRPr="00FA1502">
        <w:rPr>
          <w:rFonts w:ascii="Times New Roman" w:eastAsia="Times New Roman" w:hAnsi="Times New Roman" w:cs="Times New Roman"/>
          <w:i/>
          <w:iCs/>
          <w:sz w:val="24"/>
          <w:szCs w:val="24"/>
          <w:lang w:val="en-GB" w:eastAsia="cs-CZ"/>
        </w:rPr>
        <w:t xml:space="preserve"> </w:t>
      </w:r>
      <w:r w:rsidRPr="00FA1502">
        <w:rPr>
          <w:rFonts w:ascii="Times New Roman" w:eastAsia="Times New Roman" w:hAnsi="Times New Roman" w:cs="Times New Roman"/>
          <w:i/>
          <w:iCs/>
          <w:sz w:val="24"/>
          <w:szCs w:val="24"/>
          <w:lang w:val="en-GB" w:eastAsia="cs-CZ"/>
        </w:rPr>
        <w:t>Rynku</w:t>
      </w:r>
      <w:r w:rsidRPr="00FA1502">
        <w:rPr>
          <w:rFonts w:ascii="Times New Roman" w:eastAsia="Times New Roman" w:hAnsi="Times New Roman" w:cs="Times New Roman"/>
          <w:i/>
          <w:iCs/>
          <w:sz w:val="24"/>
          <w:szCs w:val="24"/>
          <w:lang w:val="en-GB" w:eastAsia="cs-CZ"/>
        </w:rPr>
        <w:t xml:space="preserve"> </w:t>
      </w:r>
      <w:r w:rsidRPr="00FA1502">
        <w:rPr>
          <w:rFonts w:ascii="Times New Roman" w:eastAsia="Times New Roman" w:hAnsi="Times New Roman" w:cs="Times New Roman"/>
          <w:i/>
          <w:iCs/>
          <w:sz w:val="24"/>
          <w:szCs w:val="24"/>
          <w:lang w:val="en-GB" w:eastAsia="cs-CZ"/>
        </w:rPr>
        <w:t>Kapitałowego</w:t>
      </w:r>
      <w:r w:rsidRPr="00FA1502">
        <w:rPr>
          <w:rFonts w:ascii="Times New Roman" w:eastAsia="Times New Roman" w:hAnsi="Times New Roman" w:cs="Times New Roman"/>
          <w:sz w:val="24"/>
          <w:szCs w:val="24"/>
          <w:lang w:val="en-GB" w:eastAsia="cs-CZ"/>
        </w:rPr>
        <w:t>”</w:t>
      </w:r>
      <w:bookmarkStart w:id="22" w:name="_ftnref24"/>
      <w:bookmarkEnd w:id="22"/>
      <w:r>
        <w:rPr>
          <w:rStyle w:val="FootnoteReference"/>
          <w:rFonts w:ascii="Times New Roman" w:eastAsia="Times New Roman" w:hAnsi="Times New Roman" w:cs="Times New Roman"/>
          <w:sz w:val="24"/>
          <w:szCs w:val="24"/>
          <w:lang w:val="en-GB" w:eastAsia="cs-CZ"/>
        </w:rPr>
        <w:footnoteReference w:id="25"/>
      </w:r>
      <w:r w:rsidRPr="00FA1502" w:rsidR="00EC50E1">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 xml:space="preserve">prepared in cooperation with the </w:t>
      </w:r>
      <w:r w:rsidRPr="00FA1502">
        <w:rPr>
          <w:rFonts w:ascii="Times New Roman" w:eastAsia="Times New Roman" w:hAnsi="Times New Roman" w:cs="Times New Roman"/>
          <w:iCs/>
          <w:sz w:val="24"/>
          <w:szCs w:val="24"/>
          <w:lang w:val="en-GB" w:eastAsia="cs-CZ"/>
        </w:rPr>
        <w:t>European Bank for Reconstruction and Development</w:t>
      </w:r>
      <w:r w:rsidRPr="00FA1502">
        <w:rPr>
          <w:rFonts w:ascii="Times New Roman" w:eastAsia="Times New Roman" w:hAnsi="Times New Roman" w:cs="Times New Roman"/>
          <w:i/>
          <w:iCs/>
          <w:sz w:val="24"/>
          <w:szCs w:val="24"/>
          <w:lang w:val="en-GB" w:eastAsia="cs-CZ"/>
        </w:rPr>
        <w:t xml:space="preserve"> </w:t>
      </w:r>
      <w:r w:rsidRPr="00FA1502" w:rsidR="00EC50E1">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EBRD). </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Act</w:t>
      </w:r>
      <w:r w:rsidRPr="00FA1502">
        <w:rPr>
          <w:rFonts w:ascii="Times New Roman" w:eastAsia="Times New Roman" w:hAnsi="Times New Roman" w:cs="Times New Roman"/>
          <w:sz w:val="24"/>
          <w:szCs w:val="24"/>
          <w:lang w:val="en-GB" w:eastAsia="cs-CZ"/>
        </w:rPr>
        <w:t xml:space="preserve"> seeks to respond to the shortcomings of the current legislation ident</w:t>
      </w:r>
      <w:r w:rsidRPr="00FA1502">
        <w:rPr>
          <w:rFonts w:ascii="Times New Roman" w:eastAsia="Times New Roman" w:hAnsi="Times New Roman" w:cs="Times New Roman"/>
          <w:sz w:val="24"/>
          <w:szCs w:val="24"/>
          <w:lang w:val="en-GB" w:eastAsia="cs-CZ"/>
        </w:rPr>
        <w:t>ified when preparing the National Strategy</w:t>
      </w:r>
      <w:r w:rsidRPr="00FA1502">
        <w:rPr>
          <w:rFonts w:ascii="Times New Roman" w:eastAsia="Times New Roman" w:hAnsi="Times New Roman" w:cs="Times New Roman"/>
          <w:sz w:val="24"/>
          <w:szCs w:val="24"/>
          <w:lang w:val="en-GB" w:eastAsia="cs-CZ"/>
        </w:rPr>
        <w:t>:</w:t>
      </w:r>
    </w:p>
    <w:p w:rsidR="00176359" w:rsidRPr="00FA1502" w:rsidP="00A7116F">
      <w:pPr>
        <w:keepNext/>
        <w:widowControl w:val="0"/>
        <w:numPr>
          <w:ilvl w:val="0"/>
          <w:numId w:val="3"/>
        </w:numPr>
        <w:spacing w:before="120" w:after="120" w:line="240" w:lineRule="auto"/>
        <w:ind w:left="1418" w:hanging="284"/>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Individual savings account</w:t>
      </w:r>
      <w:r w:rsidRPr="00FA1502">
        <w:rPr>
          <w:rFonts w:ascii="Times New Roman" w:eastAsia="Times New Roman" w:hAnsi="Times New Roman" w:cs="Times New Roman"/>
          <w:sz w:val="24"/>
          <w:szCs w:val="24"/>
          <w:u w:val="single"/>
          <w:lang w:val="en-GB" w:eastAsia="cs-CZ"/>
        </w:rPr>
        <w:t>:</w:t>
      </w:r>
      <w:r w:rsidRPr="00FA1502">
        <w:rPr>
          <w:rFonts w:ascii="Times New Roman" w:eastAsia="Times New Roman" w:hAnsi="Times New Roman" w:cs="Times New Roman"/>
          <w:sz w:val="24"/>
          <w:szCs w:val="24"/>
          <w:lang w:val="en-GB" w:eastAsia="cs-CZ"/>
        </w:rPr>
        <w:t xml:space="preserve"> Nowadays, the Czech Republic supports tax investments in life insurance or pension fun</w:t>
      </w:r>
      <w:r w:rsidRPr="00FA1502" w:rsidR="002A25B9">
        <w:rPr>
          <w:rFonts w:ascii="Times New Roman" w:eastAsia="Times New Roman" w:hAnsi="Times New Roman" w:cs="Times New Roman"/>
          <w:sz w:val="24"/>
          <w:szCs w:val="24"/>
          <w:lang w:val="en-GB" w:eastAsia="cs-CZ"/>
        </w:rPr>
        <w:t>ds (participant or transformed)</w:t>
      </w:r>
      <w:r w:rsidRPr="00FA1502">
        <w:rPr>
          <w:rFonts w:ascii="Times New Roman" w:eastAsia="Times New Roman" w:hAnsi="Times New Roman" w:cs="Times New Roman"/>
          <w:sz w:val="24"/>
          <w:szCs w:val="24"/>
          <w:lang w:val="en-GB" w:eastAsia="cs-CZ"/>
        </w:rPr>
        <w:t>, which puts other products of old-age savings</w:t>
      </w:r>
      <w:r w:rsidRPr="00FA1502" w:rsidR="002A25B9">
        <w:rPr>
          <w:rFonts w:ascii="Times New Roman" w:eastAsia="Times New Roman" w:hAnsi="Times New Roman" w:cs="Times New Roman"/>
          <w:sz w:val="24"/>
          <w:szCs w:val="24"/>
          <w:lang w:val="en-GB" w:eastAsia="cs-CZ"/>
        </w:rPr>
        <w:t xml:space="preserve"> at a disadvantage</w:t>
      </w:r>
      <w:r w:rsidRPr="00FA1502">
        <w:rPr>
          <w:rFonts w:ascii="Times New Roman" w:eastAsia="Times New Roman" w:hAnsi="Times New Roman" w:cs="Times New Roman"/>
          <w:sz w:val="24"/>
          <w:szCs w:val="24"/>
          <w:lang w:val="en-GB" w:eastAsia="cs-CZ"/>
        </w:rPr>
        <w:t xml:space="preserve">. In order to settle </w:t>
      </w:r>
      <w:r w:rsidR="00A7116F">
        <w:rPr>
          <w:rFonts w:ascii="Times New Roman" w:eastAsia="Times New Roman" w:hAnsi="Times New Roman" w:cs="Times New Roman"/>
          <w:sz w:val="24"/>
          <w:szCs w:val="24"/>
          <w:lang w:val="en-GB" w:eastAsia="cs-CZ"/>
        </w:rPr>
        <w:t xml:space="preserve">the conditions in the area of </w:t>
      </w:r>
      <w:r w:rsidRPr="00FA1502">
        <w:rPr>
          <w:rFonts w:ascii="Times New Roman" w:eastAsia="Times New Roman" w:hAnsi="Times New Roman" w:cs="Times New Roman"/>
          <w:sz w:val="24"/>
          <w:szCs w:val="24"/>
          <w:lang w:val="en-GB" w:eastAsia="cs-CZ"/>
        </w:rPr>
        <w:t>taxation, it is also appropriate to adopt the appropriate sectoral regulation to ensure that at least the minimum r</w:t>
      </w:r>
      <w:r w:rsidRPr="00FA1502" w:rsidR="002A25B9">
        <w:rPr>
          <w:rFonts w:ascii="Times New Roman" w:eastAsia="Times New Roman" w:hAnsi="Times New Roman" w:cs="Times New Roman"/>
          <w:sz w:val="24"/>
          <w:szCs w:val="24"/>
          <w:lang w:val="en-GB" w:eastAsia="cs-CZ"/>
        </w:rPr>
        <w:t>equirements are met and the CNB’</w:t>
      </w:r>
      <w:r w:rsidRPr="00FA1502">
        <w:rPr>
          <w:rFonts w:ascii="Times New Roman" w:eastAsia="Times New Roman" w:hAnsi="Times New Roman" w:cs="Times New Roman"/>
          <w:sz w:val="24"/>
          <w:szCs w:val="24"/>
          <w:lang w:val="en-GB" w:eastAsia="cs-CZ"/>
        </w:rPr>
        <w:t xml:space="preserve">s supervision or, as the case may be, the competence of </w:t>
      </w:r>
      <w:r w:rsidRPr="00FA1502" w:rsidR="002A25B9">
        <w:rPr>
          <w:rFonts w:ascii="Times New Roman" w:eastAsia="Times New Roman" w:hAnsi="Times New Roman" w:cs="Times New Roman"/>
          <w:sz w:val="24"/>
          <w:szCs w:val="24"/>
          <w:lang w:val="en-GB" w:eastAsia="cs-CZ"/>
        </w:rPr>
        <w:t>a financial a</w:t>
      </w:r>
      <w:r w:rsidRPr="00FA1502">
        <w:rPr>
          <w:rFonts w:ascii="Times New Roman" w:eastAsia="Times New Roman" w:hAnsi="Times New Roman" w:cs="Times New Roman"/>
          <w:sz w:val="24"/>
          <w:szCs w:val="24"/>
          <w:lang w:val="en-GB" w:eastAsia="cs-CZ"/>
        </w:rPr>
        <w:t xml:space="preserve">rbitrator for resolving consumer disputes. </w:t>
      </w:r>
    </w:p>
    <w:p w:rsidR="00176359" w:rsidRPr="00FA1502" w:rsidP="00A7116F">
      <w:pPr>
        <w:keepNext/>
        <w:widowControl w:val="0"/>
        <w:numPr>
          <w:ilvl w:val="0"/>
          <w:numId w:val="3"/>
        </w:numPr>
        <w:spacing w:before="120" w:after="120" w:line="240" w:lineRule="auto"/>
        <w:ind w:left="1418" w:hanging="284"/>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Business Angels Self-Certification:</w:t>
      </w:r>
      <w:r w:rsidRPr="00FA1502">
        <w:rPr>
          <w:rFonts w:ascii="Times New Roman" w:eastAsia="Times New Roman" w:hAnsi="Times New Roman" w:cs="Times New Roman"/>
          <w:sz w:val="24"/>
          <w:szCs w:val="24"/>
          <w:lang w:val="en-GB" w:eastAsia="cs-CZ"/>
        </w:rPr>
        <w:t xml:space="preserve"> </w:t>
      </w:r>
      <w:r w:rsidRPr="00FA1502" w:rsidR="00934D34">
        <w:rPr>
          <w:rFonts w:ascii="Times New Roman" w:eastAsia="Times New Roman" w:hAnsi="Times New Roman" w:cs="Times New Roman"/>
          <w:sz w:val="24"/>
          <w:szCs w:val="24"/>
          <w:lang w:val="en-GB" w:eastAsia="cs-CZ"/>
        </w:rPr>
        <w:t xml:space="preserve">Currently, Czech law does not recognise </w:t>
      </w:r>
      <w:r w:rsidRPr="00FA1502">
        <w:rPr>
          <w:rFonts w:ascii="Times New Roman" w:eastAsia="Times New Roman" w:hAnsi="Times New Roman" w:cs="Times New Roman"/>
          <w:sz w:val="24"/>
          <w:szCs w:val="24"/>
          <w:lang w:val="en-GB" w:eastAsia="cs-CZ"/>
        </w:rPr>
        <w:t>business angels</w:t>
      </w:r>
      <w:r w:rsidRPr="00FA1502" w:rsidR="00934D34">
        <w:rPr>
          <w:rFonts w:ascii="Times New Roman" w:eastAsia="Times New Roman" w:hAnsi="Times New Roman" w:cs="Times New Roman"/>
          <w:sz w:val="24"/>
          <w:szCs w:val="24"/>
          <w:lang w:val="en-GB" w:eastAsia="cs-CZ"/>
        </w:rPr>
        <w:t xml:space="preserve"> as a type of an investor</w:t>
      </w:r>
      <w:r w:rsidRPr="00FA1502">
        <w:rPr>
          <w:rFonts w:ascii="Times New Roman" w:eastAsia="Times New Roman" w:hAnsi="Times New Roman" w:cs="Times New Roman"/>
          <w:sz w:val="24"/>
          <w:szCs w:val="24"/>
          <w:lang w:val="en-GB" w:eastAsia="cs-CZ"/>
        </w:rPr>
        <w:t>, it only knows quali</w:t>
      </w:r>
      <w:r w:rsidR="00A7116F">
        <w:rPr>
          <w:rFonts w:ascii="Times New Roman" w:eastAsia="Times New Roman" w:hAnsi="Times New Roman" w:cs="Times New Roman"/>
          <w:sz w:val="24"/>
          <w:szCs w:val="24"/>
          <w:lang w:val="en-GB" w:eastAsia="cs-CZ"/>
        </w:rPr>
        <w:t xml:space="preserve">fied investors in the area of </w:t>
      </w:r>
      <w:r w:rsidRPr="00FA1502">
        <w:rPr>
          <w:rFonts w:ascii="Times New Roman" w:eastAsia="Times New Roman" w:hAnsi="Times New Roman" w:cs="Times New Roman"/>
          <w:sz w:val="24"/>
          <w:szCs w:val="24"/>
          <w:lang w:val="en-GB" w:eastAsia="cs-CZ"/>
        </w:rPr>
        <w:t>fund investment</w:t>
      </w:r>
      <w:r w:rsidRPr="00FA1502" w:rsidR="00934D34">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 xml:space="preserve">. At the same time, the distribution of complex investment instruments such as non-prospectus bonds that are not traded on public markets is not regulated. In this context, it is proposed to limit the possibilities of ordinary consumers to riskier investment instruments, while rich investors should be able to renounce this higher protection. Although there is no equation between a wealthy investor and a business angel, it can be assumed that even a business angel will be able to meet the criteria proposed for wealthy investors. The proposed limits are adapted to the reality of the Czech economy, when limits </w:t>
      </w:r>
      <w:r w:rsidRPr="00FA1502" w:rsidR="00934D34">
        <w:rPr>
          <w:rFonts w:ascii="Times New Roman" w:eastAsia="Times New Roman" w:hAnsi="Times New Roman" w:cs="Times New Roman"/>
          <w:sz w:val="24"/>
          <w:szCs w:val="24"/>
          <w:lang w:val="en-GB" w:eastAsia="cs-CZ"/>
        </w:rPr>
        <w:t>lower than which are common i</w:t>
      </w:r>
      <w:r w:rsidRPr="00FA1502">
        <w:rPr>
          <w:rFonts w:ascii="Times New Roman" w:eastAsia="Times New Roman" w:hAnsi="Times New Roman" w:cs="Times New Roman"/>
          <w:sz w:val="24"/>
          <w:szCs w:val="24"/>
          <w:lang w:val="en-GB" w:eastAsia="cs-CZ"/>
        </w:rPr>
        <w:t>n Western European countries (e</w:t>
      </w:r>
      <w:r w:rsidRPr="00FA1502" w:rsidR="00934D34">
        <w:rPr>
          <w:rFonts w:ascii="Times New Roman" w:eastAsia="Times New Roman" w:hAnsi="Times New Roman" w:cs="Times New Roman"/>
          <w:sz w:val="24"/>
          <w:szCs w:val="24"/>
          <w:lang w:val="en-GB" w:eastAsia="cs-CZ"/>
        </w:rPr>
        <w:t xml:space="preserve">.g. </w:t>
      </w:r>
      <w:r w:rsidRPr="00FA1502">
        <w:rPr>
          <w:rFonts w:ascii="Times New Roman" w:eastAsia="Times New Roman" w:hAnsi="Times New Roman" w:cs="Times New Roman"/>
          <w:sz w:val="24"/>
          <w:szCs w:val="24"/>
          <w:lang w:val="en-GB" w:eastAsia="cs-CZ"/>
        </w:rPr>
        <w:t>the United Kingdom)</w:t>
      </w:r>
      <w:r w:rsidRPr="00FA1502" w:rsidR="00934D34">
        <w:rPr>
          <w:rFonts w:ascii="Times New Roman" w:eastAsia="Times New Roman" w:hAnsi="Times New Roman" w:cs="Times New Roman"/>
          <w:sz w:val="24"/>
          <w:szCs w:val="24"/>
          <w:lang w:val="en-GB" w:eastAsia="cs-CZ"/>
        </w:rPr>
        <w:t xml:space="preserve"> are proposed</w:t>
      </w:r>
      <w:r w:rsidRPr="00FA1502">
        <w:rPr>
          <w:rFonts w:ascii="Times New Roman" w:eastAsia="Times New Roman" w:hAnsi="Times New Roman" w:cs="Times New Roman"/>
          <w:sz w:val="24"/>
          <w:szCs w:val="24"/>
          <w:lang w:val="en-GB" w:eastAsia="cs-CZ"/>
        </w:rPr>
        <w:t>. </w:t>
      </w:r>
    </w:p>
    <w:p w:rsidR="00176359" w:rsidRPr="00FA1502" w:rsidP="00A7116F">
      <w:pPr>
        <w:keepNext/>
        <w:widowControl w:val="0"/>
        <w:numPr>
          <w:ilvl w:val="0"/>
          <w:numId w:val="3"/>
        </w:numPr>
        <w:spacing w:before="120" w:after="120" w:line="240" w:lineRule="auto"/>
        <w:ind w:left="1418" w:hanging="284"/>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Investment crowdfunding:</w:t>
      </w:r>
      <w:r w:rsidRPr="00FA1502">
        <w:rPr>
          <w:rFonts w:ascii="Times New Roman" w:eastAsia="Times New Roman" w:hAnsi="Times New Roman" w:cs="Times New Roman"/>
          <w:sz w:val="24"/>
          <w:szCs w:val="24"/>
          <w:lang w:val="en-GB" w:eastAsia="cs-CZ"/>
        </w:rPr>
        <w:t xml:space="preserve"> </w:t>
      </w:r>
      <w:r w:rsidRPr="00FA1502" w:rsidR="006A5342">
        <w:rPr>
          <w:rFonts w:ascii="Times New Roman" w:eastAsia="Times New Roman" w:hAnsi="Times New Roman" w:cs="Times New Roman"/>
          <w:sz w:val="24"/>
          <w:szCs w:val="24"/>
          <w:lang w:val="en-GB" w:eastAsia="cs-CZ"/>
        </w:rPr>
        <w:t>Currently</w:t>
      </w:r>
      <w:r w:rsidRPr="00FA1502">
        <w:rPr>
          <w:rFonts w:ascii="Times New Roman" w:eastAsia="Times New Roman" w:hAnsi="Times New Roman" w:cs="Times New Roman"/>
          <w:sz w:val="24"/>
          <w:szCs w:val="24"/>
          <w:lang w:val="en-GB" w:eastAsia="cs-CZ"/>
        </w:rPr>
        <w:t xml:space="preserve">, there are online advertising portals which allow issuers to offer their bonds without </w:t>
      </w:r>
      <w:r w:rsidRPr="00FA1502" w:rsidR="006A5342">
        <w:rPr>
          <w:rFonts w:ascii="Times New Roman" w:eastAsia="Times New Roman" w:hAnsi="Times New Roman" w:cs="Times New Roman"/>
          <w:sz w:val="24"/>
          <w:szCs w:val="24"/>
          <w:lang w:val="en-GB" w:eastAsia="cs-CZ"/>
        </w:rPr>
        <w:t xml:space="preserve">any regulations of these portals </w:t>
      </w:r>
      <w:r w:rsidRPr="00FA1502">
        <w:rPr>
          <w:rFonts w:ascii="Times New Roman" w:eastAsia="Times New Roman" w:hAnsi="Times New Roman" w:cs="Times New Roman"/>
          <w:sz w:val="24"/>
          <w:szCs w:val="24"/>
          <w:lang w:val="en-GB" w:eastAsia="cs-CZ"/>
        </w:rPr>
        <w:t xml:space="preserve">or </w:t>
      </w:r>
      <w:r w:rsidRPr="00FA1502" w:rsidR="006A5342">
        <w:rPr>
          <w:rFonts w:ascii="Times New Roman" w:eastAsia="Times New Roman" w:hAnsi="Times New Roman" w:cs="Times New Roman"/>
          <w:sz w:val="24"/>
          <w:szCs w:val="24"/>
          <w:lang w:val="en-GB" w:eastAsia="cs-CZ"/>
        </w:rPr>
        <w:t xml:space="preserve">being </w:t>
      </w:r>
      <w:r w:rsidRPr="00FA1502">
        <w:rPr>
          <w:rFonts w:ascii="Times New Roman" w:eastAsia="Times New Roman" w:hAnsi="Times New Roman" w:cs="Times New Roman"/>
          <w:sz w:val="24"/>
          <w:szCs w:val="24"/>
          <w:lang w:val="en-GB" w:eastAsia="cs-CZ"/>
        </w:rPr>
        <w:t xml:space="preserve">subject to CNB supervision. It is therefore appropriate to regulate advertising </w:t>
      </w:r>
      <w:r w:rsidRPr="00FA1502" w:rsidR="000F128B">
        <w:rPr>
          <w:rFonts w:ascii="Times New Roman" w:eastAsia="Times New Roman" w:hAnsi="Times New Roman" w:cs="Times New Roman"/>
          <w:sz w:val="24"/>
          <w:szCs w:val="24"/>
          <w:lang w:val="en-GB" w:eastAsia="cs-CZ"/>
        </w:rPr>
        <w:t>of</w:t>
      </w:r>
      <w:r w:rsidRPr="00FA1502">
        <w:rPr>
          <w:rFonts w:ascii="Times New Roman" w:eastAsia="Times New Roman" w:hAnsi="Times New Roman" w:cs="Times New Roman"/>
          <w:sz w:val="24"/>
          <w:szCs w:val="24"/>
          <w:lang w:val="en-GB" w:eastAsia="cs-CZ"/>
        </w:rPr>
        <w:t xml:space="preserve"> investment instruments, with the new rules being complied with by all entities implementing such advertising. Therefore, a similar regulation is proposed as in the regulation of gambling advertising, which would be supervised by regional trade licensing offices. Related to these modifications is the extension of the requirements for the issue conditions for below-the-limit bonds (up to EUR 1 million) without the prospectus described below. Tighter regulation will lead to greater investor protection, resulting in increased </w:t>
      </w:r>
      <w:r w:rsidRPr="00FA1502" w:rsidR="000F128B">
        <w:rPr>
          <w:rFonts w:ascii="Times New Roman" w:eastAsia="Times New Roman" w:hAnsi="Times New Roman" w:cs="Times New Roman"/>
          <w:sz w:val="24"/>
          <w:szCs w:val="24"/>
          <w:lang w:val="en-GB" w:eastAsia="cs-CZ"/>
        </w:rPr>
        <w:t>trust</w:t>
      </w:r>
      <w:r w:rsidRPr="00FA1502">
        <w:rPr>
          <w:rFonts w:ascii="Times New Roman" w:eastAsia="Times New Roman" w:hAnsi="Times New Roman" w:cs="Times New Roman"/>
          <w:sz w:val="24"/>
          <w:szCs w:val="24"/>
          <w:lang w:val="en-GB" w:eastAsia="cs-CZ"/>
        </w:rPr>
        <w:t xml:space="preserve"> in the capital market.</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numPr>
          <w:ilvl w:val="0"/>
          <w:numId w:val="3"/>
        </w:numPr>
        <w:spacing w:before="120" w:after="120" w:line="240" w:lineRule="auto"/>
        <w:ind w:left="1418" w:hanging="284"/>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Alternative Participati</w:t>
      </w:r>
      <w:r w:rsidRPr="00FA1502" w:rsidR="00FA32A8">
        <w:rPr>
          <w:rFonts w:ascii="Times New Roman" w:eastAsia="Times New Roman" w:hAnsi="Times New Roman" w:cs="Times New Roman"/>
          <w:sz w:val="24"/>
          <w:szCs w:val="24"/>
          <w:u w:val="single"/>
          <w:lang w:val="en-GB" w:eastAsia="cs-CZ"/>
        </w:rPr>
        <w:t>on</w:t>
      </w:r>
      <w:r w:rsidRPr="00FA1502">
        <w:rPr>
          <w:rFonts w:ascii="Times New Roman" w:eastAsia="Times New Roman" w:hAnsi="Times New Roman" w:cs="Times New Roman"/>
          <w:sz w:val="24"/>
          <w:szCs w:val="24"/>
          <w:u w:val="single"/>
          <w:lang w:val="en-GB" w:eastAsia="cs-CZ"/>
        </w:rPr>
        <w:t xml:space="preserve"> F</w:t>
      </w:r>
      <w:r w:rsidRPr="00FA1502" w:rsidR="00773C34">
        <w:rPr>
          <w:rFonts w:ascii="Times New Roman" w:eastAsia="Times New Roman" w:hAnsi="Times New Roman" w:cs="Times New Roman"/>
          <w:sz w:val="24"/>
          <w:szCs w:val="24"/>
          <w:u w:val="single"/>
          <w:lang w:val="en-GB" w:eastAsia="cs-CZ"/>
        </w:rPr>
        <w:t>und:</w:t>
      </w:r>
      <w:r w:rsidRPr="00FA1502" w:rsidR="00773C34">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Pen</w:t>
      </w:r>
      <w:r w:rsidRPr="00FA1502" w:rsidR="00773C34">
        <w:rPr>
          <w:rFonts w:ascii="Times New Roman" w:eastAsia="Times New Roman" w:hAnsi="Times New Roman" w:cs="Times New Roman"/>
          <w:sz w:val="24"/>
          <w:szCs w:val="24"/>
          <w:lang w:val="en-GB" w:eastAsia="cs-CZ"/>
        </w:rPr>
        <w:t>sion</w:t>
      </w:r>
      <w:r w:rsidRPr="00FA1502">
        <w:rPr>
          <w:rFonts w:ascii="Times New Roman" w:eastAsia="Times New Roman" w:hAnsi="Times New Roman" w:cs="Times New Roman"/>
          <w:sz w:val="24"/>
          <w:szCs w:val="24"/>
          <w:lang w:val="en-GB" w:eastAsia="cs-CZ"/>
        </w:rPr>
        <w:t xml:space="preserve"> funds (i</w:t>
      </w:r>
      <w:r w:rsidRPr="00FA1502" w:rsidR="00773C34">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e. </w:t>
      </w:r>
      <w:r w:rsidRPr="00FA1502" w:rsidR="00773C34">
        <w:rPr>
          <w:rFonts w:ascii="Times New Roman" w:eastAsia="Times New Roman" w:hAnsi="Times New Roman" w:cs="Times New Roman"/>
          <w:sz w:val="24"/>
          <w:szCs w:val="24"/>
          <w:lang w:val="en-GB" w:eastAsia="cs-CZ"/>
        </w:rPr>
        <w:t>participation</w:t>
      </w:r>
      <w:r w:rsidRPr="00FA1502">
        <w:rPr>
          <w:rFonts w:ascii="Times New Roman" w:eastAsia="Times New Roman" w:hAnsi="Times New Roman" w:cs="Times New Roman"/>
          <w:sz w:val="24"/>
          <w:szCs w:val="24"/>
          <w:lang w:val="en-GB" w:eastAsia="cs-CZ"/>
        </w:rPr>
        <w:t xml:space="preserve"> and transformed funds) currently </w:t>
      </w:r>
      <w:r w:rsidRPr="00FA1502" w:rsidR="00773C34">
        <w:rPr>
          <w:rFonts w:ascii="Times New Roman" w:eastAsia="Times New Roman" w:hAnsi="Times New Roman" w:cs="Times New Roman"/>
          <w:sz w:val="24"/>
          <w:szCs w:val="24"/>
          <w:lang w:val="en-GB" w:eastAsia="cs-CZ"/>
        </w:rPr>
        <w:t xml:space="preserve">have a </w:t>
      </w:r>
      <w:r w:rsidRPr="00FA1502">
        <w:rPr>
          <w:rFonts w:ascii="Times New Roman" w:eastAsia="Times New Roman" w:hAnsi="Times New Roman" w:cs="Times New Roman"/>
          <w:sz w:val="24"/>
          <w:szCs w:val="24"/>
          <w:lang w:val="en-GB" w:eastAsia="cs-CZ"/>
        </w:rPr>
        <w:t xml:space="preserve">very limited investment strategy, which </w:t>
      </w:r>
      <w:r w:rsidRPr="00FA1502" w:rsidR="00773C34">
        <w:rPr>
          <w:rFonts w:ascii="Times New Roman" w:eastAsia="Times New Roman" w:hAnsi="Times New Roman" w:cs="Times New Roman"/>
          <w:sz w:val="24"/>
          <w:szCs w:val="24"/>
          <w:lang w:val="en-GB" w:eastAsia="cs-CZ"/>
        </w:rPr>
        <w:t xml:space="preserve">follows almost literally regulation of </w:t>
      </w:r>
      <w:r w:rsidRPr="00FA1502">
        <w:rPr>
          <w:rFonts w:ascii="Times New Roman" w:eastAsia="Times New Roman" w:hAnsi="Times New Roman" w:cs="Times New Roman"/>
          <w:sz w:val="24"/>
          <w:szCs w:val="24"/>
          <w:lang w:val="en-GB" w:eastAsia="cs-CZ"/>
        </w:rPr>
        <w:t xml:space="preserve">standard funds (UCITS funds) harmonized </w:t>
      </w:r>
      <w:r w:rsidRPr="00FA1502" w:rsidR="00773C34">
        <w:rPr>
          <w:rFonts w:ascii="Times New Roman" w:eastAsia="Times New Roman" w:hAnsi="Times New Roman" w:cs="Times New Roman"/>
          <w:sz w:val="24"/>
          <w:szCs w:val="24"/>
          <w:lang w:val="en-GB" w:eastAsia="cs-CZ"/>
        </w:rPr>
        <w:t xml:space="preserve">by </w:t>
      </w:r>
      <w:r w:rsidRPr="00FA1502">
        <w:rPr>
          <w:rFonts w:ascii="Times New Roman" w:eastAsia="Times New Roman" w:hAnsi="Times New Roman" w:cs="Times New Roman"/>
          <w:sz w:val="24"/>
          <w:szCs w:val="24"/>
          <w:lang w:val="en-GB" w:eastAsia="cs-CZ"/>
        </w:rPr>
        <w:t>EU law, which is characterized by, inter alia, permanently offer</w:t>
      </w:r>
      <w:r w:rsidRPr="00FA1502" w:rsidR="00773C34">
        <w:rPr>
          <w:rFonts w:ascii="Times New Roman" w:eastAsia="Times New Roman" w:hAnsi="Times New Roman" w:cs="Times New Roman"/>
          <w:sz w:val="24"/>
          <w:szCs w:val="24"/>
          <w:lang w:val="en-GB" w:eastAsia="cs-CZ"/>
        </w:rPr>
        <w:t>ing</w:t>
      </w:r>
      <w:r w:rsidRPr="00FA1502">
        <w:rPr>
          <w:rFonts w:ascii="Times New Roman" w:eastAsia="Times New Roman" w:hAnsi="Times New Roman" w:cs="Times New Roman"/>
          <w:sz w:val="24"/>
          <w:szCs w:val="24"/>
          <w:lang w:val="en-GB" w:eastAsia="cs-CZ"/>
        </w:rPr>
        <w:t xml:space="preserve"> return redemption </w:t>
      </w:r>
      <w:r w:rsidRPr="00FA1502" w:rsidR="00773C34">
        <w:rPr>
          <w:rFonts w:ascii="Times New Roman" w:eastAsia="Times New Roman" w:hAnsi="Times New Roman" w:cs="Times New Roman"/>
          <w:sz w:val="24"/>
          <w:szCs w:val="24"/>
          <w:lang w:val="en-GB" w:eastAsia="cs-CZ"/>
        </w:rPr>
        <w:t>to</w:t>
      </w:r>
      <w:r w:rsidRPr="00FA1502">
        <w:rPr>
          <w:rFonts w:ascii="Times New Roman" w:eastAsia="Times New Roman" w:hAnsi="Times New Roman" w:cs="Times New Roman"/>
          <w:sz w:val="24"/>
          <w:szCs w:val="24"/>
          <w:lang w:val="en-GB" w:eastAsia="cs-CZ"/>
        </w:rPr>
        <w:t xml:space="preserve"> its investors, and must therefore invest only in highly liquid assets (typically listed shares and bonds). In addition, there is a limit on the m</w:t>
      </w:r>
      <w:r w:rsidRPr="00FA1502" w:rsidR="00727160">
        <w:rPr>
          <w:rFonts w:ascii="Times New Roman" w:eastAsia="Times New Roman" w:hAnsi="Times New Roman" w:cs="Times New Roman"/>
          <w:sz w:val="24"/>
          <w:szCs w:val="24"/>
          <w:lang w:val="en-GB" w:eastAsia="cs-CZ"/>
        </w:rPr>
        <w:t>aximum amount of a pension fund’</w:t>
      </w:r>
      <w:r w:rsidRPr="00FA1502">
        <w:rPr>
          <w:rFonts w:ascii="Times New Roman" w:eastAsia="Times New Roman" w:hAnsi="Times New Roman" w:cs="Times New Roman"/>
          <w:sz w:val="24"/>
          <w:szCs w:val="24"/>
          <w:lang w:val="en-GB" w:eastAsia="cs-CZ"/>
        </w:rPr>
        <w:t xml:space="preserve">s </w:t>
      </w:r>
      <w:r w:rsidRPr="00FA1502" w:rsidR="00727160">
        <w:rPr>
          <w:rFonts w:ascii="Times New Roman" w:eastAsia="Times New Roman" w:hAnsi="Times New Roman" w:cs="Times New Roman"/>
          <w:sz w:val="24"/>
          <w:szCs w:val="24"/>
          <w:lang w:val="en-GB" w:eastAsia="cs-CZ"/>
        </w:rPr>
        <w:t>fee</w:t>
      </w:r>
      <w:r w:rsidRPr="00FA1502">
        <w:rPr>
          <w:rFonts w:ascii="Times New Roman" w:eastAsia="Times New Roman" w:hAnsi="Times New Roman" w:cs="Times New Roman"/>
          <w:sz w:val="24"/>
          <w:szCs w:val="24"/>
          <w:lang w:val="en-GB" w:eastAsia="cs-CZ"/>
        </w:rPr>
        <w:t xml:space="preserve">, which is also designed as an </w:t>
      </w:r>
      <w:r w:rsidRPr="00FA1502">
        <w:rPr>
          <w:rFonts w:ascii="Times New Roman" w:eastAsia="Times New Roman" w:hAnsi="Times New Roman" w:cs="Times New Roman"/>
          <w:i/>
          <w:iCs/>
          <w:sz w:val="24"/>
          <w:szCs w:val="24"/>
          <w:lang w:val="en-GB" w:eastAsia="cs-CZ"/>
        </w:rPr>
        <w:t xml:space="preserve">all-in-one </w:t>
      </w:r>
      <w:r w:rsidRPr="00FA1502">
        <w:rPr>
          <w:rFonts w:ascii="Times New Roman" w:eastAsia="Times New Roman" w:hAnsi="Times New Roman" w:cs="Times New Roman"/>
          <w:sz w:val="24"/>
          <w:szCs w:val="24"/>
          <w:lang w:val="en-GB" w:eastAsia="cs-CZ"/>
        </w:rPr>
        <w:t>(i</w:t>
      </w:r>
      <w:r w:rsidRPr="00FA1502" w:rsidR="00727160">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727160">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no costs can be charged directly to the fund), and an obligation to reduce this remuneration </w:t>
      </w:r>
      <w:r w:rsidRPr="00FA1502" w:rsidR="00D605FE">
        <w:rPr>
          <w:rFonts w:ascii="Times New Roman" w:eastAsia="Times New Roman" w:hAnsi="Times New Roman" w:cs="Times New Roman"/>
          <w:sz w:val="24"/>
          <w:szCs w:val="24"/>
          <w:lang w:val="en-GB" w:eastAsia="cs-CZ"/>
        </w:rPr>
        <w:t xml:space="preserve">in investments to another fund </w:t>
      </w:r>
      <w:r w:rsidRPr="00FA1502">
        <w:rPr>
          <w:rFonts w:ascii="Times New Roman" w:eastAsia="Times New Roman" w:hAnsi="Times New Roman" w:cs="Times New Roman"/>
          <w:sz w:val="24"/>
          <w:szCs w:val="24"/>
          <w:lang w:val="en-GB" w:eastAsia="cs-CZ"/>
        </w:rPr>
        <w:t xml:space="preserve">by a </w:t>
      </w:r>
      <w:r w:rsidRPr="00FA1502" w:rsidR="00727160">
        <w:rPr>
          <w:rFonts w:ascii="Times New Roman" w:eastAsia="Times New Roman" w:hAnsi="Times New Roman" w:cs="Times New Roman"/>
          <w:sz w:val="24"/>
          <w:szCs w:val="24"/>
          <w:lang w:val="en-GB" w:eastAsia="cs-CZ"/>
        </w:rPr>
        <w:t>f</w:t>
      </w:r>
      <w:r w:rsidRPr="00FA1502" w:rsidR="00D605FE">
        <w:rPr>
          <w:rFonts w:ascii="Times New Roman" w:eastAsia="Times New Roman" w:hAnsi="Times New Roman" w:cs="Times New Roman"/>
          <w:sz w:val="24"/>
          <w:szCs w:val="24"/>
          <w:lang w:val="en-GB" w:eastAsia="cs-CZ"/>
        </w:rPr>
        <w:t>ee</w:t>
      </w:r>
      <w:r w:rsidRPr="00FA1502" w:rsidR="00727160">
        <w:rPr>
          <w:rFonts w:ascii="Times New Roman" w:eastAsia="Times New Roman" w:hAnsi="Times New Roman" w:cs="Times New Roman"/>
          <w:sz w:val="24"/>
          <w:szCs w:val="24"/>
          <w:lang w:val="en-GB" w:eastAsia="cs-CZ"/>
        </w:rPr>
        <w:t xml:space="preserve"> paid to </w:t>
      </w:r>
      <w:r w:rsidRPr="00FA1502" w:rsidR="00D605FE">
        <w:rPr>
          <w:rFonts w:ascii="Times New Roman" w:eastAsia="Times New Roman" w:hAnsi="Times New Roman" w:cs="Times New Roman"/>
          <w:sz w:val="24"/>
          <w:szCs w:val="24"/>
          <w:lang w:val="en-GB" w:eastAsia="cs-CZ"/>
        </w:rPr>
        <w:t>m</w:t>
      </w:r>
      <w:r w:rsidRPr="00FA1502" w:rsidR="00727160">
        <w:rPr>
          <w:rFonts w:ascii="Times New Roman" w:eastAsia="Times New Roman" w:hAnsi="Times New Roman" w:cs="Times New Roman"/>
          <w:sz w:val="24"/>
          <w:szCs w:val="24"/>
          <w:lang w:val="en-GB" w:eastAsia="cs-CZ"/>
        </w:rPr>
        <w:t>anager</w:t>
      </w:r>
      <w:r w:rsidRPr="00FA1502" w:rsidR="00D605FE">
        <w:rPr>
          <w:rFonts w:ascii="Times New Roman" w:eastAsia="Times New Roman" w:hAnsi="Times New Roman" w:cs="Times New Roman"/>
          <w:sz w:val="24"/>
          <w:szCs w:val="24"/>
          <w:lang w:val="en-GB" w:eastAsia="cs-CZ"/>
        </w:rPr>
        <w:t xml:space="preserve"> of such fund</w:t>
      </w:r>
      <w:r w:rsidRPr="00FA1502" w:rsidR="00727160">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That</w:t>
      </w:r>
      <w:r w:rsidRPr="00FA1502" w:rsidR="00D605FE">
        <w:rPr>
          <w:rFonts w:ascii="Times New Roman" w:eastAsia="Times New Roman" w:hAnsi="Times New Roman" w:cs="Times New Roman"/>
          <w:sz w:val="24"/>
          <w:szCs w:val="24"/>
          <w:lang w:val="en-GB" w:eastAsia="cs-CZ"/>
        </w:rPr>
        <w:t xml:space="preserve"> leads,</w:t>
      </w:r>
      <w:r w:rsidRPr="00FA1502">
        <w:rPr>
          <w:rFonts w:ascii="Times New Roman" w:eastAsia="Times New Roman" w:hAnsi="Times New Roman" w:cs="Times New Roman"/>
          <w:sz w:val="24"/>
          <w:szCs w:val="24"/>
          <w:lang w:val="en-GB" w:eastAsia="cs-CZ"/>
        </w:rPr>
        <w:t xml:space="preserve"> inter alia, </w:t>
      </w:r>
      <w:r w:rsidRPr="00FA1502" w:rsidR="00D605FE">
        <w:rPr>
          <w:rFonts w:ascii="Times New Roman" w:eastAsia="Times New Roman" w:hAnsi="Times New Roman" w:cs="Times New Roman"/>
          <w:sz w:val="24"/>
          <w:szCs w:val="24"/>
          <w:lang w:val="en-GB" w:eastAsia="cs-CZ"/>
        </w:rPr>
        <w:t xml:space="preserve">to </w:t>
      </w:r>
      <w:r w:rsidRPr="00FA1502">
        <w:rPr>
          <w:rFonts w:ascii="Times New Roman" w:eastAsia="Times New Roman" w:hAnsi="Times New Roman" w:cs="Times New Roman"/>
          <w:sz w:val="24"/>
          <w:szCs w:val="24"/>
          <w:lang w:val="en-GB" w:eastAsia="cs-CZ"/>
        </w:rPr>
        <w:t>the fact that the Czech pension funds (</w:t>
      </w:r>
      <w:r w:rsidRPr="00FA1502" w:rsidR="00D605FE">
        <w:rPr>
          <w:rFonts w:ascii="Times New Roman" w:eastAsia="Times New Roman" w:hAnsi="Times New Roman" w:cs="Times New Roman"/>
          <w:sz w:val="24"/>
          <w:szCs w:val="24"/>
          <w:lang w:val="en-GB" w:eastAsia="cs-CZ"/>
        </w:rPr>
        <w:t>participation</w:t>
      </w:r>
      <w:r w:rsidRPr="00FA1502">
        <w:rPr>
          <w:rFonts w:ascii="Times New Roman" w:eastAsia="Times New Roman" w:hAnsi="Times New Roman" w:cs="Times New Roman"/>
          <w:sz w:val="24"/>
          <w:szCs w:val="24"/>
          <w:lang w:val="en-GB" w:eastAsia="cs-CZ"/>
        </w:rPr>
        <w:t xml:space="preserve">/transformed) </w:t>
      </w:r>
      <w:r w:rsidRPr="00FA1502" w:rsidR="00D605FE">
        <w:rPr>
          <w:rFonts w:ascii="Times New Roman" w:eastAsia="Times New Roman" w:hAnsi="Times New Roman" w:cs="Times New Roman"/>
          <w:sz w:val="24"/>
          <w:szCs w:val="24"/>
          <w:lang w:val="en-GB" w:eastAsia="cs-CZ"/>
        </w:rPr>
        <w:t xml:space="preserve">do not </w:t>
      </w:r>
      <w:r w:rsidRPr="00FA1502">
        <w:rPr>
          <w:rFonts w:ascii="Times New Roman" w:eastAsia="Times New Roman" w:hAnsi="Times New Roman" w:cs="Times New Roman"/>
          <w:sz w:val="24"/>
          <w:szCs w:val="24"/>
          <w:lang w:val="en-GB" w:eastAsia="cs-CZ"/>
        </w:rPr>
        <w:t xml:space="preserve">invest in assets that are </w:t>
      </w:r>
      <w:r w:rsidRPr="00FA1502" w:rsidR="00D605FE">
        <w:rPr>
          <w:rFonts w:ascii="Times New Roman" w:eastAsia="Times New Roman" w:hAnsi="Times New Roman" w:cs="Times New Roman"/>
          <w:sz w:val="24"/>
          <w:szCs w:val="24"/>
          <w:lang w:val="en-GB" w:eastAsia="cs-CZ"/>
        </w:rPr>
        <w:t xml:space="preserve">common for </w:t>
      </w:r>
      <w:r w:rsidRPr="00FA1502">
        <w:rPr>
          <w:rFonts w:ascii="Times New Roman" w:eastAsia="Times New Roman" w:hAnsi="Times New Roman" w:cs="Times New Roman"/>
          <w:sz w:val="24"/>
          <w:szCs w:val="24"/>
          <w:lang w:val="en-GB" w:eastAsia="cs-CZ"/>
        </w:rPr>
        <w:t>pension funds in developed economies</w:t>
      </w:r>
      <w:r w:rsidRPr="00FA1502" w:rsidR="00D605FE">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especially in the so-called</w:t>
      </w:r>
      <w:r w:rsidRPr="00FA1502" w:rsidR="00D605FE">
        <w:rPr>
          <w:rFonts w:ascii="Times New Roman" w:eastAsia="Times New Roman" w:hAnsi="Times New Roman" w:cs="Times New Roman"/>
          <w:sz w:val="24"/>
          <w:szCs w:val="24"/>
          <w:lang w:val="en-GB" w:eastAsia="cs-CZ"/>
        </w:rPr>
        <w:t xml:space="preserve"> p</w:t>
      </w:r>
      <w:r w:rsidRPr="00FA1502">
        <w:rPr>
          <w:rFonts w:ascii="Times New Roman" w:eastAsia="Times New Roman" w:hAnsi="Times New Roman" w:cs="Times New Roman"/>
          <w:iCs/>
          <w:sz w:val="24"/>
          <w:szCs w:val="24"/>
          <w:lang w:val="en-GB" w:eastAsia="cs-CZ"/>
        </w:rPr>
        <w:t>rivate equity</w:t>
      </w:r>
      <w:r w:rsidRPr="00FA1502">
        <w:rPr>
          <w:rFonts w:ascii="Times New Roman" w:eastAsia="Times New Roman" w:hAnsi="Times New Roman" w:cs="Times New Roman"/>
          <w:i/>
          <w:iCs/>
          <w:sz w:val="24"/>
          <w:szCs w:val="24"/>
          <w:lang w:val="en-GB" w:eastAsia="cs-CZ"/>
        </w:rPr>
        <w:t xml:space="preserve"> </w:t>
      </w:r>
      <w:r w:rsidRPr="00FA1502">
        <w:rPr>
          <w:rFonts w:ascii="Times New Roman" w:eastAsia="Times New Roman" w:hAnsi="Times New Roman" w:cs="Times New Roman"/>
          <w:sz w:val="24"/>
          <w:szCs w:val="24"/>
          <w:lang w:val="en-GB" w:eastAsia="cs-CZ"/>
        </w:rPr>
        <w:t>funds (funds investing with an investment horizon of 10 years to large unlisted compani</w:t>
      </w:r>
      <w:r w:rsidRPr="00FA1502" w:rsidR="00D605FE">
        <w:rPr>
          <w:rFonts w:ascii="Times New Roman" w:eastAsia="Times New Roman" w:hAnsi="Times New Roman" w:cs="Times New Roman"/>
          <w:sz w:val="24"/>
          <w:szCs w:val="24"/>
          <w:lang w:val="en-GB" w:eastAsia="cs-CZ"/>
        </w:rPr>
        <w:t>es) and infrastructure projects</w:t>
      </w:r>
      <w:r w:rsidRPr="00FA1502">
        <w:rPr>
          <w:rFonts w:ascii="Times New Roman" w:eastAsia="Times New Roman" w:hAnsi="Times New Roman" w:cs="Times New Roman"/>
          <w:sz w:val="24"/>
          <w:szCs w:val="24"/>
          <w:lang w:val="en-GB" w:eastAsia="cs-CZ"/>
        </w:rPr>
        <w:t>.</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numPr>
          <w:ilvl w:val="0"/>
          <w:numId w:val="3"/>
        </w:numPr>
        <w:spacing w:before="120" w:after="120" w:line="240" w:lineRule="auto"/>
        <w:ind w:left="1418" w:hanging="284"/>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Increased mobility of participants in transformed funds:</w:t>
      </w:r>
      <w:r w:rsidRPr="00FA1502">
        <w:rPr>
          <w:rFonts w:ascii="Times New Roman" w:eastAsia="Times New Roman" w:hAnsi="Times New Roman" w:cs="Times New Roman"/>
          <w:sz w:val="24"/>
          <w:szCs w:val="24"/>
          <w:lang w:val="en-GB" w:eastAsia="cs-CZ"/>
        </w:rPr>
        <w:t xml:space="preserve"> </w:t>
      </w:r>
      <w:r w:rsidRPr="00FA1502" w:rsidR="007169A7">
        <w:rPr>
          <w:rFonts w:ascii="Times New Roman" w:eastAsia="Times New Roman" w:hAnsi="Times New Roman" w:cs="Times New Roman"/>
          <w:sz w:val="24"/>
          <w:szCs w:val="24"/>
          <w:lang w:val="en-GB" w:eastAsia="cs-CZ"/>
        </w:rPr>
        <w:t>Nowadays</w:t>
      </w:r>
      <w:r w:rsidRPr="00FA1502">
        <w:rPr>
          <w:rFonts w:ascii="Times New Roman" w:eastAsia="Times New Roman" w:hAnsi="Times New Roman" w:cs="Times New Roman"/>
          <w:sz w:val="24"/>
          <w:szCs w:val="24"/>
          <w:lang w:val="en-GB" w:eastAsia="cs-CZ"/>
        </w:rPr>
        <w:t xml:space="preserve">, </w:t>
      </w:r>
      <w:r w:rsidRPr="00FA1502" w:rsidR="007169A7">
        <w:rPr>
          <w:rFonts w:ascii="Times New Roman" w:eastAsia="Times New Roman" w:hAnsi="Times New Roman" w:cs="Times New Roman"/>
          <w:sz w:val="24"/>
          <w:szCs w:val="24"/>
          <w:lang w:val="en-GB" w:eastAsia="cs-CZ"/>
        </w:rPr>
        <w:t xml:space="preserve">majority of </w:t>
      </w:r>
      <w:r w:rsidRPr="00FA1502">
        <w:rPr>
          <w:rFonts w:ascii="Times New Roman" w:eastAsia="Times New Roman" w:hAnsi="Times New Roman" w:cs="Times New Roman"/>
          <w:sz w:val="24"/>
          <w:szCs w:val="24"/>
          <w:lang w:val="en-GB" w:eastAsia="cs-CZ"/>
        </w:rPr>
        <w:t>participants remain in transformed funds, which are closed to new entrants, but existing participants continue to contribute regularly, w</w:t>
      </w:r>
      <w:r w:rsidRPr="00FA1502" w:rsidR="007169A7">
        <w:rPr>
          <w:rFonts w:ascii="Times New Roman" w:eastAsia="Times New Roman" w:hAnsi="Times New Roman" w:cs="Times New Roman"/>
          <w:sz w:val="24"/>
          <w:szCs w:val="24"/>
          <w:lang w:val="en-GB" w:eastAsia="cs-CZ"/>
        </w:rPr>
        <w:t>hereas</w:t>
      </w:r>
      <w:r w:rsidRPr="00FA1502">
        <w:rPr>
          <w:rFonts w:ascii="Times New Roman" w:eastAsia="Times New Roman" w:hAnsi="Times New Roman" w:cs="Times New Roman"/>
          <w:sz w:val="24"/>
          <w:szCs w:val="24"/>
          <w:lang w:val="en-GB" w:eastAsia="cs-CZ"/>
        </w:rPr>
        <w:t xml:space="preserve"> transformed funds due to the black zero guarantee (no year </w:t>
      </w:r>
      <w:r w:rsidRPr="00FA1502" w:rsidR="007169A7">
        <w:rPr>
          <w:rFonts w:ascii="Times New Roman" w:eastAsia="Times New Roman" w:hAnsi="Times New Roman" w:cs="Times New Roman"/>
          <w:sz w:val="24"/>
          <w:szCs w:val="24"/>
          <w:lang w:val="en-GB" w:eastAsia="cs-CZ"/>
        </w:rPr>
        <w:t>should end up in loss</w:t>
      </w:r>
      <w:r w:rsidRPr="00FA1502">
        <w:rPr>
          <w:rFonts w:ascii="Times New Roman" w:eastAsia="Times New Roman" w:hAnsi="Times New Roman" w:cs="Times New Roman"/>
          <w:sz w:val="24"/>
          <w:szCs w:val="24"/>
          <w:lang w:val="en-GB" w:eastAsia="cs-CZ"/>
        </w:rPr>
        <w:t xml:space="preserve">, otherwise the pension company has to pay the loss from its </w:t>
      </w:r>
      <w:r w:rsidRPr="00FA1502" w:rsidR="00FA32A8">
        <w:rPr>
          <w:rFonts w:ascii="Times New Roman" w:eastAsia="Times New Roman" w:hAnsi="Times New Roman" w:cs="Times New Roman"/>
          <w:sz w:val="24"/>
          <w:szCs w:val="24"/>
          <w:lang w:val="en-GB" w:eastAsia="cs-CZ"/>
        </w:rPr>
        <w:t xml:space="preserve">own </w:t>
      </w:r>
      <w:r w:rsidRPr="00FA1502">
        <w:rPr>
          <w:rFonts w:ascii="Times New Roman" w:eastAsia="Times New Roman" w:hAnsi="Times New Roman" w:cs="Times New Roman"/>
          <w:sz w:val="24"/>
          <w:szCs w:val="24"/>
          <w:lang w:val="en-GB" w:eastAsia="cs-CZ"/>
        </w:rPr>
        <w:t xml:space="preserve">assets) invest very conservatively and in most cases are unable to cover inflation, which in the long run leads to devaluation of the invested funds. </w:t>
      </w:r>
      <w:r w:rsidRPr="00FA1502" w:rsidR="0001493F">
        <w:rPr>
          <w:rFonts w:ascii="Times New Roman" w:eastAsia="Times New Roman" w:hAnsi="Times New Roman" w:cs="Times New Roman"/>
          <w:sz w:val="24"/>
          <w:szCs w:val="24"/>
          <w:lang w:val="en-GB" w:eastAsia="cs-CZ"/>
        </w:rPr>
        <w:t>In addition</w:t>
      </w:r>
      <w:r w:rsidRPr="00FA1502">
        <w:rPr>
          <w:rFonts w:ascii="Times New Roman" w:eastAsia="Times New Roman" w:hAnsi="Times New Roman" w:cs="Times New Roman"/>
          <w:sz w:val="24"/>
          <w:szCs w:val="24"/>
          <w:lang w:val="en-GB" w:eastAsia="cs-CZ"/>
        </w:rPr>
        <w:t xml:space="preserve">, due to a very conservative strategy (enforced </w:t>
      </w:r>
      <w:r w:rsidRPr="00FA1502" w:rsidR="0001493F">
        <w:rPr>
          <w:rFonts w:ascii="Times New Roman" w:eastAsia="Times New Roman" w:hAnsi="Times New Roman" w:cs="Times New Roman"/>
          <w:sz w:val="24"/>
          <w:szCs w:val="24"/>
          <w:lang w:val="en-GB" w:eastAsia="cs-CZ"/>
        </w:rPr>
        <w:t xml:space="preserve">de facto </w:t>
      </w:r>
      <w:r w:rsidRPr="00FA1502">
        <w:rPr>
          <w:rFonts w:ascii="Times New Roman" w:eastAsia="Times New Roman" w:hAnsi="Times New Roman" w:cs="Times New Roman"/>
          <w:sz w:val="24"/>
          <w:szCs w:val="24"/>
          <w:lang w:val="en-GB" w:eastAsia="cs-CZ"/>
        </w:rPr>
        <w:t>by a guarantee), they invest only in government bonds and bank deposits and thus do not contribute to the development of the capital market in the Czech Republic (at the same time they represent a significant share o</w:t>
      </w:r>
      <w:r w:rsidRPr="00FA1502" w:rsidR="0001493F">
        <w:rPr>
          <w:rFonts w:ascii="Times New Roman" w:eastAsia="Times New Roman" w:hAnsi="Times New Roman" w:cs="Times New Roman"/>
          <w:sz w:val="24"/>
          <w:szCs w:val="24"/>
          <w:lang w:val="en-GB" w:eastAsia="cs-CZ"/>
        </w:rPr>
        <w:t>n</w:t>
      </w:r>
      <w:r w:rsidRPr="00FA1502" w:rsidR="00990DAE">
        <w:rPr>
          <w:rFonts w:ascii="Times New Roman" w:eastAsia="Times New Roman" w:hAnsi="Times New Roman" w:cs="Times New Roman"/>
          <w:sz w:val="24"/>
          <w:szCs w:val="24"/>
          <w:lang w:val="en-GB" w:eastAsia="cs-CZ"/>
        </w:rPr>
        <w:t xml:space="preserve"> retirement</w:t>
      </w:r>
      <w:r w:rsidRPr="00FA1502" w:rsidR="0001493F">
        <w:rPr>
          <w:rFonts w:ascii="Times New Roman" w:eastAsia="Times New Roman" w:hAnsi="Times New Roman" w:cs="Times New Roman"/>
          <w:sz w:val="24"/>
          <w:szCs w:val="24"/>
          <w:lang w:val="en-GB" w:eastAsia="cs-CZ"/>
        </w:rPr>
        <w:t xml:space="preserve"> savings o</w:t>
      </w:r>
      <w:r w:rsidRPr="00FA1502">
        <w:rPr>
          <w:rFonts w:ascii="Times New Roman" w:eastAsia="Times New Roman" w:hAnsi="Times New Roman" w:cs="Times New Roman"/>
          <w:sz w:val="24"/>
          <w:szCs w:val="24"/>
          <w:lang w:val="en-GB" w:eastAsia="cs-CZ"/>
        </w:rPr>
        <w:t xml:space="preserve">f Czech citizens). Although transformed funds are closed to new entrants, existing participants have no </w:t>
      </w:r>
      <w:r w:rsidRPr="00FA1502" w:rsidR="00CF3B83">
        <w:rPr>
          <w:rFonts w:ascii="Times New Roman" w:eastAsia="Times New Roman" w:hAnsi="Times New Roman" w:cs="Times New Roman"/>
          <w:sz w:val="24"/>
          <w:szCs w:val="24"/>
          <w:lang w:val="en-GB" w:eastAsia="cs-CZ"/>
        </w:rPr>
        <w:t>motivation</w:t>
      </w:r>
      <w:r w:rsidRPr="00FA1502">
        <w:rPr>
          <w:rFonts w:ascii="Times New Roman" w:eastAsia="Times New Roman" w:hAnsi="Times New Roman" w:cs="Times New Roman"/>
          <w:sz w:val="24"/>
          <w:szCs w:val="24"/>
          <w:lang w:val="en-GB" w:eastAsia="cs-CZ"/>
        </w:rPr>
        <w:t xml:space="preserve"> to transfer their funds to participa</w:t>
      </w:r>
      <w:r w:rsidRPr="00FA1502" w:rsidR="00CF3B83">
        <w:rPr>
          <w:rFonts w:ascii="Times New Roman" w:eastAsia="Times New Roman" w:hAnsi="Times New Roman" w:cs="Times New Roman"/>
          <w:sz w:val="24"/>
          <w:szCs w:val="24"/>
          <w:lang w:val="en-GB" w:eastAsia="cs-CZ"/>
        </w:rPr>
        <w:t>tion</w:t>
      </w:r>
      <w:r w:rsidRPr="00FA1502">
        <w:rPr>
          <w:rFonts w:ascii="Times New Roman" w:eastAsia="Times New Roman" w:hAnsi="Times New Roman" w:cs="Times New Roman"/>
          <w:sz w:val="24"/>
          <w:szCs w:val="24"/>
          <w:lang w:val="en-GB" w:eastAsia="cs-CZ"/>
        </w:rPr>
        <w:t xml:space="preserve"> funds that, while not offering a guarantee (and </w:t>
      </w:r>
      <w:r w:rsidRPr="00FA1502" w:rsidR="00CF3B83">
        <w:rPr>
          <w:rFonts w:ascii="Times New Roman" w:eastAsia="Times New Roman" w:hAnsi="Times New Roman" w:cs="Times New Roman"/>
          <w:sz w:val="24"/>
          <w:szCs w:val="24"/>
          <w:lang w:val="en-GB" w:eastAsia="cs-CZ"/>
        </w:rPr>
        <w:t xml:space="preserve">are </w:t>
      </w:r>
      <w:r w:rsidRPr="00FA1502">
        <w:rPr>
          <w:rFonts w:ascii="Times New Roman" w:eastAsia="Times New Roman" w:hAnsi="Times New Roman" w:cs="Times New Roman"/>
          <w:sz w:val="24"/>
          <w:szCs w:val="24"/>
          <w:lang w:val="en-GB" w:eastAsia="cs-CZ"/>
        </w:rPr>
        <w:t>also more risky), can offer potentially more attractive returns that easily</w:t>
      </w:r>
      <w:r w:rsidRPr="00FA1502" w:rsidR="00CE5F57">
        <w:rPr>
          <w:rFonts w:ascii="Times New Roman" w:eastAsia="Times New Roman" w:hAnsi="Times New Roman" w:cs="Times New Roman"/>
          <w:sz w:val="24"/>
          <w:szCs w:val="24"/>
          <w:lang w:val="en-GB" w:eastAsia="cs-CZ"/>
        </w:rPr>
        <w:t xml:space="preserve"> cover inflation in the long term</w:t>
      </w:r>
      <w:r w:rsidRPr="00FA1502">
        <w:rPr>
          <w:rFonts w:ascii="Times New Roman" w:eastAsia="Times New Roman" w:hAnsi="Times New Roman" w:cs="Times New Roman"/>
          <w:sz w:val="24"/>
          <w:szCs w:val="24"/>
          <w:lang w:val="en-GB" w:eastAsia="cs-CZ"/>
        </w:rPr>
        <w:t xml:space="preserve"> and can </w:t>
      </w:r>
      <w:r w:rsidRPr="00FA1502" w:rsidR="00CE5F57">
        <w:rPr>
          <w:rFonts w:ascii="Times New Roman" w:eastAsia="Times New Roman" w:hAnsi="Times New Roman" w:cs="Times New Roman"/>
          <w:sz w:val="24"/>
          <w:szCs w:val="24"/>
          <w:lang w:val="en-GB" w:eastAsia="cs-CZ"/>
        </w:rPr>
        <w:t>also offer a return, which is higher than inflation</w:t>
      </w:r>
      <w:r w:rsidRPr="00FA1502">
        <w:rPr>
          <w:rFonts w:ascii="Times New Roman" w:eastAsia="Times New Roman" w:hAnsi="Times New Roman" w:cs="Times New Roman"/>
          <w:sz w:val="24"/>
          <w:szCs w:val="24"/>
          <w:lang w:val="en-GB" w:eastAsia="cs-CZ"/>
        </w:rPr>
        <w:t xml:space="preserve"> (depending on </w:t>
      </w:r>
      <w:r w:rsidRPr="00FA1502" w:rsidR="00CF3B83">
        <w:rPr>
          <w:rFonts w:ascii="Times New Roman" w:eastAsia="Times New Roman" w:hAnsi="Times New Roman" w:cs="Times New Roman"/>
          <w:sz w:val="24"/>
          <w:szCs w:val="24"/>
          <w:lang w:val="en-GB" w:eastAsia="cs-CZ"/>
        </w:rPr>
        <w:t>the dynamics of the participant’</w:t>
      </w:r>
      <w:r w:rsidRPr="00FA1502">
        <w:rPr>
          <w:rFonts w:ascii="Times New Roman" w:eastAsia="Times New Roman" w:hAnsi="Times New Roman" w:cs="Times New Roman"/>
          <w:sz w:val="24"/>
          <w:szCs w:val="24"/>
          <w:lang w:val="en-GB" w:eastAsia="cs-CZ"/>
        </w:rPr>
        <w:t xml:space="preserve">s chosen investment strategy). As a reason why participants do not switch from </w:t>
      </w:r>
      <w:r w:rsidRPr="00FA1502" w:rsidR="00CE5F57">
        <w:rPr>
          <w:rFonts w:ascii="Times New Roman" w:eastAsia="Times New Roman" w:hAnsi="Times New Roman" w:cs="Times New Roman"/>
          <w:sz w:val="24"/>
          <w:szCs w:val="24"/>
          <w:lang w:val="en-GB" w:eastAsia="cs-CZ"/>
        </w:rPr>
        <w:t>transformed funds to participation</w:t>
      </w:r>
      <w:r w:rsidRPr="00FA1502">
        <w:rPr>
          <w:rFonts w:ascii="Times New Roman" w:eastAsia="Times New Roman" w:hAnsi="Times New Roman" w:cs="Times New Roman"/>
          <w:sz w:val="24"/>
          <w:szCs w:val="24"/>
          <w:lang w:val="en-GB" w:eastAsia="cs-CZ"/>
        </w:rPr>
        <w:t xml:space="preserve"> funds, it is often stated that they do not want to lose their entitlements from the transformed fund (e</w:t>
      </w:r>
      <w:r w:rsidRPr="00FA1502" w:rsidR="0042025F">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g</w:t>
      </w:r>
      <w:r w:rsidRPr="00FA1502" w:rsidR="0042025F">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the so-called retirement pension)</w:t>
      </w:r>
      <w:r w:rsidRPr="00FA1502" w:rsidR="0042025F">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where the current law does not allow participants in </w:t>
      </w:r>
      <w:r w:rsidRPr="00FA1502" w:rsidR="0042025F">
        <w:rPr>
          <w:rFonts w:ascii="Times New Roman" w:eastAsia="Times New Roman" w:hAnsi="Times New Roman" w:cs="Times New Roman"/>
          <w:sz w:val="24"/>
          <w:szCs w:val="24"/>
          <w:lang w:val="en-GB" w:eastAsia="cs-CZ"/>
        </w:rPr>
        <w:t>the transformed fund participate in the participation fund</w:t>
      </w:r>
      <w:r w:rsidRPr="00FA1502">
        <w:rPr>
          <w:rFonts w:ascii="Times New Roman" w:eastAsia="Times New Roman" w:hAnsi="Times New Roman" w:cs="Times New Roman"/>
          <w:sz w:val="24"/>
          <w:szCs w:val="24"/>
          <w:lang w:val="en-GB" w:eastAsia="cs-CZ"/>
        </w:rPr>
        <w:t>.</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numPr>
          <w:ilvl w:val="0"/>
          <w:numId w:val="3"/>
        </w:numPr>
        <w:spacing w:before="120" w:after="120" w:line="240" w:lineRule="auto"/>
        <w:ind w:left="1418" w:hanging="284"/>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Sub-funds for legal forms other than the SICAV:</w:t>
      </w:r>
      <w:r w:rsidRPr="00FA1502">
        <w:rPr>
          <w:rFonts w:ascii="Times New Roman" w:eastAsia="Times New Roman" w:hAnsi="Times New Roman" w:cs="Times New Roman"/>
          <w:sz w:val="24"/>
          <w:szCs w:val="24"/>
          <w:lang w:val="en-GB" w:eastAsia="cs-CZ"/>
        </w:rPr>
        <w:t xml:space="preserve"> </w:t>
      </w:r>
      <w:r w:rsidRPr="00FA1502" w:rsidR="00996392">
        <w:rPr>
          <w:rFonts w:ascii="Times New Roman" w:eastAsia="Times New Roman" w:hAnsi="Times New Roman" w:cs="Times New Roman"/>
          <w:sz w:val="24"/>
          <w:szCs w:val="24"/>
          <w:lang w:val="en-GB" w:eastAsia="cs-CZ"/>
        </w:rPr>
        <w:t>Currently</w:t>
      </w:r>
      <w:r w:rsidRPr="00FA1502">
        <w:rPr>
          <w:rFonts w:ascii="Times New Roman" w:eastAsia="Times New Roman" w:hAnsi="Times New Roman" w:cs="Times New Roman"/>
          <w:sz w:val="24"/>
          <w:szCs w:val="24"/>
          <w:lang w:val="en-GB" w:eastAsia="cs-CZ"/>
        </w:rPr>
        <w:t xml:space="preserve">, it is only permitted to create sub-funds for investment funds of the SICAV type (joint-stock </w:t>
      </w:r>
      <w:r w:rsidRPr="00FA1502">
        <w:rPr>
          <w:rFonts w:ascii="Times New Roman" w:eastAsia="Times New Roman" w:hAnsi="Times New Roman" w:cs="Times New Roman"/>
          <w:sz w:val="24"/>
          <w:szCs w:val="24"/>
          <w:lang w:val="en-GB" w:eastAsia="cs-CZ"/>
        </w:rPr>
        <w:t>company with variable share capit</w:t>
      </w:r>
      <w:r w:rsidRPr="00FA1502" w:rsidR="00996392">
        <w:rPr>
          <w:rFonts w:ascii="Times New Roman" w:eastAsia="Times New Roman" w:hAnsi="Times New Roman" w:cs="Times New Roman"/>
          <w:sz w:val="24"/>
          <w:szCs w:val="24"/>
          <w:lang w:val="en-GB" w:eastAsia="cs-CZ"/>
        </w:rPr>
        <w:t>al), although other legal forms</w:t>
      </w:r>
      <w:r w:rsidRPr="00FA1502">
        <w:rPr>
          <w:rFonts w:ascii="Times New Roman" w:eastAsia="Times New Roman" w:hAnsi="Times New Roman" w:cs="Times New Roman"/>
          <w:sz w:val="24"/>
          <w:szCs w:val="24"/>
          <w:lang w:val="en-GB" w:eastAsia="cs-CZ"/>
        </w:rPr>
        <w:t>, namely a closed</w:t>
      </w:r>
      <w:r w:rsidRPr="00FA1502" w:rsidR="00996392">
        <w:rPr>
          <w:rFonts w:ascii="Times New Roman" w:eastAsia="Times New Roman" w:hAnsi="Times New Roman" w:cs="Times New Roman"/>
          <w:sz w:val="24"/>
          <w:szCs w:val="24"/>
          <w:lang w:val="en-GB" w:eastAsia="cs-CZ"/>
        </w:rPr>
        <w:t xml:space="preserve"> joint</w:t>
      </w:r>
      <w:r w:rsidRPr="00FA1502">
        <w:rPr>
          <w:rFonts w:ascii="Times New Roman" w:eastAsia="Times New Roman" w:hAnsi="Times New Roman" w:cs="Times New Roman"/>
          <w:sz w:val="24"/>
          <w:szCs w:val="24"/>
          <w:lang w:val="en-GB" w:eastAsia="cs-CZ"/>
        </w:rPr>
        <w:t xml:space="preserve">-stock company or limited partnership </w:t>
      </w:r>
      <w:r w:rsidRPr="00FA1502" w:rsidR="00996392">
        <w:rPr>
          <w:rFonts w:ascii="Times New Roman" w:eastAsia="Times New Roman" w:hAnsi="Times New Roman" w:cs="Times New Roman"/>
          <w:sz w:val="24"/>
          <w:szCs w:val="24"/>
          <w:lang w:val="en-GB" w:eastAsia="cs-CZ"/>
        </w:rPr>
        <w:t xml:space="preserve">with </w:t>
      </w:r>
      <w:r w:rsidRPr="00FA1502">
        <w:rPr>
          <w:rFonts w:ascii="Times New Roman" w:eastAsia="Times New Roman" w:hAnsi="Times New Roman" w:cs="Times New Roman"/>
          <w:sz w:val="24"/>
          <w:szCs w:val="24"/>
          <w:lang w:val="en-GB" w:eastAsia="cs-CZ"/>
        </w:rPr>
        <w:t xml:space="preserve">investment certificates. </w:t>
      </w:r>
      <w:r w:rsidRPr="00FA1502" w:rsidR="00996392">
        <w:rPr>
          <w:rFonts w:ascii="Times New Roman" w:eastAsia="Times New Roman" w:hAnsi="Times New Roman" w:cs="Times New Roman"/>
          <w:sz w:val="24"/>
          <w:szCs w:val="24"/>
          <w:lang w:val="en-GB" w:eastAsia="cs-CZ"/>
        </w:rPr>
        <w:t>There has not been any</w:t>
      </w:r>
      <w:r w:rsidRPr="00FA1502">
        <w:rPr>
          <w:rFonts w:ascii="Times New Roman" w:eastAsia="Times New Roman" w:hAnsi="Times New Roman" w:cs="Times New Roman"/>
          <w:sz w:val="24"/>
          <w:szCs w:val="24"/>
          <w:lang w:val="en-GB" w:eastAsia="cs-CZ"/>
        </w:rPr>
        <w:t xml:space="preserve"> limited partnership </w:t>
      </w:r>
      <w:r w:rsidRPr="00FA1502" w:rsidR="00996392">
        <w:rPr>
          <w:rFonts w:ascii="Times New Roman" w:eastAsia="Times New Roman" w:hAnsi="Times New Roman" w:cs="Times New Roman"/>
          <w:sz w:val="24"/>
          <w:szCs w:val="24"/>
          <w:lang w:val="en-GB" w:eastAsia="cs-CZ"/>
        </w:rPr>
        <w:t xml:space="preserve">with investment certificates </w:t>
      </w:r>
      <w:r w:rsidRPr="00FA1502">
        <w:rPr>
          <w:rFonts w:ascii="Times New Roman" w:eastAsia="Times New Roman" w:hAnsi="Times New Roman" w:cs="Times New Roman"/>
          <w:sz w:val="24"/>
          <w:szCs w:val="24"/>
          <w:lang w:val="en-GB" w:eastAsia="cs-CZ"/>
        </w:rPr>
        <w:t xml:space="preserve">established in the Czech Republic </w:t>
      </w:r>
      <w:r w:rsidRPr="00FA1502" w:rsidR="00996392">
        <w:rPr>
          <w:rFonts w:ascii="Times New Roman" w:eastAsia="Times New Roman" w:hAnsi="Times New Roman" w:cs="Times New Roman"/>
          <w:sz w:val="24"/>
          <w:szCs w:val="24"/>
          <w:lang w:val="en-GB" w:eastAsia="cs-CZ"/>
        </w:rPr>
        <w:t>yet</w:t>
      </w:r>
      <w:r w:rsidRPr="00FA1502">
        <w:rPr>
          <w:rFonts w:ascii="Times New Roman" w:eastAsia="Times New Roman" w:hAnsi="Times New Roman" w:cs="Times New Roman"/>
          <w:sz w:val="24"/>
          <w:szCs w:val="24"/>
          <w:lang w:val="en-GB" w:eastAsia="cs-CZ"/>
        </w:rPr>
        <w:t>, although amendments have been made in the past to make it more attractive. According to market proposals, this legal form could be used, for example if it were allowed to create sub-funds. Similarly, there is a demand for the possibility of sub-funds in a closed joint-stock company, which is an investment fund. Making the legal form of a limited partnership on investment certificates more attractive could also be made possible by the use of t</w:t>
      </w:r>
      <w:r w:rsidR="00FA1502">
        <w:rPr>
          <w:rFonts w:ascii="Times New Roman" w:eastAsia="Times New Roman" w:hAnsi="Times New Roman" w:cs="Times New Roman"/>
          <w:sz w:val="24"/>
          <w:szCs w:val="24"/>
          <w:lang w:val="en-GB" w:eastAsia="cs-CZ"/>
        </w:rPr>
        <w:t>he international abbreviation “SICAR”</w:t>
      </w:r>
      <w:r w:rsidRPr="00FA1502">
        <w:rPr>
          <w:rFonts w:ascii="Times New Roman" w:eastAsia="Times New Roman" w:hAnsi="Times New Roman" w:cs="Times New Roman"/>
          <w:sz w:val="24"/>
          <w:szCs w:val="24"/>
          <w:lang w:val="en-GB" w:eastAsia="cs-CZ"/>
        </w:rPr>
        <w:t xml:space="preserve"> in the name of the company, or by making the otherwise mandatory regulation of profit distribution in the Business Corporations Act more </w:t>
      </w:r>
      <w:r w:rsidRPr="00FA1502" w:rsidR="00B862C0">
        <w:rPr>
          <w:rFonts w:ascii="Times New Roman" w:eastAsia="Times New Roman" w:hAnsi="Times New Roman" w:cs="Times New Roman"/>
          <w:sz w:val="24"/>
          <w:szCs w:val="24"/>
          <w:lang w:val="en-GB" w:eastAsia="cs-CZ"/>
        </w:rPr>
        <w:t>dispositive</w:t>
      </w:r>
      <w:r w:rsidRPr="00FA1502">
        <w:rPr>
          <w:rFonts w:ascii="Times New Roman" w:eastAsia="Times New Roman" w:hAnsi="Times New Roman" w:cs="Times New Roman"/>
          <w:sz w:val="24"/>
          <w:szCs w:val="24"/>
          <w:lang w:val="en-GB" w:eastAsia="cs-CZ"/>
        </w:rPr>
        <w:t xml:space="preserve">. The amendment also proposes a new designation for the name of the investment fund, which is a joint stock company: “investment fund with fixed </w:t>
      </w:r>
      <w:r w:rsidRPr="00FA1502" w:rsidR="00B862C0">
        <w:rPr>
          <w:rFonts w:ascii="Times New Roman" w:eastAsia="Times New Roman" w:hAnsi="Times New Roman" w:cs="Times New Roman"/>
          <w:sz w:val="24"/>
          <w:szCs w:val="24"/>
          <w:lang w:val="en-GB" w:eastAsia="cs-CZ"/>
        </w:rPr>
        <w:t xml:space="preserve">registered </w:t>
      </w:r>
      <w:r w:rsidRPr="00FA1502">
        <w:rPr>
          <w:rFonts w:ascii="Times New Roman" w:eastAsia="Times New Roman" w:hAnsi="Times New Roman" w:cs="Times New Roman"/>
          <w:sz w:val="24"/>
          <w:szCs w:val="24"/>
          <w:lang w:val="en-GB" w:eastAsia="cs-CZ"/>
        </w:rPr>
        <w:t>capital”. This designation may b</w:t>
      </w:r>
      <w:r w:rsidR="00FA1502">
        <w:rPr>
          <w:rFonts w:ascii="Times New Roman" w:eastAsia="Times New Roman" w:hAnsi="Times New Roman" w:cs="Times New Roman"/>
          <w:sz w:val="24"/>
          <w:szCs w:val="24"/>
          <w:lang w:val="en-GB" w:eastAsia="cs-CZ"/>
        </w:rPr>
        <w:t>e replaced by the abbreviation “SICAF”</w:t>
      </w:r>
      <w:r w:rsidRPr="00FA1502">
        <w:rPr>
          <w:rFonts w:ascii="Times New Roman" w:eastAsia="Times New Roman" w:hAnsi="Times New Roman" w:cs="Times New Roman"/>
          <w:sz w:val="24"/>
          <w:szCs w:val="24"/>
          <w:lang w:val="en-GB" w:eastAsia="cs-CZ"/>
        </w:rPr>
        <w:t xml:space="preserve"> (in French: </w:t>
      </w:r>
      <w:r w:rsidRPr="00FA1502">
        <w:rPr>
          <w:rFonts w:ascii="Times New Roman" w:eastAsia="Times New Roman" w:hAnsi="Times New Roman" w:cs="Times New Roman"/>
          <w:i/>
          <w:iCs/>
          <w:sz w:val="24"/>
          <w:szCs w:val="24"/>
          <w:lang w:val="en-GB" w:eastAsia="cs-CZ"/>
        </w:rPr>
        <w:t>Société</w:t>
      </w:r>
      <w:r w:rsidRPr="00FA1502">
        <w:rPr>
          <w:rFonts w:ascii="Times New Roman" w:eastAsia="Times New Roman" w:hAnsi="Times New Roman" w:cs="Times New Roman"/>
          <w:i/>
          <w:iCs/>
          <w:sz w:val="24"/>
          <w:szCs w:val="24"/>
          <w:lang w:val="en-GB" w:eastAsia="cs-CZ"/>
        </w:rPr>
        <w:t xml:space="preserve"> </w:t>
      </w:r>
      <w:r w:rsidRPr="00FA1502">
        <w:rPr>
          <w:rFonts w:ascii="Times New Roman" w:eastAsia="Times New Roman" w:hAnsi="Times New Roman" w:cs="Times New Roman"/>
          <w:i/>
          <w:iCs/>
          <w:sz w:val="24"/>
          <w:szCs w:val="24"/>
          <w:lang w:val="en-GB" w:eastAsia="cs-CZ"/>
        </w:rPr>
        <w:t>d'Investissement</w:t>
      </w:r>
      <w:r w:rsidRPr="00FA1502">
        <w:rPr>
          <w:rFonts w:ascii="Times New Roman" w:eastAsia="Times New Roman" w:hAnsi="Times New Roman" w:cs="Times New Roman"/>
          <w:i/>
          <w:iCs/>
          <w:sz w:val="24"/>
          <w:szCs w:val="24"/>
          <w:lang w:val="en-GB" w:eastAsia="cs-CZ"/>
        </w:rPr>
        <w:t xml:space="preserve"> à Capital Fixe</w:t>
      </w:r>
      <w:r w:rsidRPr="00FA1502">
        <w:rPr>
          <w:rFonts w:ascii="Times New Roman" w:eastAsia="Times New Roman" w:hAnsi="Times New Roman" w:cs="Times New Roman"/>
          <w:sz w:val="24"/>
          <w:szCs w:val="24"/>
          <w:lang w:val="en-GB" w:eastAsia="cs-CZ"/>
        </w:rPr>
        <w:t xml:space="preserve">), since this abbreviation is worldwide known and comprehensible, thus making the company more attractive. </w:t>
      </w:r>
    </w:p>
    <w:p w:rsidR="00176359" w:rsidRPr="00FA1502" w:rsidP="00A7116F">
      <w:pPr>
        <w:keepNext/>
        <w:widowControl w:val="0"/>
        <w:numPr>
          <w:ilvl w:val="0"/>
          <w:numId w:val="3"/>
        </w:numPr>
        <w:spacing w:before="120" w:after="120" w:line="240" w:lineRule="auto"/>
        <w:ind w:left="1418" w:hanging="284"/>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Support for the use of XML format by executors:</w:t>
      </w:r>
      <w:r w:rsidRPr="00FA1502">
        <w:rPr>
          <w:rFonts w:ascii="Times New Roman" w:eastAsia="Times New Roman" w:hAnsi="Times New Roman" w:cs="Times New Roman"/>
          <w:sz w:val="24"/>
          <w:szCs w:val="24"/>
          <w:lang w:val="en-GB" w:eastAsia="cs-CZ"/>
        </w:rPr>
        <w:t xml:space="preserve"> Executors are now obliged to use the XML format only when communicating with banks. This causes unjustified market inequality and higher costs for non-banking financial institutions in executing executors</w:t>
      </w:r>
      <w:r w:rsidRPr="00FA1502" w:rsidR="00905C24">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requests.</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numPr>
          <w:ilvl w:val="0"/>
          <w:numId w:val="3"/>
        </w:numPr>
        <w:spacing w:before="120" w:after="120" w:line="240" w:lineRule="auto"/>
        <w:ind w:left="1418" w:hanging="284"/>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 xml:space="preserve">Promotion of trading </w:t>
      </w:r>
      <w:r w:rsidRPr="00FA1502" w:rsidR="00AD1F46">
        <w:rPr>
          <w:rFonts w:ascii="Times New Roman" w:eastAsia="Times New Roman" w:hAnsi="Times New Roman" w:cs="Times New Roman"/>
          <w:sz w:val="24"/>
          <w:szCs w:val="24"/>
          <w:u w:val="single"/>
          <w:lang w:val="en-GB" w:eastAsia="cs-CZ"/>
        </w:rPr>
        <w:t>with corporate bonds:</w:t>
      </w:r>
      <w:r w:rsidRPr="00FA1502" w:rsidR="00AD1F46">
        <w:rPr>
          <w:rFonts w:ascii="Times New Roman" w:eastAsia="Times New Roman" w:hAnsi="Times New Roman" w:cs="Times New Roman"/>
          <w:sz w:val="24"/>
          <w:szCs w:val="24"/>
          <w:lang w:val="en-GB" w:eastAsia="cs-CZ"/>
        </w:rPr>
        <w:t xml:space="preserve"> Currently</w:t>
      </w:r>
      <w:r w:rsidRPr="00FA1502">
        <w:rPr>
          <w:rFonts w:ascii="Times New Roman" w:eastAsia="Times New Roman" w:hAnsi="Times New Roman" w:cs="Times New Roman"/>
          <w:sz w:val="24"/>
          <w:szCs w:val="24"/>
          <w:lang w:val="en-GB" w:eastAsia="cs-CZ"/>
        </w:rPr>
        <w:t xml:space="preserve">, the issuing terms and conditions of the bonds </w:t>
      </w:r>
      <w:r w:rsidRPr="00FA1502" w:rsidR="000B5CCF">
        <w:rPr>
          <w:rFonts w:ascii="Times New Roman" w:eastAsia="Times New Roman" w:hAnsi="Times New Roman" w:cs="Times New Roman"/>
          <w:sz w:val="24"/>
          <w:szCs w:val="24"/>
          <w:lang w:val="en-GB" w:eastAsia="cs-CZ"/>
        </w:rPr>
        <w:t>basically</w:t>
      </w:r>
      <w:r w:rsidRPr="00FA1502">
        <w:rPr>
          <w:rFonts w:ascii="Times New Roman" w:eastAsia="Times New Roman" w:hAnsi="Times New Roman" w:cs="Times New Roman"/>
          <w:sz w:val="24"/>
          <w:szCs w:val="24"/>
          <w:lang w:val="en-GB" w:eastAsia="cs-CZ"/>
        </w:rPr>
        <w:t xml:space="preserve"> do not contain any information about the issuer, so they cannot be used to assess the issuer</w:t>
      </w:r>
      <w:r w:rsidRPr="00FA1502" w:rsidR="000B5CCF">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s ability to </w:t>
      </w:r>
      <w:r w:rsidRPr="00FA1502" w:rsidR="000B5CCF">
        <w:rPr>
          <w:rFonts w:ascii="Times New Roman" w:eastAsia="Times New Roman" w:hAnsi="Times New Roman" w:cs="Times New Roman"/>
          <w:sz w:val="24"/>
          <w:szCs w:val="24"/>
          <w:lang w:val="en-GB" w:eastAsia="cs-CZ"/>
        </w:rPr>
        <w:t>pay up</w:t>
      </w:r>
      <w:r w:rsidRPr="00FA1502">
        <w:rPr>
          <w:rFonts w:ascii="Times New Roman" w:eastAsia="Times New Roman" w:hAnsi="Times New Roman" w:cs="Times New Roman"/>
          <w:sz w:val="24"/>
          <w:szCs w:val="24"/>
          <w:lang w:val="en-GB" w:eastAsia="cs-CZ"/>
        </w:rPr>
        <w:t xml:space="preserve"> these bonds. Typically, the prospectus contains information on both the issue and the issuer, however, the prospectus is not prepared for bond issues up to EUR 1 million. MF CR published in January 2020 for public consu</w:t>
      </w:r>
      <w:r w:rsidRPr="00FA1502" w:rsidR="004371DD">
        <w:rPr>
          <w:rFonts w:ascii="Times New Roman" w:eastAsia="Times New Roman" w:hAnsi="Times New Roman" w:cs="Times New Roman"/>
          <w:sz w:val="24"/>
          <w:szCs w:val="24"/>
          <w:lang w:val="en-GB" w:eastAsia="cs-CZ"/>
        </w:rPr>
        <w:t>ltation a second version called</w:t>
      </w:r>
      <w:r w:rsidRPr="00FA1502">
        <w:rPr>
          <w:rFonts w:ascii="Times New Roman" w:eastAsia="Times New Roman" w:hAnsi="Times New Roman" w:cs="Times New Roman"/>
          <w:sz w:val="24"/>
          <w:szCs w:val="24"/>
          <w:lang w:val="en-GB" w:eastAsia="cs-CZ"/>
        </w:rPr>
        <w:t xml:space="preserve"> </w:t>
      </w:r>
      <w:r w:rsidRPr="00FA1502" w:rsidR="004371DD">
        <w:rPr>
          <w:rFonts w:ascii="Times New Roman" w:eastAsia="Times New Roman" w:hAnsi="Times New Roman" w:cs="Times New Roman"/>
          <w:sz w:val="24"/>
          <w:szCs w:val="24"/>
          <w:lang w:val="en-GB" w:eastAsia="cs-CZ"/>
        </w:rPr>
        <w:t xml:space="preserve">Corporate Bond </w:t>
      </w:r>
      <w:r w:rsidRPr="00FA1502">
        <w:rPr>
          <w:rFonts w:ascii="Times New Roman" w:eastAsia="Times New Roman" w:hAnsi="Times New Roman" w:cs="Times New Roman"/>
          <w:sz w:val="24"/>
          <w:szCs w:val="24"/>
          <w:lang w:val="en-GB" w:eastAsia="cs-CZ"/>
        </w:rPr>
        <w:t>Scorecard</w:t>
      </w:r>
      <w:r>
        <w:rPr>
          <w:rStyle w:val="FootnoteReference"/>
          <w:rFonts w:ascii="Times New Roman" w:eastAsia="Times New Roman" w:hAnsi="Times New Roman" w:cs="Times New Roman"/>
          <w:sz w:val="24"/>
          <w:szCs w:val="24"/>
          <w:lang w:val="en-GB" w:eastAsia="cs-CZ"/>
        </w:rPr>
        <w:footnoteReference w:id="26"/>
      </w:r>
      <w:r w:rsidRPr="00FA1502">
        <w:rPr>
          <w:rFonts w:ascii="Times New Roman" w:eastAsia="Times New Roman" w:hAnsi="Times New Roman" w:cs="Times New Roman"/>
          <w:sz w:val="24"/>
          <w:szCs w:val="24"/>
          <w:lang w:val="en-GB" w:eastAsia="cs-CZ"/>
        </w:rPr>
        <w:t xml:space="preserve"> </w:t>
      </w:r>
      <w:bookmarkStart w:id="23" w:name="_ftnref25"/>
      <w:bookmarkEnd w:id="23"/>
      <w:r w:rsidRPr="00FA1502" w:rsidR="004371DD">
        <w:rPr>
          <w:rFonts w:ascii="Times New Roman" w:eastAsia="Times New Roman" w:hAnsi="Times New Roman" w:cs="Times New Roman"/>
          <w:sz w:val="24"/>
          <w:szCs w:val="24"/>
          <w:lang w:val="en-GB" w:eastAsia="cs-CZ"/>
        </w:rPr>
        <w:t>(</w:t>
      </w:r>
      <w:r w:rsidRPr="00FA1502" w:rsidR="004371DD">
        <w:rPr>
          <w:rFonts w:ascii="Times New Roman" w:eastAsia="Times New Roman" w:hAnsi="Times New Roman" w:cs="Times New Roman"/>
          <w:sz w:val="24"/>
          <w:szCs w:val="24"/>
          <w:lang w:val="en-GB" w:eastAsia="cs-CZ"/>
        </w:rPr>
        <w:t>labeled</w:t>
      </w:r>
      <w:r w:rsidRPr="00FA1502" w:rsidR="004371DD">
        <w:rPr>
          <w:rFonts w:ascii="Times New Roman" w:eastAsia="Times New Roman" w:hAnsi="Times New Roman" w:cs="Times New Roman"/>
          <w:sz w:val="24"/>
          <w:szCs w:val="24"/>
          <w:lang w:val="en-GB" w:eastAsia="cs-CZ"/>
        </w:rPr>
        <w:t xml:space="preserve"> 2.0)</w:t>
      </w:r>
      <w:r w:rsidRPr="00FA1502">
        <w:rPr>
          <w:rFonts w:ascii="Times New Roman" w:eastAsia="Times New Roman" w:hAnsi="Times New Roman" w:cs="Times New Roman"/>
          <w:sz w:val="24"/>
          <w:szCs w:val="24"/>
          <w:lang w:val="en-GB" w:eastAsia="cs-CZ"/>
        </w:rPr>
        <w:t>, which allows investors to better assess the risk of corporate bonds. However, the problem is that the bond issuer does not disclose its financial information (typically in the Collection of D</w:t>
      </w:r>
      <w:r w:rsidRPr="00FA1502" w:rsidR="004371DD">
        <w:rPr>
          <w:rFonts w:ascii="Times New Roman" w:eastAsia="Times New Roman" w:hAnsi="Times New Roman" w:cs="Times New Roman"/>
          <w:sz w:val="24"/>
          <w:szCs w:val="24"/>
          <w:lang w:val="en-GB" w:eastAsia="cs-CZ"/>
        </w:rPr>
        <w:t xml:space="preserve">eeds </w:t>
      </w:r>
      <w:r w:rsidRPr="00FA1502">
        <w:rPr>
          <w:rFonts w:ascii="Times New Roman" w:eastAsia="Times New Roman" w:hAnsi="Times New Roman" w:cs="Times New Roman"/>
          <w:sz w:val="24"/>
          <w:szCs w:val="24"/>
          <w:lang w:val="en-GB" w:eastAsia="cs-CZ"/>
        </w:rPr>
        <w:t>of the Commercial Register), or the published information is out of date and does not reflect the planned bond issue. It is also proposed to make changes in relation to insolvency or debt recovery with respect to s</w:t>
      </w:r>
      <w:r w:rsidRPr="00FA1502" w:rsidR="004371DD">
        <w:rPr>
          <w:rFonts w:ascii="Times New Roman" w:eastAsia="Times New Roman" w:hAnsi="Times New Roman" w:cs="Times New Roman"/>
          <w:sz w:val="24"/>
          <w:szCs w:val="24"/>
          <w:lang w:val="en-GB" w:eastAsia="cs-CZ"/>
        </w:rPr>
        <w:t>ubordinated bonds, respectively</w:t>
      </w:r>
      <w:r w:rsidRPr="00FA1502">
        <w:rPr>
          <w:rFonts w:ascii="Times New Roman" w:eastAsia="Times New Roman" w:hAnsi="Times New Roman" w:cs="Times New Roman"/>
          <w:sz w:val="24"/>
          <w:szCs w:val="24"/>
          <w:lang w:val="en-GB" w:eastAsia="cs-CZ"/>
        </w:rPr>
        <w:t xml:space="preserve"> subordinated claims in general.</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current legal situation is </w:t>
      </w:r>
      <w:r w:rsidRPr="00FA1502" w:rsidR="00384455">
        <w:rPr>
          <w:rFonts w:ascii="Times New Roman" w:eastAsia="Times New Roman" w:hAnsi="Times New Roman" w:cs="Times New Roman"/>
          <w:sz w:val="24"/>
          <w:szCs w:val="24"/>
          <w:lang w:val="en-GB" w:eastAsia="cs-CZ"/>
        </w:rPr>
        <w:t xml:space="preserve">neither </w:t>
      </w:r>
      <w:r w:rsidRPr="00FA1502">
        <w:rPr>
          <w:rFonts w:ascii="Times New Roman" w:eastAsia="Times New Roman" w:hAnsi="Times New Roman" w:cs="Times New Roman"/>
          <w:sz w:val="24"/>
          <w:szCs w:val="24"/>
          <w:lang w:val="en-GB" w:eastAsia="cs-CZ"/>
        </w:rPr>
        <w:t>contrary to the prohibition of discrimination, nor is it contrary to the principle of equality between men and women.</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numPr>
          <w:ilvl w:val="0"/>
          <w:numId w:val="4"/>
        </w:numPr>
        <w:spacing w:before="120" w:after="120" w:line="240" w:lineRule="auto"/>
        <w:ind w:left="268" w:firstLine="0"/>
        <w:jc w:val="both"/>
        <w:rPr>
          <w:rFonts w:ascii="Times New Roman" w:eastAsia="Times New Roman" w:hAnsi="Times New Roman" w:cs="Times New Roman"/>
          <w:b/>
          <w:bCs/>
          <w:sz w:val="24"/>
          <w:szCs w:val="24"/>
          <w:lang w:val="en-GB" w:eastAsia="cs-CZ"/>
        </w:rPr>
      </w:pPr>
      <w:r w:rsidRPr="00FA1502">
        <w:rPr>
          <w:rFonts w:ascii="Times New Roman" w:eastAsia="Times New Roman" w:hAnsi="Times New Roman" w:cs="Times New Roman"/>
          <w:b/>
          <w:bCs/>
          <w:sz w:val="24"/>
          <w:szCs w:val="24"/>
          <w:lang w:val="en-GB" w:eastAsia="cs-CZ"/>
        </w:rPr>
        <w:t>Justification of the main principles of the proposed legislation, inc</w:t>
      </w:r>
      <w:r w:rsidRPr="00FA1502" w:rsidR="00B9325A">
        <w:rPr>
          <w:rFonts w:ascii="Times New Roman" w:eastAsia="Times New Roman" w:hAnsi="Times New Roman" w:cs="Times New Roman"/>
          <w:b/>
          <w:bCs/>
          <w:sz w:val="24"/>
          <w:szCs w:val="24"/>
          <w:lang w:val="en-GB" w:eastAsia="cs-CZ"/>
        </w:rPr>
        <w:t>luding an evaluation of the act</w:t>
      </w:r>
      <w:r w:rsidRPr="00FA1502">
        <w:rPr>
          <w:rFonts w:ascii="Times New Roman" w:eastAsia="Times New Roman" w:hAnsi="Times New Roman" w:cs="Times New Roman"/>
          <w:b/>
          <w:bCs/>
          <w:sz w:val="24"/>
          <w:szCs w:val="24"/>
          <w:lang w:val="en-GB" w:eastAsia="cs-CZ"/>
        </w:rPr>
        <w:t xml:space="preserve"> in relation to non-discrimination and equality between men and women</w:t>
      </w:r>
      <w:r w:rsidR="00A7116F">
        <w:rPr>
          <w:rFonts w:ascii="Times New Roman" w:eastAsia="Times New Roman" w:hAnsi="Times New Roman" w:cs="Times New Roman"/>
          <w:b/>
          <w:bCs/>
          <w:sz w:val="24"/>
          <w:szCs w:val="24"/>
          <w:lang w:val="en-GB" w:eastAsia="cs-CZ"/>
        </w:rPr>
        <w:t xml:space="preserve"> </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This amendment proposes to amend a number of acts, none of which is dominant, and therefore no specific act is include</w:t>
      </w:r>
      <w:r w:rsidRPr="00FA1502" w:rsidR="00F66FFE">
        <w:rPr>
          <w:rFonts w:ascii="Times New Roman" w:eastAsia="Times New Roman" w:hAnsi="Times New Roman" w:cs="Times New Roman"/>
          <w:sz w:val="24"/>
          <w:szCs w:val="24"/>
          <w:lang w:val="en-GB" w:eastAsia="cs-CZ"/>
        </w:rPr>
        <w:t>d in the title of the amendment</w:t>
      </w:r>
      <w:r w:rsidRPr="00FA1502">
        <w:rPr>
          <w:rFonts w:ascii="Times New Roman" w:eastAsia="Times New Roman" w:hAnsi="Times New Roman" w:cs="Times New Roman"/>
          <w:sz w:val="24"/>
          <w:szCs w:val="24"/>
          <w:lang w:val="en-GB" w:eastAsia="cs-CZ"/>
        </w:rPr>
        <w:t xml:space="preserve"> and amendments to individual acts are listed by number in the Collection of Laws. In particular, it is prop</w:t>
      </w:r>
      <w:r w:rsidRPr="00FA1502" w:rsidR="009453D6">
        <w:rPr>
          <w:rFonts w:ascii="Times New Roman" w:eastAsia="Times New Roman" w:hAnsi="Times New Roman" w:cs="Times New Roman"/>
          <w:sz w:val="24"/>
          <w:szCs w:val="24"/>
          <w:lang w:val="en-GB" w:eastAsia="cs-CZ"/>
        </w:rPr>
        <w:t>osed to amend the following acts</w:t>
      </w:r>
      <w:r w:rsidRPr="00FA1502">
        <w:rPr>
          <w:rFonts w:ascii="Times New Roman" w:eastAsia="Times New Roman" w:hAnsi="Times New Roman" w:cs="Times New Roman"/>
          <w:sz w:val="24"/>
          <w:szCs w:val="24"/>
          <w:lang w:val="en-GB" w:eastAsia="cs-CZ"/>
        </w:rPr>
        <w:t>: </w:t>
      </w:r>
    </w:p>
    <w:p w:rsidR="00176359" w:rsidRPr="00FA1502" w:rsidP="00A7116F">
      <w:pPr>
        <w:keepNext/>
        <w:widowControl w:val="0"/>
        <w:numPr>
          <w:ilvl w:val="0"/>
          <w:numId w:val="5"/>
        </w:numPr>
        <w:spacing w:before="120" w:after="120" w:line="240" w:lineRule="auto"/>
        <w:ind w:left="1247" w:firstLine="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Act No. 229/1992 Coll., On Commodity Exchanges, as amended (h</w:t>
      </w:r>
      <w:r w:rsidRPr="00FA1502" w:rsidR="00D9292E">
        <w:rPr>
          <w:rFonts w:ascii="Times New Roman" w:eastAsia="Times New Roman" w:hAnsi="Times New Roman" w:cs="Times New Roman"/>
          <w:sz w:val="24"/>
          <w:szCs w:val="24"/>
          <w:lang w:val="en-GB" w:eastAsia="cs-CZ"/>
        </w:rPr>
        <w:t>ereinafter referred to as the “</w:t>
      </w:r>
      <w:r w:rsidRPr="00FA1502" w:rsidR="00CA73AF">
        <w:rPr>
          <w:rFonts w:ascii="Times New Roman" w:eastAsia="Times New Roman" w:hAnsi="Times New Roman" w:cs="Times New Roman"/>
          <w:b/>
          <w:sz w:val="24"/>
          <w:szCs w:val="24"/>
          <w:lang w:val="en-GB" w:eastAsia="cs-CZ"/>
        </w:rPr>
        <w:t>ZoKB</w:t>
      </w:r>
      <w:r w:rsidRPr="00FA1502">
        <w:rPr>
          <w:rFonts w:ascii="Times New Roman" w:eastAsia="Times New Roman" w:hAnsi="Times New Roman" w:cs="Times New Roman"/>
          <w:sz w:val="24"/>
          <w:szCs w:val="24"/>
          <w:lang w:val="en-GB" w:eastAsia="cs-CZ"/>
        </w:rPr>
        <w:t xml:space="preserve">”), which proposes to extend the jurisdiction of the </w:t>
      </w:r>
      <w:r w:rsidRPr="00FA1502">
        <w:rPr>
          <w:rFonts w:ascii="Times New Roman" w:eastAsia="Times New Roman" w:hAnsi="Times New Roman" w:cs="Times New Roman"/>
          <w:sz w:val="24"/>
          <w:szCs w:val="24"/>
          <w:lang w:val="en-GB" w:eastAsia="cs-CZ"/>
        </w:rPr>
        <w:t>arbitral tribunal in a manner similar to that proposed for an arbitration court at a regulated market (Stock Exchange Arbitration Court) ). In particular, the aim is</w:t>
      </w:r>
      <w:r w:rsidRPr="00FA1502" w:rsidR="005429FE">
        <w:rPr>
          <w:rFonts w:ascii="Times New Roman" w:eastAsia="Times New Roman" w:hAnsi="Times New Roman" w:cs="Times New Roman"/>
          <w:sz w:val="24"/>
          <w:szCs w:val="24"/>
          <w:lang w:val="en-GB" w:eastAsia="cs-CZ"/>
        </w:rPr>
        <w:t xml:space="preserve"> to ensure equal conditions</w:t>
      </w:r>
      <w:r w:rsidRPr="00FA1502">
        <w:rPr>
          <w:rFonts w:ascii="Times New Roman" w:eastAsia="Times New Roman" w:hAnsi="Times New Roman" w:cs="Times New Roman"/>
          <w:sz w:val="24"/>
          <w:szCs w:val="24"/>
          <w:lang w:val="en-GB" w:eastAsia="cs-CZ"/>
        </w:rPr>
        <w:t>, where</w:t>
      </w:r>
      <w:r w:rsidRPr="00FA1502" w:rsidR="005429FE">
        <w:rPr>
          <w:rFonts w:ascii="Times New Roman" w:eastAsia="Times New Roman" w:hAnsi="Times New Roman" w:cs="Times New Roman"/>
          <w:sz w:val="24"/>
          <w:szCs w:val="24"/>
          <w:lang w:val="en-GB" w:eastAsia="cs-CZ"/>
        </w:rPr>
        <w:t>as</w:t>
      </w:r>
      <w:r w:rsidRPr="00FA1502">
        <w:rPr>
          <w:rFonts w:ascii="Times New Roman" w:eastAsia="Times New Roman" w:hAnsi="Times New Roman" w:cs="Times New Roman"/>
          <w:sz w:val="24"/>
          <w:szCs w:val="24"/>
          <w:lang w:val="en-GB" w:eastAsia="cs-CZ"/>
        </w:rPr>
        <w:t xml:space="preserve"> the development of the capital market is </w:t>
      </w:r>
      <w:r w:rsidRPr="00FA1502" w:rsidR="005429FE">
        <w:rPr>
          <w:rFonts w:ascii="Times New Roman" w:eastAsia="Times New Roman" w:hAnsi="Times New Roman" w:cs="Times New Roman"/>
          <w:sz w:val="24"/>
          <w:szCs w:val="24"/>
          <w:lang w:val="en-GB" w:eastAsia="cs-CZ"/>
        </w:rPr>
        <w:t xml:space="preserve">rather </w:t>
      </w:r>
      <w:r w:rsidRPr="00FA1502">
        <w:rPr>
          <w:rFonts w:ascii="Times New Roman" w:eastAsia="Times New Roman" w:hAnsi="Times New Roman" w:cs="Times New Roman"/>
          <w:sz w:val="24"/>
          <w:szCs w:val="24"/>
          <w:lang w:val="en-GB" w:eastAsia="cs-CZ"/>
        </w:rPr>
        <w:t>foreseen in the second type of arbitration court, but it would not be appropriate to extend the scope to only one of them. In principle, the proposed amendment affects only the International Arbitration Court attached to the Czech-Moravian Commodity Exchange. </w:t>
      </w:r>
    </w:p>
    <w:p w:rsidR="00176359" w:rsidRPr="00FA1502" w:rsidP="00A7116F">
      <w:pPr>
        <w:keepNext/>
        <w:widowControl w:val="0"/>
        <w:numPr>
          <w:ilvl w:val="0"/>
          <w:numId w:val="5"/>
        </w:numPr>
        <w:spacing w:before="120" w:after="120" w:line="240" w:lineRule="auto"/>
        <w:ind w:left="1258" w:firstLine="0"/>
        <w:jc w:val="both"/>
        <w:rPr>
          <w:rFonts w:ascii="Times New Roman" w:eastAsia="Times New Roman" w:hAnsi="Times New Roman" w:cs="Times New Roman"/>
          <w:sz w:val="28"/>
          <w:szCs w:val="28"/>
          <w:lang w:val="en-GB" w:eastAsia="cs-CZ"/>
        </w:rPr>
      </w:pPr>
      <w:r w:rsidRPr="00FA1502">
        <w:rPr>
          <w:rFonts w:ascii="Times New Roman" w:eastAsia="Times New Roman" w:hAnsi="Times New Roman" w:cs="Times New Roman"/>
          <w:sz w:val="24"/>
          <w:szCs w:val="24"/>
          <w:lang w:val="en-GB" w:eastAsia="cs-CZ"/>
        </w:rPr>
        <w:t>Act No. 586/1992 Coll., On Income Tax, as amended (h</w:t>
      </w:r>
      <w:r w:rsidRPr="00FA1502" w:rsidR="00D9292E">
        <w:rPr>
          <w:rFonts w:ascii="Times New Roman" w:eastAsia="Times New Roman" w:hAnsi="Times New Roman" w:cs="Times New Roman"/>
          <w:sz w:val="24"/>
          <w:szCs w:val="24"/>
          <w:lang w:val="en-GB" w:eastAsia="cs-CZ"/>
        </w:rPr>
        <w:t>ereinafter referred to as the “</w:t>
      </w:r>
      <w:r w:rsidRPr="00FA1502" w:rsidR="00CA73AF">
        <w:rPr>
          <w:rFonts w:ascii="Times New Roman" w:eastAsia="Times New Roman" w:hAnsi="Times New Roman" w:cs="Times New Roman"/>
          <w:b/>
          <w:bCs/>
          <w:sz w:val="24"/>
          <w:szCs w:val="24"/>
          <w:lang w:val="en-GB" w:eastAsia="cs-CZ"/>
        </w:rPr>
        <w:t>ZDP</w:t>
      </w:r>
      <w:r w:rsidRPr="00FA1502">
        <w:rPr>
          <w:rFonts w:ascii="Times New Roman" w:eastAsia="Times New Roman" w:hAnsi="Times New Roman" w:cs="Times New Roman"/>
          <w:sz w:val="24"/>
          <w:szCs w:val="24"/>
          <w:lang w:val="en-GB" w:eastAsia="cs-CZ"/>
        </w:rPr>
        <w:t xml:space="preserve">”), which proposes to combine existing limits </w:t>
      </w:r>
      <w:r w:rsidRPr="00FA1502" w:rsidR="00D9292E">
        <w:rPr>
          <w:rFonts w:ascii="Times New Roman" w:eastAsia="Times New Roman" w:hAnsi="Times New Roman" w:cs="Times New Roman"/>
          <w:sz w:val="24"/>
          <w:szCs w:val="24"/>
          <w:lang w:val="en-GB" w:eastAsia="cs-CZ"/>
        </w:rPr>
        <w:t>for savings products for retirement</w:t>
      </w:r>
      <w:r w:rsidRPr="00FA1502">
        <w:rPr>
          <w:rFonts w:ascii="Times New Roman" w:eastAsia="Times New Roman" w:hAnsi="Times New Roman" w:cs="Times New Roman"/>
          <w:sz w:val="24"/>
          <w:szCs w:val="24"/>
          <w:lang w:val="en-GB" w:eastAsia="cs-CZ"/>
        </w:rPr>
        <w:t xml:space="preserve"> and to extend their application to the newly introduced long-term account investments. At the same time, it reacts to the emergence of new types of sub-funds, which are recognized as independent taxpayers of corporate income tax, as </w:t>
      </w:r>
      <w:r w:rsidRPr="00FA1502" w:rsidR="00CA73AF">
        <w:rPr>
          <w:rFonts w:ascii="Times New Roman" w:eastAsia="Times New Roman" w:hAnsi="Times New Roman" w:cs="Times New Roman"/>
          <w:sz w:val="24"/>
          <w:szCs w:val="24"/>
          <w:lang w:val="en-GB" w:eastAsia="cs-CZ"/>
        </w:rPr>
        <w:t>well as in the case of</w:t>
      </w:r>
      <w:r w:rsidRPr="00FA1502">
        <w:rPr>
          <w:rFonts w:ascii="Times New Roman" w:eastAsia="Times New Roman" w:hAnsi="Times New Roman" w:cs="Times New Roman"/>
          <w:sz w:val="24"/>
          <w:szCs w:val="24"/>
          <w:lang w:val="en-GB" w:eastAsia="cs-CZ"/>
        </w:rPr>
        <w:t xml:space="preserve"> the existing sub-funds of a joint-stock company with variable capital.</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numPr>
          <w:ilvl w:val="0"/>
          <w:numId w:val="5"/>
        </w:numPr>
        <w:spacing w:before="120" w:after="120" w:line="240" w:lineRule="auto"/>
        <w:ind w:left="1247" w:firstLine="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Act</w:t>
      </w:r>
      <w:r w:rsidRPr="00FA1502" w:rsidR="00083753">
        <w:rPr>
          <w:rFonts w:ascii="Times New Roman" w:eastAsia="Times New Roman" w:hAnsi="Times New Roman" w:cs="Times New Roman"/>
          <w:sz w:val="24"/>
          <w:szCs w:val="24"/>
          <w:lang w:val="en-GB" w:eastAsia="cs-CZ"/>
        </w:rPr>
        <w:t xml:space="preserve"> N</w:t>
      </w:r>
      <w:r w:rsidRPr="00FA1502">
        <w:rPr>
          <w:rFonts w:ascii="Times New Roman" w:eastAsia="Times New Roman" w:hAnsi="Times New Roman" w:cs="Times New Roman"/>
          <w:sz w:val="24"/>
          <w:szCs w:val="24"/>
          <w:lang w:val="en-GB" w:eastAsia="cs-CZ"/>
        </w:rPr>
        <w:t>o. 40/1995 Coll., On regulation of advertising and amending Act no. 468/1991 Coll., On radio and television broadcasting, as amended, as amende</w:t>
      </w:r>
      <w:r w:rsidRPr="00FA1502">
        <w:rPr>
          <w:rFonts w:ascii="Times New Roman" w:eastAsia="Times New Roman" w:hAnsi="Times New Roman" w:cs="Times New Roman"/>
          <w:sz w:val="24"/>
          <w:szCs w:val="24"/>
          <w:lang w:val="en-GB" w:eastAsia="cs-CZ"/>
        </w:rPr>
        <w:t xml:space="preserve">d (hereinafter referred to as </w:t>
      </w:r>
      <w:r w:rsidR="00A7116F">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b/>
          <w:bCs/>
          <w:sz w:val="24"/>
          <w:szCs w:val="24"/>
          <w:lang w:val="en-GB" w:eastAsia="cs-CZ"/>
        </w:rPr>
        <w:t>ZoRekl</w:t>
      </w:r>
      <w:r w:rsidR="00A7116F">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which reflects the fact that, for example, bonds of Czech companies typically offer advertising portals that are not subject to the supervisi</w:t>
      </w:r>
      <w:r w:rsidRPr="00FA1502" w:rsidR="00083753">
        <w:rPr>
          <w:rFonts w:ascii="Times New Roman" w:eastAsia="Times New Roman" w:hAnsi="Times New Roman" w:cs="Times New Roman"/>
          <w:sz w:val="24"/>
          <w:szCs w:val="24"/>
          <w:lang w:val="en-GB" w:eastAsia="cs-CZ"/>
        </w:rPr>
        <w:t>on of the Czech National Bank (hereinafter referred to as “</w:t>
      </w:r>
      <w:r w:rsidRPr="00FA1502" w:rsidR="00083753">
        <w:rPr>
          <w:rFonts w:ascii="Times New Roman" w:eastAsia="Times New Roman" w:hAnsi="Times New Roman" w:cs="Times New Roman"/>
          <w:b/>
          <w:bCs/>
          <w:sz w:val="24"/>
          <w:szCs w:val="24"/>
          <w:lang w:val="en-GB" w:eastAsia="cs-CZ"/>
        </w:rPr>
        <w:t>CNB</w:t>
      </w:r>
      <w:r w:rsidRPr="00A7116F" w:rsidR="00083753">
        <w:rPr>
          <w:rFonts w:ascii="Times New Roman" w:eastAsia="Times New Roman" w:hAnsi="Times New Roman" w:cs="Times New Roman"/>
          <w:bCs/>
          <w:sz w:val="24"/>
          <w:szCs w:val="24"/>
          <w:lang w:val="en-GB" w:eastAsia="cs-CZ"/>
        </w:rPr>
        <w:t>”</w:t>
      </w:r>
      <w:r w:rsidRPr="00FA1502">
        <w:rPr>
          <w:rFonts w:ascii="Times New Roman" w:eastAsia="Times New Roman" w:hAnsi="Times New Roman" w:cs="Times New Roman"/>
          <w:sz w:val="24"/>
          <w:szCs w:val="24"/>
          <w:lang w:val="en-GB" w:eastAsia="cs-CZ"/>
        </w:rPr>
        <w:t>) and therefore it is necessary to ensure at least minim</w:t>
      </w:r>
      <w:r w:rsidRPr="00FA1502" w:rsidR="00083753">
        <w:rPr>
          <w:rFonts w:ascii="Times New Roman" w:eastAsia="Times New Roman" w:hAnsi="Times New Roman" w:cs="Times New Roman"/>
          <w:sz w:val="24"/>
          <w:szCs w:val="24"/>
          <w:lang w:val="en-GB" w:eastAsia="cs-CZ"/>
        </w:rPr>
        <w:t>um regulation of advertising of</w:t>
      </w:r>
      <w:r w:rsidRPr="00FA1502">
        <w:rPr>
          <w:rFonts w:ascii="Times New Roman" w:eastAsia="Times New Roman" w:hAnsi="Times New Roman" w:cs="Times New Roman"/>
          <w:sz w:val="24"/>
          <w:szCs w:val="24"/>
          <w:lang w:val="en-GB" w:eastAsia="cs-CZ"/>
        </w:rPr>
        <w:t xml:space="preserve"> investment </w:t>
      </w:r>
      <w:r w:rsidRPr="00FA1502" w:rsidR="00083753">
        <w:rPr>
          <w:rFonts w:ascii="Times New Roman" w:eastAsia="Times New Roman" w:hAnsi="Times New Roman" w:cs="Times New Roman"/>
          <w:sz w:val="24"/>
          <w:szCs w:val="24"/>
          <w:lang w:val="en-GB" w:eastAsia="cs-CZ"/>
        </w:rPr>
        <w:t>instruments , similar to the regulation of gambling advertising</w:t>
      </w:r>
      <w:r w:rsidRPr="00FA1502">
        <w:rPr>
          <w:rFonts w:ascii="Times New Roman" w:eastAsia="Times New Roman" w:hAnsi="Times New Roman" w:cs="Times New Roman"/>
          <w:sz w:val="24"/>
          <w:szCs w:val="24"/>
          <w:lang w:val="en-GB" w:eastAsia="cs-CZ"/>
        </w:rPr>
        <w:t xml:space="preserve"> . The new rules should be supervised by </w:t>
      </w:r>
      <w:r w:rsidRPr="00FA1502" w:rsidR="00083753">
        <w:rPr>
          <w:rFonts w:ascii="Times New Roman" w:eastAsia="Times New Roman" w:hAnsi="Times New Roman" w:cs="Times New Roman"/>
          <w:sz w:val="24"/>
          <w:szCs w:val="24"/>
          <w:lang w:val="en-GB" w:eastAsia="cs-CZ"/>
        </w:rPr>
        <w:t xml:space="preserve">regional </w:t>
      </w:r>
      <w:r w:rsidRPr="00FA1502">
        <w:rPr>
          <w:rFonts w:ascii="Times New Roman" w:eastAsia="Times New Roman" w:hAnsi="Times New Roman" w:cs="Times New Roman"/>
          <w:sz w:val="24"/>
          <w:szCs w:val="24"/>
          <w:lang w:val="en-GB" w:eastAsia="cs-CZ"/>
        </w:rPr>
        <w:t>trade licensing offices.</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numPr>
          <w:ilvl w:val="0"/>
          <w:numId w:val="5"/>
        </w:numPr>
        <w:spacing w:before="120" w:after="120" w:line="240" w:lineRule="auto"/>
        <w:ind w:left="1247" w:firstLine="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Act N</w:t>
      </w:r>
      <w:r w:rsidRPr="00FA1502">
        <w:rPr>
          <w:rFonts w:ascii="Times New Roman" w:eastAsia="Times New Roman" w:hAnsi="Times New Roman" w:cs="Times New Roman"/>
          <w:sz w:val="24"/>
          <w:szCs w:val="24"/>
          <w:lang w:val="en-GB" w:eastAsia="cs-CZ"/>
        </w:rPr>
        <w:t xml:space="preserve">o. 120/2001 Coll., On Court Executors and </w:t>
      </w:r>
      <w:r w:rsidRPr="00FA1502" w:rsidR="001F4CB0">
        <w:rPr>
          <w:rFonts w:ascii="Times New Roman" w:eastAsia="Times New Roman" w:hAnsi="Times New Roman" w:cs="Times New Roman"/>
          <w:sz w:val="24"/>
          <w:szCs w:val="24"/>
          <w:lang w:val="en-GB" w:eastAsia="cs-CZ"/>
        </w:rPr>
        <w:t>Execution (Enforcement Code</w:t>
      </w:r>
      <w:r w:rsidRPr="00FA1502">
        <w:rPr>
          <w:rFonts w:ascii="Times New Roman" w:eastAsia="Times New Roman" w:hAnsi="Times New Roman" w:cs="Times New Roman"/>
          <w:sz w:val="24"/>
          <w:szCs w:val="24"/>
          <w:lang w:val="en-GB" w:eastAsia="cs-CZ"/>
        </w:rPr>
        <w:t xml:space="preserve">) and </w:t>
      </w:r>
      <w:r w:rsidRPr="00FA1502" w:rsidR="00E138B4">
        <w:rPr>
          <w:rFonts w:ascii="Times New Roman" w:eastAsia="Times New Roman" w:hAnsi="Times New Roman" w:cs="Times New Roman"/>
          <w:sz w:val="24"/>
          <w:szCs w:val="24"/>
          <w:lang w:val="en-GB" w:eastAsia="cs-CZ"/>
        </w:rPr>
        <w:t xml:space="preserve">on </w:t>
      </w:r>
      <w:r w:rsidRPr="00FA1502">
        <w:rPr>
          <w:rFonts w:ascii="Times New Roman" w:eastAsia="Times New Roman" w:hAnsi="Times New Roman" w:cs="Times New Roman"/>
          <w:sz w:val="24"/>
          <w:szCs w:val="24"/>
          <w:lang w:val="en-GB" w:eastAsia="cs-CZ"/>
        </w:rPr>
        <w:t xml:space="preserve">amending other laws, as amended (hereinafter </w:t>
      </w:r>
      <w:r w:rsidRPr="00FA1502" w:rsidR="00723434">
        <w:rPr>
          <w:rFonts w:ascii="Times New Roman" w:eastAsia="Times New Roman" w:hAnsi="Times New Roman" w:cs="Times New Roman"/>
          <w:sz w:val="24"/>
          <w:szCs w:val="24"/>
          <w:lang w:val="en-GB" w:eastAsia="cs-CZ"/>
        </w:rPr>
        <w:t>ref</w:t>
      </w:r>
      <w:r w:rsidRPr="00FA1502" w:rsidR="00E138B4">
        <w:rPr>
          <w:rFonts w:ascii="Times New Roman" w:eastAsia="Times New Roman" w:hAnsi="Times New Roman" w:cs="Times New Roman"/>
          <w:sz w:val="24"/>
          <w:szCs w:val="24"/>
          <w:lang w:val="en-GB" w:eastAsia="cs-CZ"/>
        </w:rPr>
        <w:t>er</w:t>
      </w:r>
      <w:r w:rsidRPr="00FA1502" w:rsidR="00723434">
        <w:rPr>
          <w:rFonts w:ascii="Times New Roman" w:eastAsia="Times New Roman" w:hAnsi="Times New Roman" w:cs="Times New Roman"/>
          <w:sz w:val="24"/>
          <w:szCs w:val="24"/>
          <w:lang w:val="en-GB" w:eastAsia="cs-CZ"/>
        </w:rPr>
        <w:t>r</w:t>
      </w:r>
      <w:r w:rsidRPr="00FA1502" w:rsidR="00E138B4">
        <w:rPr>
          <w:rFonts w:ascii="Times New Roman" w:eastAsia="Times New Roman" w:hAnsi="Times New Roman" w:cs="Times New Roman"/>
          <w:sz w:val="24"/>
          <w:szCs w:val="24"/>
          <w:lang w:val="en-GB" w:eastAsia="cs-CZ"/>
        </w:rPr>
        <w:t xml:space="preserve">ed to as </w:t>
      </w:r>
      <w:r w:rsidR="00A7116F">
        <w:rPr>
          <w:rFonts w:ascii="Times New Roman" w:eastAsia="Times New Roman" w:hAnsi="Times New Roman" w:cs="Times New Roman"/>
          <w:sz w:val="24"/>
          <w:szCs w:val="24"/>
          <w:lang w:val="en-GB" w:eastAsia="cs-CZ"/>
        </w:rPr>
        <w:t>“</w:t>
      </w:r>
      <w:r w:rsidRPr="00FA1502" w:rsidR="00E138B4">
        <w:rPr>
          <w:rFonts w:ascii="Times New Roman" w:eastAsia="Times New Roman" w:hAnsi="Times New Roman" w:cs="Times New Roman"/>
          <w:b/>
          <w:bCs/>
          <w:sz w:val="24"/>
          <w:szCs w:val="24"/>
          <w:lang w:val="en-GB" w:eastAsia="cs-CZ"/>
        </w:rPr>
        <w:t>EŘ</w:t>
      </w:r>
      <w:r w:rsidR="00A7116F">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where it is proposed to extend the scope of</w:t>
      </w:r>
      <w:r w:rsidRPr="00FA1502" w:rsidR="00E138B4">
        <w:rPr>
          <w:rFonts w:ascii="Times New Roman" w:eastAsia="Times New Roman" w:hAnsi="Times New Roman" w:cs="Times New Roman"/>
          <w:sz w:val="24"/>
          <w:szCs w:val="24"/>
          <w:lang w:val="en-GB" w:eastAsia="cs-CZ"/>
        </w:rPr>
        <w:t xml:space="preserve"> the decree of the</w:t>
      </w:r>
      <w:r w:rsidRPr="00FA1502">
        <w:rPr>
          <w:rFonts w:ascii="Times New Roman" w:eastAsia="Times New Roman" w:hAnsi="Times New Roman" w:cs="Times New Roman"/>
          <w:sz w:val="24"/>
          <w:szCs w:val="24"/>
          <w:lang w:val="en-GB" w:eastAsia="cs-CZ"/>
        </w:rPr>
        <w:t xml:space="preserve"> Ministry of Ju</w:t>
      </w:r>
      <w:r w:rsidRPr="00FA1502" w:rsidR="00E138B4">
        <w:rPr>
          <w:rFonts w:ascii="Times New Roman" w:eastAsia="Times New Roman" w:hAnsi="Times New Roman" w:cs="Times New Roman"/>
          <w:sz w:val="24"/>
          <w:szCs w:val="24"/>
          <w:lang w:val="en-GB" w:eastAsia="cs-CZ"/>
        </w:rPr>
        <w:t>stice on the use of XML by executors</w:t>
      </w:r>
      <w:r w:rsidRPr="00FA1502">
        <w:rPr>
          <w:rFonts w:ascii="Times New Roman" w:eastAsia="Times New Roman" w:hAnsi="Times New Roman" w:cs="Times New Roman"/>
          <w:sz w:val="24"/>
          <w:szCs w:val="24"/>
          <w:lang w:val="en-GB" w:eastAsia="cs-CZ"/>
        </w:rPr>
        <w:t xml:space="preserve"> to all financial inst</w:t>
      </w:r>
      <w:r w:rsidRPr="00FA1502" w:rsidR="00E138B4">
        <w:rPr>
          <w:rFonts w:ascii="Times New Roman" w:eastAsia="Times New Roman" w:hAnsi="Times New Roman" w:cs="Times New Roman"/>
          <w:sz w:val="24"/>
          <w:szCs w:val="24"/>
          <w:lang w:val="en-GB" w:eastAsia="cs-CZ"/>
        </w:rPr>
        <w:t xml:space="preserve">itutions (referred to in </w:t>
      </w:r>
      <w:r w:rsidRPr="00FA1502" w:rsidR="00AC2086">
        <w:rPr>
          <w:rFonts w:ascii="Times New Roman" w:eastAsia="Times New Roman" w:hAnsi="Times New Roman" w:cs="Times New Roman"/>
          <w:sz w:val="24"/>
          <w:szCs w:val="24"/>
          <w:lang w:val="en-GB" w:eastAsia="cs-CZ"/>
        </w:rPr>
        <w:t>Section 33 (4) of the Enforcement Code</w:t>
      </w:r>
      <w:r w:rsidRPr="00FA1502">
        <w:rPr>
          <w:rFonts w:ascii="Times New Roman" w:eastAsia="Times New Roman" w:hAnsi="Times New Roman" w:cs="Times New Roman"/>
          <w:sz w:val="24"/>
          <w:szCs w:val="24"/>
          <w:lang w:val="en-GB" w:eastAsia="cs-CZ"/>
        </w:rPr>
        <w:t>)</w:t>
      </w:r>
      <w:r w:rsidRPr="00FA1502" w:rsidR="00AC2086">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who ar</w:t>
      </w:r>
      <w:r w:rsidRPr="00FA1502" w:rsidR="00AC2086">
        <w:rPr>
          <w:rFonts w:ascii="Times New Roman" w:eastAsia="Times New Roman" w:hAnsi="Times New Roman" w:cs="Times New Roman"/>
          <w:sz w:val="24"/>
          <w:szCs w:val="24"/>
          <w:lang w:val="en-GB" w:eastAsia="cs-CZ"/>
        </w:rPr>
        <w:t>e obliged to provide the executor with free assistance. However</w:t>
      </w:r>
      <w:r w:rsidRPr="00FA1502">
        <w:rPr>
          <w:rFonts w:ascii="Times New Roman" w:eastAsia="Times New Roman" w:hAnsi="Times New Roman" w:cs="Times New Roman"/>
          <w:sz w:val="24"/>
          <w:szCs w:val="24"/>
          <w:lang w:val="en-GB" w:eastAsia="cs-CZ"/>
        </w:rPr>
        <w:t>, the mandatory use of this format applies only to the information required from banks (financial institutions).</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numPr>
          <w:ilvl w:val="0"/>
          <w:numId w:val="5"/>
        </w:numPr>
        <w:spacing w:before="120" w:after="120" w:line="240" w:lineRule="auto"/>
        <w:ind w:left="1247" w:firstLine="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Act No. 229/2002 Coll., On the Financial Arbiter, as amended (h</w:t>
      </w:r>
      <w:r w:rsidRPr="00FA1502" w:rsidR="00E028FC">
        <w:rPr>
          <w:rFonts w:ascii="Times New Roman" w:eastAsia="Times New Roman" w:hAnsi="Times New Roman" w:cs="Times New Roman"/>
          <w:sz w:val="24"/>
          <w:szCs w:val="24"/>
          <w:lang w:val="en-GB" w:eastAsia="cs-CZ"/>
        </w:rPr>
        <w:t>ereinafter referred to as the “</w:t>
      </w:r>
      <w:r w:rsidRPr="00FA1502" w:rsidR="00E028FC">
        <w:rPr>
          <w:rFonts w:ascii="Times New Roman" w:eastAsia="Times New Roman" w:hAnsi="Times New Roman" w:cs="Times New Roman"/>
          <w:b/>
          <w:bCs/>
          <w:sz w:val="24"/>
          <w:szCs w:val="24"/>
          <w:lang w:val="en-GB" w:eastAsia="cs-CZ"/>
        </w:rPr>
        <w:t>ZoFA</w:t>
      </w:r>
      <w:r w:rsidRPr="00FA1502">
        <w:rPr>
          <w:rFonts w:ascii="Times New Roman" w:eastAsia="Times New Roman" w:hAnsi="Times New Roman" w:cs="Times New Roman"/>
          <w:sz w:val="24"/>
          <w:szCs w:val="24"/>
          <w:lang w:val="en-GB" w:eastAsia="cs-CZ"/>
        </w:rPr>
        <w:t xml:space="preserve">”), which proposes to extend the scope of the Financial Arbiter </w:t>
      </w:r>
      <w:r w:rsidRPr="00FA1502" w:rsidR="00E028FC">
        <w:rPr>
          <w:rFonts w:ascii="Times New Roman" w:eastAsia="Times New Roman" w:hAnsi="Times New Roman" w:cs="Times New Roman"/>
          <w:sz w:val="24"/>
          <w:szCs w:val="24"/>
          <w:lang w:val="en-GB" w:eastAsia="cs-CZ"/>
        </w:rPr>
        <w:t xml:space="preserve">also </w:t>
      </w:r>
      <w:r w:rsidRPr="00FA1502">
        <w:rPr>
          <w:rFonts w:ascii="Times New Roman" w:eastAsia="Times New Roman" w:hAnsi="Times New Roman" w:cs="Times New Roman"/>
          <w:sz w:val="24"/>
          <w:szCs w:val="24"/>
          <w:lang w:val="en-GB" w:eastAsia="cs-CZ"/>
        </w:rPr>
        <w:t>to disputes between the consumer and the administrator of t</w:t>
      </w:r>
      <w:r w:rsidRPr="00FA1502" w:rsidR="00E028FC">
        <w:rPr>
          <w:rFonts w:ascii="Times New Roman" w:eastAsia="Times New Roman" w:hAnsi="Times New Roman" w:cs="Times New Roman"/>
          <w:sz w:val="24"/>
          <w:szCs w:val="24"/>
          <w:lang w:val="en-GB" w:eastAsia="cs-CZ"/>
        </w:rPr>
        <w:t>he individual savings account.</w:t>
      </w:r>
    </w:p>
    <w:p w:rsidR="00176359" w:rsidRPr="00FA1502" w:rsidP="00A7116F">
      <w:pPr>
        <w:keepNext/>
        <w:widowControl w:val="0"/>
        <w:numPr>
          <w:ilvl w:val="0"/>
          <w:numId w:val="5"/>
        </w:numPr>
        <w:spacing w:before="120" w:after="120" w:line="240" w:lineRule="auto"/>
        <w:ind w:left="1247" w:firstLine="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Act</w:t>
      </w:r>
      <w:r w:rsidR="00A7116F">
        <w:rPr>
          <w:rFonts w:ascii="Times New Roman" w:eastAsia="Times New Roman" w:hAnsi="Times New Roman" w:cs="Times New Roman"/>
          <w:sz w:val="24"/>
          <w:szCs w:val="24"/>
          <w:lang w:val="en-GB" w:eastAsia="cs-CZ"/>
        </w:rPr>
        <w:t xml:space="preserve"> N</w:t>
      </w:r>
      <w:r w:rsidRPr="00FA1502">
        <w:rPr>
          <w:rFonts w:ascii="Times New Roman" w:eastAsia="Times New Roman" w:hAnsi="Times New Roman" w:cs="Times New Roman"/>
          <w:sz w:val="24"/>
          <w:szCs w:val="24"/>
          <w:lang w:val="en-GB" w:eastAsia="cs-CZ"/>
        </w:rPr>
        <w:t>o. 190/2004 Coll., On B</w:t>
      </w:r>
      <w:r w:rsidRPr="00FA1502">
        <w:rPr>
          <w:rFonts w:ascii="Times New Roman" w:eastAsia="Times New Roman" w:hAnsi="Times New Roman" w:cs="Times New Roman"/>
          <w:sz w:val="24"/>
          <w:szCs w:val="24"/>
          <w:lang w:val="en-GB" w:eastAsia="cs-CZ"/>
        </w:rPr>
        <w:t xml:space="preserve">onds, as amended (hereinafter </w:t>
      </w:r>
      <w:r w:rsidR="00A7116F">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b/>
          <w:bCs/>
          <w:sz w:val="24"/>
          <w:szCs w:val="24"/>
          <w:lang w:val="en-GB" w:eastAsia="cs-CZ"/>
        </w:rPr>
        <w:t>ZoDluh</w:t>
      </w:r>
      <w:r w:rsidR="00A7116F">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where it is resolved that the issuance</w:t>
      </w:r>
      <w:r w:rsidRPr="00FA1502">
        <w:rPr>
          <w:rFonts w:ascii="Times New Roman" w:eastAsia="Times New Roman" w:hAnsi="Times New Roman" w:cs="Times New Roman"/>
          <w:sz w:val="24"/>
          <w:szCs w:val="24"/>
          <w:lang w:val="en-GB" w:eastAsia="cs-CZ"/>
        </w:rPr>
        <w:t xml:space="preserve"> conditions include only </w:t>
      </w:r>
      <w:r w:rsidRPr="00FA1502">
        <w:rPr>
          <w:rFonts w:ascii="Times New Roman" w:eastAsia="Times New Roman" w:hAnsi="Times New Roman" w:cs="Times New Roman"/>
          <w:sz w:val="24"/>
          <w:szCs w:val="24"/>
          <w:lang w:val="en-GB" w:eastAsia="cs-CZ"/>
        </w:rPr>
        <w:t>information on the bond issuance</w:t>
      </w:r>
      <w:r w:rsidRPr="00FA1502">
        <w:rPr>
          <w:rFonts w:ascii="Times New Roman" w:eastAsia="Times New Roman" w:hAnsi="Times New Roman" w:cs="Times New Roman"/>
          <w:sz w:val="24"/>
          <w:szCs w:val="24"/>
          <w:lang w:val="en-GB" w:eastAsia="cs-CZ"/>
        </w:rPr>
        <w:t xml:space="preserve"> and do not contain information</w:t>
      </w:r>
      <w:r w:rsidRPr="00FA1502">
        <w:rPr>
          <w:rFonts w:ascii="Times New Roman" w:eastAsia="Times New Roman" w:hAnsi="Times New Roman" w:cs="Times New Roman"/>
          <w:sz w:val="24"/>
          <w:szCs w:val="24"/>
          <w:lang w:val="en-GB" w:eastAsia="cs-CZ"/>
        </w:rPr>
        <w:t xml:space="preserve"> about the issuer. I</w:t>
      </w:r>
      <w:r w:rsidRPr="00FA1502">
        <w:rPr>
          <w:rFonts w:ascii="Times New Roman" w:eastAsia="Times New Roman" w:hAnsi="Times New Roman" w:cs="Times New Roman"/>
          <w:sz w:val="24"/>
          <w:szCs w:val="24"/>
          <w:lang w:val="en-GB" w:eastAsia="cs-CZ"/>
        </w:rPr>
        <w:t xml:space="preserve">nformation about the issuer is essential to enable the investor to assess the riskiness of the bonds and the issuer's </w:t>
      </w:r>
      <w:r w:rsidRPr="00FA1502">
        <w:rPr>
          <w:rFonts w:ascii="Times New Roman" w:eastAsia="Times New Roman" w:hAnsi="Times New Roman" w:cs="Times New Roman"/>
          <w:sz w:val="24"/>
          <w:szCs w:val="24"/>
          <w:lang w:val="en-GB" w:eastAsia="cs-CZ"/>
        </w:rPr>
        <w:t>ability to meet its obligations</w:t>
      </w:r>
      <w:r w:rsidRPr="00FA1502">
        <w:rPr>
          <w:rFonts w:ascii="Times New Roman" w:eastAsia="Times New Roman" w:hAnsi="Times New Roman" w:cs="Times New Roman"/>
          <w:sz w:val="24"/>
          <w:szCs w:val="24"/>
          <w:lang w:val="en-GB" w:eastAsia="cs-CZ"/>
        </w:rPr>
        <w:t>. The inspiration rega</w:t>
      </w:r>
      <w:r w:rsidRPr="00FA1502">
        <w:rPr>
          <w:rFonts w:ascii="Times New Roman" w:eastAsia="Times New Roman" w:hAnsi="Times New Roman" w:cs="Times New Roman"/>
          <w:sz w:val="24"/>
          <w:szCs w:val="24"/>
          <w:lang w:val="en-GB" w:eastAsia="cs-CZ"/>
        </w:rPr>
        <w:t>rding the required data comes mainly</w:t>
      </w:r>
      <w:r w:rsidRPr="00FA1502">
        <w:rPr>
          <w:rFonts w:ascii="Times New Roman" w:eastAsia="Times New Roman" w:hAnsi="Times New Roman" w:cs="Times New Roman"/>
          <w:sz w:val="24"/>
          <w:szCs w:val="24"/>
          <w:lang w:val="en-GB" w:eastAsia="cs-CZ"/>
        </w:rPr>
        <w:t xml:space="preserve"> from the docum</w:t>
      </w:r>
      <w:r w:rsidRPr="00FA1502">
        <w:rPr>
          <w:rFonts w:ascii="Times New Roman" w:eastAsia="Times New Roman" w:hAnsi="Times New Roman" w:cs="Times New Roman"/>
          <w:sz w:val="24"/>
          <w:szCs w:val="24"/>
          <w:lang w:val="en-GB" w:eastAsia="cs-CZ"/>
        </w:rPr>
        <w:t>ent called Corporate Bond Scorecard</w:t>
      </w:r>
      <w:r w:rsidRPr="00FA1502">
        <w:rPr>
          <w:rFonts w:ascii="Times New Roman" w:eastAsia="Times New Roman" w:hAnsi="Times New Roman" w:cs="Times New Roman"/>
          <w:sz w:val="24"/>
          <w:szCs w:val="24"/>
          <w:lang w:val="en-GB" w:eastAsia="cs-CZ"/>
        </w:rPr>
        <w:t>, which was published for public consultation on the web</w:t>
      </w:r>
      <w:r w:rsidRPr="00FA1502">
        <w:rPr>
          <w:rFonts w:ascii="Times New Roman" w:eastAsia="Times New Roman" w:hAnsi="Times New Roman" w:cs="Times New Roman"/>
          <w:sz w:val="24"/>
          <w:szCs w:val="24"/>
          <w:lang w:val="en-GB" w:eastAsia="cs-CZ"/>
        </w:rPr>
        <w:t>site of the Ministry of Finance</w:t>
      </w:r>
      <w:r w:rsidRPr="00FA1502">
        <w:rPr>
          <w:rFonts w:ascii="Times New Roman" w:eastAsia="Times New Roman" w:hAnsi="Times New Roman" w:cs="Times New Roman"/>
          <w:sz w:val="24"/>
          <w:szCs w:val="24"/>
          <w:lang w:val="en-GB" w:eastAsia="cs-CZ"/>
        </w:rPr>
        <w:t>. Furthermore, it</w:t>
      </w:r>
      <w:r w:rsidRPr="00FA1502">
        <w:rPr>
          <w:rFonts w:ascii="Times New Roman" w:eastAsia="Times New Roman" w:hAnsi="Times New Roman" w:cs="Times New Roman"/>
          <w:sz w:val="24"/>
          <w:szCs w:val="24"/>
          <w:lang w:val="en-GB" w:eastAsia="cs-CZ"/>
        </w:rPr>
        <w:t xml:space="preserve"> is proposed to make several</w:t>
      </w:r>
      <w:r w:rsidRPr="00FA1502">
        <w:rPr>
          <w:rFonts w:ascii="Times New Roman" w:eastAsia="Times New Roman" w:hAnsi="Times New Roman" w:cs="Times New Roman"/>
          <w:sz w:val="24"/>
          <w:szCs w:val="24"/>
          <w:lang w:val="en-GB" w:eastAsia="cs-CZ"/>
        </w:rPr>
        <w:t xml:space="preserve"> changes resulting from public consultation and practice needs. These include changes eliminating unn</w:t>
      </w:r>
      <w:r w:rsidRPr="00FA1502">
        <w:rPr>
          <w:rFonts w:ascii="Times New Roman" w:eastAsia="Times New Roman" w:hAnsi="Times New Roman" w:cs="Times New Roman"/>
          <w:sz w:val="24"/>
          <w:szCs w:val="24"/>
          <w:lang w:val="en-GB" w:eastAsia="cs-CZ"/>
        </w:rPr>
        <w:t>ecessary duplication</w:t>
      </w:r>
      <w:r w:rsidRPr="00FA1502" w:rsidR="00B0605F">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 xml:space="preserve"> </w:t>
      </w:r>
      <w:r w:rsidRPr="00FA1502" w:rsidR="00B0605F">
        <w:rPr>
          <w:rFonts w:ascii="Times New Roman" w:eastAsia="Times New Roman" w:hAnsi="Times New Roman" w:cs="Times New Roman"/>
          <w:sz w:val="24"/>
          <w:szCs w:val="24"/>
          <w:lang w:val="en-GB" w:eastAsia="cs-CZ"/>
        </w:rPr>
        <w:t xml:space="preserve">in </w:t>
      </w:r>
      <w:r w:rsidRPr="00FA1502">
        <w:rPr>
          <w:rFonts w:ascii="Times New Roman" w:eastAsia="Times New Roman" w:hAnsi="Times New Roman" w:cs="Times New Roman"/>
          <w:sz w:val="24"/>
          <w:szCs w:val="24"/>
          <w:lang w:val="en-GB" w:eastAsia="cs-CZ"/>
        </w:rPr>
        <w:t>issuance conditions</w:t>
      </w:r>
      <w:r w:rsidRPr="00FA1502">
        <w:rPr>
          <w:rFonts w:ascii="Times New Roman" w:eastAsia="Times New Roman" w:hAnsi="Times New Roman" w:cs="Times New Roman"/>
          <w:sz w:val="24"/>
          <w:szCs w:val="24"/>
          <w:lang w:val="en-GB" w:eastAsia="cs-CZ"/>
        </w:rPr>
        <w:t xml:space="preserve"> and prospectus</w:t>
      </w:r>
      <w:r w:rsidRPr="00FA1502" w:rsidR="00B0605F">
        <w:rPr>
          <w:rFonts w:ascii="Times New Roman" w:eastAsia="Times New Roman" w:hAnsi="Times New Roman" w:cs="Times New Roman"/>
          <w:sz w:val="24"/>
          <w:szCs w:val="24"/>
          <w:lang w:val="en-GB" w:eastAsia="cs-CZ"/>
        </w:rPr>
        <w:t>, revision of</w:t>
      </w:r>
      <w:r w:rsidRPr="00FA1502">
        <w:rPr>
          <w:rFonts w:ascii="Times New Roman" w:eastAsia="Times New Roman" w:hAnsi="Times New Roman" w:cs="Times New Roman"/>
          <w:sz w:val="24"/>
          <w:szCs w:val="24"/>
          <w:lang w:val="en-GB" w:eastAsia="cs-CZ"/>
        </w:rPr>
        <w:t xml:space="preserve"> t</w:t>
      </w:r>
      <w:r w:rsidRPr="00FA1502" w:rsidR="00B0605F">
        <w:rPr>
          <w:rFonts w:ascii="Times New Roman" w:eastAsia="Times New Roman" w:hAnsi="Times New Roman" w:cs="Times New Roman"/>
          <w:sz w:val="24"/>
          <w:szCs w:val="24"/>
          <w:lang w:val="en-GB" w:eastAsia="cs-CZ"/>
        </w:rPr>
        <w:t>he need for a meeting of owners</w:t>
      </w:r>
      <w:r w:rsidRPr="00FA1502">
        <w:rPr>
          <w:rFonts w:ascii="Times New Roman" w:eastAsia="Times New Roman" w:hAnsi="Times New Roman" w:cs="Times New Roman"/>
          <w:sz w:val="24"/>
          <w:szCs w:val="24"/>
          <w:lang w:val="en-GB" w:eastAsia="cs-CZ"/>
        </w:rPr>
        <w:t xml:space="preserve"> to appr</w:t>
      </w:r>
      <w:r w:rsidRPr="00FA1502" w:rsidR="00B0605F">
        <w:rPr>
          <w:rFonts w:ascii="Times New Roman" w:eastAsia="Times New Roman" w:hAnsi="Times New Roman" w:cs="Times New Roman"/>
          <w:sz w:val="24"/>
          <w:szCs w:val="24"/>
          <w:lang w:val="en-GB" w:eastAsia="cs-CZ"/>
        </w:rPr>
        <w:t>ove minor changes to issuance conditions,</w:t>
      </w:r>
      <w:r w:rsidRPr="00FA1502">
        <w:rPr>
          <w:rFonts w:ascii="Times New Roman" w:eastAsia="Times New Roman" w:hAnsi="Times New Roman" w:cs="Times New Roman"/>
          <w:sz w:val="24"/>
          <w:szCs w:val="24"/>
          <w:lang w:val="en-GB" w:eastAsia="cs-CZ"/>
        </w:rPr>
        <w:t xml:space="preserve"> abolition of</w:t>
      </w:r>
      <w:r w:rsidRPr="00FA1502" w:rsidR="00B0605F">
        <w:rPr>
          <w:rFonts w:ascii="Times New Roman" w:eastAsia="Times New Roman" w:hAnsi="Times New Roman" w:cs="Times New Roman"/>
          <w:sz w:val="24"/>
          <w:szCs w:val="24"/>
          <w:lang w:val="en-GB" w:eastAsia="cs-CZ"/>
        </w:rPr>
        <w:t xml:space="preserve"> the obligation to publish the issuance conditions</w:t>
      </w:r>
      <w:r w:rsidRPr="00FA1502">
        <w:rPr>
          <w:rFonts w:ascii="Times New Roman" w:eastAsia="Times New Roman" w:hAnsi="Times New Roman" w:cs="Times New Roman"/>
          <w:sz w:val="24"/>
          <w:szCs w:val="24"/>
          <w:lang w:val="en-GB" w:eastAsia="cs-CZ"/>
        </w:rPr>
        <w:t xml:space="preserve"> of governme</w:t>
      </w:r>
      <w:r w:rsidRPr="00FA1502" w:rsidR="00B0605F">
        <w:rPr>
          <w:rFonts w:ascii="Times New Roman" w:eastAsia="Times New Roman" w:hAnsi="Times New Roman" w:cs="Times New Roman"/>
          <w:sz w:val="24"/>
          <w:szCs w:val="24"/>
          <w:lang w:val="en-GB" w:eastAsia="cs-CZ"/>
        </w:rPr>
        <w:t>nt bonds in the Collection of Laws, regulation of subordinated bonds</w:t>
      </w:r>
      <w:r w:rsidRPr="00FA1502">
        <w:rPr>
          <w:rFonts w:ascii="Times New Roman" w:eastAsia="Times New Roman" w:hAnsi="Times New Roman" w:cs="Times New Roman"/>
          <w:sz w:val="24"/>
          <w:szCs w:val="24"/>
          <w:lang w:val="en-GB" w:eastAsia="cs-CZ"/>
        </w:rPr>
        <w:t xml:space="preserve"> respecting the ability to create multiple levels of subordination (usually distinguish at least three - Senior , junior and mezzanine) and the right of early repayment for certa</w:t>
      </w:r>
      <w:r w:rsidRPr="00FA1502" w:rsidR="00452E9D">
        <w:rPr>
          <w:rFonts w:ascii="Times New Roman" w:eastAsia="Times New Roman" w:hAnsi="Times New Roman" w:cs="Times New Roman"/>
          <w:sz w:val="24"/>
          <w:szCs w:val="24"/>
          <w:lang w:val="en-GB" w:eastAsia="cs-CZ"/>
        </w:rPr>
        <w:t xml:space="preserve">in bonds </w:t>
      </w:r>
      <w:r w:rsidRPr="00FA1502" w:rsidR="00452E9D">
        <w:rPr>
          <w:rFonts w:ascii="Times New Roman" w:eastAsia="Times New Roman" w:hAnsi="Times New Roman" w:cs="Times New Roman"/>
          <w:sz w:val="24"/>
          <w:szCs w:val="24"/>
          <w:lang w:val="en-GB" w:eastAsia="cs-CZ"/>
        </w:rPr>
        <w:t>harmonized by EU law.</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numPr>
          <w:ilvl w:val="0"/>
          <w:numId w:val="5"/>
        </w:numPr>
        <w:spacing w:before="120" w:after="120" w:line="240" w:lineRule="auto"/>
        <w:ind w:left="1247" w:firstLine="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Act</w:t>
      </w:r>
      <w:r w:rsidR="00A7116F">
        <w:rPr>
          <w:rFonts w:ascii="Times New Roman" w:eastAsia="Times New Roman" w:hAnsi="Times New Roman" w:cs="Times New Roman"/>
          <w:sz w:val="24"/>
          <w:szCs w:val="24"/>
          <w:lang w:val="en-GB" w:eastAsia="cs-CZ"/>
        </w:rPr>
        <w:t xml:space="preserve"> N</w:t>
      </w:r>
      <w:r w:rsidRPr="00FA1502">
        <w:rPr>
          <w:rFonts w:ascii="Times New Roman" w:eastAsia="Times New Roman" w:hAnsi="Times New Roman" w:cs="Times New Roman"/>
          <w:sz w:val="24"/>
          <w:szCs w:val="24"/>
          <w:lang w:val="en-GB" w:eastAsia="cs-CZ"/>
        </w:rPr>
        <w:t>o. 256/2004 Coll., On Capital Market</w:t>
      </w:r>
      <w:r w:rsidRPr="00FA1502">
        <w:rPr>
          <w:rFonts w:ascii="Times New Roman" w:eastAsia="Times New Roman" w:hAnsi="Times New Roman" w:cs="Times New Roman"/>
          <w:sz w:val="24"/>
          <w:szCs w:val="24"/>
          <w:lang w:val="en-GB" w:eastAsia="cs-CZ"/>
        </w:rPr>
        <w:t xml:space="preserve"> Business, as amended (hereinafter the </w:t>
      </w:r>
      <w:r w:rsidR="00A7116F">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b/>
          <w:sz w:val="24"/>
          <w:szCs w:val="24"/>
          <w:lang w:val="en-GB" w:eastAsia="cs-CZ"/>
        </w:rPr>
        <w:t>ZPKT</w:t>
      </w:r>
      <w:r w:rsidR="00A7116F">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where are mainly regulated</w:t>
      </w:r>
      <w:r w:rsidRPr="00FA1502" w:rsidR="00687439">
        <w:rPr>
          <w:rFonts w:ascii="Times New Roman" w:eastAsia="Times New Roman" w:hAnsi="Times New Roman" w:cs="Times New Roman"/>
          <w:sz w:val="24"/>
          <w:szCs w:val="24"/>
          <w:lang w:val="en-GB" w:eastAsia="cs-CZ"/>
        </w:rPr>
        <w:t xml:space="preserve"> the basic requirements</w:t>
      </w:r>
      <w:r w:rsidRPr="00FA1502">
        <w:rPr>
          <w:rFonts w:ascii="Times New Roman" w:eastAsia="Times New Roman" w:hAnsi="Times New Roman" w:cs="Times New Roman"/>
          <w:sz w:val="24"/>
          <w:szCs w:val="24"/>
          <w:lang w:val="en-GB" w:eastAsia="cs-CZ"/>
        </w:rPr>
        <w:t xml:space="preserve"> of the individual savings account. For instance, regulation of</w:t>
      </w:r>
      <w:r w:rsidRPr="00FA1502">
        <w:rPr>
          <w:rFonts w:ascii="Times New Roman" w:eastAsia="Times New Roman" w:hAnsi="Times New Roman" w:cs="Times New Roman"/>
          <w:sz w:val="24"/>
          <w:szCs w:val="24"/>
          <w:lang w:val="en-GB" w:eastAsia="cs-CZ"/>
        </w:rPr>
        <w:t xml:space="preserve"> </w:t>
      </w:r>
      <w:r w:rsidRPr="00FA1502" w:rsidR="00687439">
        <w:rPr>
          <w:rFonts w:ascii="Times New Roman" w:eastAsia="Times New Roman" w:hAnsi="Times New Roman" w:cs="Times New Roman"/>
          <w:sz w:val="24"/>
          <w:szCs w:val="24"/>
          <w:lang w:val="en-GB" w:eastAsia="cs-CZ"/>
        </w:rPr>
        <w:t>type of the assets, which can be registered on this account</w:t>
      </w:r>
      <w:r w:rsidRPr="00FA1502">
        <w:rPr>
          <w:rFonts w:ascii="Times New Roman" w:eastAsia="Times New Roman" w:hAnsi="Times New Roman" w:cs="Times New Roman"/>
          <w:sz w:val="24"/>
          <w:szCs w:val="24"/>
          <w:lang w:val="en-GB" w:eastAsia="cs-CZ"/>
        </w:rPr>
        <w:t>. It is also proposed to extend the competence of the Stock Exchange Arbitration Court (se</w:t>
      </w:r>
      <w:r w:rsidRPr="00FA1502" w:rsidR="00687439">
        <w:rPr>
          <w:rFonts w:ascii="Times New Roman" w:eastAsia="Times New Roman" w:hAnsi="Times New Roman" w:cs="Times New Roman"/>
          <w:sz w:val="24"/>
          <w:szCs w:val="24"/>
          <w:lang w:val="en-GB" w:eastAsia="cs-CZ"/>
        </w:rPr>
        <w:t xml:space="preserve">e also the amendment of the </w:t>
      </w:r>
      <w:r w:rsidRPr="00FA1502" w:rsidR="00687439">
        <w:rPr>
          <w:rFonts w:ascii="Times New Roman" w:eastAsia="Times New Roman" w:hAnsi="Times New Roman" w:cs="Times New Roman"/>
          <w:sz w:val="24"/>
          <w:szCs w:val="24"/>
          <w:lang w:val="en-GB" w:eastAsia="cs-CZ"/>
        </w:rPr>
        <w:t>ZoKB</w:t>
      </w:r>
      <w:r w:rsidRPr="00FA1502" w:rsidR="00687439">
        <w:rPr>
          <w:rFonts w:ascii="Times New Roman" w:eastAsia="Times New Roman" w:hAnsi="Times New Roman" w:cs="Times New Roman"/>
          <w:sz w:val="24"/>
          <w:szCs w:val="24"/>
          <w:lang w:val="en-GB" w:eastAsia="cs-CZ"/>
        </w:rPr>
        <w:t xml:space="preserve"> above), in which the market is very interested</w:t>
      </w:r>
      <w:r w:rsidRPr="00FA1502">
        <w:rPr>
          <w:rFonts w:ascii="Times New Roman" w:eastAsia="Times New Roman" w:hAnsi="Times New Roman" w:cs="Times New Roman"/>
          <w:sz w:val="24"/>
          <w:szCs w:val="24"/>
          <w:lang w:val="en-GB" w:eastAsia="cs-CZ"/>
        </w:rPr>
        <w:t xml:space="preserve">. </w:t>
      </w:r>
      <w:r w:rsidRPr="00FA1502" w:rsidR="00304E7B">
        <w:rPr>
          <w:rFonts w:ascii="Times New Roman" w:eastAsia="Times New Roman" w:hAnsi="Times New Roman" w:cs="Times New Roman"/>
          <w:sz w:val="24"/>
          <w:szCs w:val="24"/>
          <w:lang w:val="en-GB" w:eastAsia="cs-CZ"/>
        </w:rPr>
        <w:t>Moreover, it l</w:t>
      </w:r>
      <w:r w:rsidRPr="00FA1502">
        <w:rPr>
          <w:rFonts w:ascii="Times New Roman" w:eastAsia="Times New Roman" w:hAnsi="Times New Roman" w:cs="Times New Roman"/>
          <w:sz w:val="24"/>
          <w:szCs w:val="24"/>
          <w:lang w:val="en-GB" w:eastAsia="cs-CZ"/>
        </w:rPr>
        <w:t xml:space="preserve">imits the possibility of offering risky investment instruments </w:t>
      </w:r>
      <w:r w:rsidRPr="00FA1502" w:rsidR="00304E7B">
        <w:rPr>
          <w:rFonts w:ascii="Times New Roman" w:eastAsia="Times New Roman" w:hAnsi="Times New Roman" w:cs="Times New Roman"/>
          <w:sz w:val="24"/>
          <w:szCs w:val="24"/>
          <w:lang w:val="en-GB" w:eastAsia="cs-CZ"/>
        </w:rPr>
        <w:t xml:space="preserve">to </w:t>
      </w:r>
      <w:r w:rsidRPr="00FA1502">
        <w:rPr>
          <w:rFonts w:ascii="Times New Roman" w:eastAsia="Times New Roman" w:hAnsi="Times New Roman" w:cs="Times New Roman"/>
          <w:sz w:val="24"/>
          <w:szCs w:val="24"/>
          <w:lang w:val="en-GB" w:eastAsia="cs-CZ"/>
        </w:rPr>
        <w:t>ordinary consumers with a</w:t>
      </w:r>
      <w:r w:rsidRPr="00FA1502" w:rsidR="00304E7B">
        <w:rPr>
          <w:rFonts w:ascii="Times New Roman" w:eastAsia="Times New Roman" w:hAnsi="Times New Roman" w:cs="Times New Roman"/>
          <w:sz w:val="24"/>
          <w:szCs w:val="24"/>
          <w:lang w:val="en-GB" w:eastAsia="cs-CZ"/>
        </w:rPr>
        <w:t>n opt-out option for wealthy investors</w:t>
      </w:r>
      <w:r w:rsidRPr="00FA1502">
        <w:rPr>
          <w:rFonts w:ascii="Times New Roman" w:eastAsia="Times New Roman" w:hAnsi="Times New Roman" w:cs="Times New Roman"/>
          <w:sz w:val="24"/>
          <w:szCs w:val="24"/>
          <w:lang w:val="en-GB" w:eastAsia="cs-CZ"/>
        </w:rPr>
        <w:t xml:space="preserve"> (financial assets in the am</w:t>
      </w:r>
      <w:r w:rsidRPr="00FA1502" w:rsidR="00304E7B">
        <w:rPr>
          <w:rFonts w:ascii="Times New Roman" w:eastAsia="Times New Roman" w:hAnsi="Times New Roman" w:cs="Times New Roman"/>
          <w:sz w:val="24"/>
          <w:szCs w:val="24"/>
          <w:lang w:val="en-GB" w:eastAsia="cs-CZ"/>
        </w:rPr>
        <w:t>ount of at least CZK 2.5 mil., o</w:t>
      </w:r>
      <w:r w:rsidRPr="00FA1502">
        <w:rPr>
          <w:rFonts w:ascii="Times New Roman" w:eastAsia="Times New Roman" w:hAnsi="Times New Roman" w:cs="Times New Roman"/>
          <w:sz w:val="24"/>
          <w:szCs w:val="24"/>
          <w:lang w:val="en-GB" w:eastAsia="cs-CZ"/>
        </w:rPr>
        <w:t xml:space="preserve">r annual income of at least CZK 1 mil.). </w:t>
      </w:r>
      <w:r w:rsidRPr="00FA1502" w:rsidR="00304E7B">
        <w:rPr>
          <w:rFonts w:ascii="Times New Roman" w:eastAsia="Times New Roman" w:hAnsi="Times New Roman" w:cs="Times New Roman"/>
          <w:sz w:val="24"/>
          <w:szCs w:val="24"/>
          <w:lang w:val="en-GB" w:eastAsia="cs-CZ"/>
        </w:rPr>
        <w:t>This new regulation</w:t>
      </w:r>
      <w:r w:rsidRPr="00FA1502">
        <w:rPr>
          <w:rFonts w:ascii="Times New Roman" w:eastAsia="Times New Roman" w:hAnsi="Times New Roman" w:cs="Times New Roman"/>
          <w:sz w:val="24"/>
          <w:szCs w:val="24"/>
          <w:lang w:val="en-GB" w:eastAsia="cs-CZ"/>
        </w:rPr>
        <w:t xml:space="preserve"> is proposed to apply this new </w:t>
      </w:r>
      <w:r w:rsidRPr="00FA1502" w:rsidR="004D6324">
        <w:rPr>
          <w:rFonts w:ascii="Times New Roman" w:eastAsia="Times New Roman" w:hAnsi="Times New Roman" w:cs="Times New Roman"/>
          <w:sz w:val="24"/>
          <w:szCs w:val="24"/>
          <w:lang w:val="en-GB" w:eastAsia="cs-CZ"/>
        </w:rPr>
        <w:t>rule to the individual savings</w:t>
      </w:r>
      <w:r w:rsidRPr="00FA1502">
        <w:rPr>
          <w:rFonts w:ascii="Times New Roman" w:eastAsia="Times New Roman" w:hAnsi="Times New Roman" w:cs="Times New Roman"/>
          <w:sz w:val="24"/>
          <w:szCs w:val="24"/>
          <w:lang w:val="en-GB" w:eastAsia="cs-CZ"/>
        </w:rPr>
        <w:t xml:space="preserve"> account.</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numPr>
          <w:ilvl w:val="0"/>
          <w:numId w:val="5"/>
        </w:numPr>
        <w:spacing w:before="120" w:after="120" w:line="240" w:lineRule="auto"/>
        <w:ind w:left="1247" w:firstLine="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Act No. 182/2006 Coll., On Insolvency and Methods of its Resolution (Insolvency Act), as amende</w:t>
      </w:r>
      <w:r w:rsidRPr="00FA1502" w:rsidR="00B23EF2">
        <w:rPr>
          <w:rFonts w:ascii="Times New Roman" w:eastAsia="Times New Roman" w:hAnsi="Times New Roman" w:cs="Times New Roman"/>
          <w:sz w:val="24"/>
          <w:szCs w:val="24"/>
          <w:lang w:val="en-GB" w:eastAsia="cs-CZ"/>
        </w:rPr>
        <w:t>d (hereinafter referred to as “</w:t>
      </w:r>
      <w:r w:rsidRPr="00FA1502" w:rsidR="00B23EF2">
        <w:rPr>
          <w:rFonts w:ascii="Times New Roman" w:eastAsia="Times New Roman" w:hAnsi="Times New Roman" w:cs="Times New Roman"/>
          <w:b/>
          <w:bCs/>
          <w:sz w:val="24"/>
          <w:szCs w:val="24"/>
          <w:lang w:val="en-GB" w:eastAsia="cs-CZ"/>
        </w:rPr>
        <w:t>InsZ</w:t>
      </w:r>
      <w:r w:rsidRPr="00FA1502" w:rsidR="00B23EF2">
        <w:rPr>
          <w:rFonts w:ascii="Times New Roman" w:eastAsia="Times New Roman" w:hAnsi="Times New Roman" w:cs="Times New Roman"/>
          <w:sz w:val="24"/>
          <w:szCs w:val="24"/>
          <w:lang w:val="en-GB" w:eastAsia="cs-CZ"/>
        </w:rPr>
        <w:t>”), where the issuance</w:t>
      </w:r>
      <w:r w:rsidRPr="00FA1502">
        <w:rPr>
          <w:rFonts w:ascii="Times New Roman" w:eastAsia="Times New Roman" w:hAnsi="Times New Roman" w:cs="Times New Roman"/>
          <w:sz w:val="24"/>
          <w:szCs w:val="24"/>
          <w:lang w:val="en-GB" w:eastAsia="cs-CZ"/>
        </w:rPr>
        <w:t xml:space="preserve"> of subordinated bonds issued under foreign law is addressed.</w:t>
      </w:r>
    </w:p>
    <w:p w:rsidR="00176359" w:rsidRPr="00FA1502" w:rsidP="00A7116F">
      <w:pPr>
        <w:keepNext/>
        <w:widowControl w:val="0"/>
        <w:numPr>
          <w:ilvl w:val="0"/>
          <w:numId w:val="5"/>
        </w:numPr>
        <w:spacing w:before="120" w:after="120" w:line="240" w:lineRule="auto"/>
        <w:ind w:left="1247" w:firstLine="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Act</w:t>
      </w:r>
      <w:r w:rsidR="00A7116F">
        <w:rPr>
          <w:rFonts w:ascii="Times New Roman" w:eastAsia="Times New Roman" w:hAnsi="Times New Roman" w:cs="Times New Roman"/>
          <w:sz w:val="24"/>
          <w:szCs w:val="24"/>
          <w:lang w:val="en-GB" w:eastAsia="cs-CZ"/>
        </w:rPr>
        <w:t xml:space="preserve"> N</w:t>
      </w:r>
      <w:r w:rsidRPr="00FA1502">
        <w:rPr>
          <w:rFonts w:ascii="Times New Roman" w:eastAsia="Times New Roman" w:hAnsi="Times New Roman" w:cs="Times New Roman"/>
          <w:sz w:val="24"/>
          <w:szCs w:val="24"/>
          <w:lang w:val="en-GB" w:eastAsia="cs-CZ"/>
        </w:rPr>
        <w:t>o. 427/2011 Coll., On Supplementary Pension Sav</w:t>
      </w:r>
      <w:r w:rsidRPr="00FA1502">
        <w:rPr>
          <w:rFonts w:ascii="Times New Roman" w:eastAsia="Times New Roman" w:hAnsi="Times New Roman" w:cs="Times New Roman"/>
          <w:sz w:val="24"/>
          <w:szCs w:val="24"/>
          <w:lang w:val="en-GB" w:eastAsia="cs-CZ"/>
        </w:rPr>
        <w:t xml:space="preserve">ings, as amended (hereinafter </w:t>
      </w:r>
      <w:r w:rsidR="00A7116F">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b/>
          <w:bCs/>
          <w:sz w:val="24"/>
          <w:szCs w:val="24"/>
          <w:lang w:val="en-GB" w:eastAsia="cs-CZ"/>
        </w:rPr>
        <w:t>ZDPS</w:t>
      </w:r>
      <w:r w:rsidR="00A7116F">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where it is proposed</w:t>
      </w:r>
      <w:r w:rsidRPr="00FA1502">
        <w:rPr>
          <w:rFonts w:ascii="Times New Roman" w:eastAsia="Times New Roman" w:hAnsi="Times New Roman" w:cs="Times New Roman"/>
          <w:sz w:val="24"/>
          <w:szCs w:val="24"/>
          <w:lang w:val="en-GB" w:eastAsia="cs-CZ"/>
        </w:rPr>
        <w:t xml:space="preserve"> to in</w:t>
      </w:r>
      <w:r w:rsidRPr="00FA1502">
        <w:rPr>
          <w:rFonts w:ascii="Times New Roman" w:eastAsia="Times New Roman" w:hAnsi="Times New Roman" w:cs="Times New Roman"/>
          <w:sz w:val="24"/>
          <w:szCs w:val="24"/>
          <w:lang w:val="en-GB" w:eastAsia="cs-CZ"/>
        </w:rPr>
        <w:t>troduce a new type of participation fund, so-called alternative participation fund, within which it will</w:t>
      </w:r>
      <w:r w:rsidRPr="00FA1502">
        <w:rPr>
          <w:rFonts w:ascii="Times New Roman" w:eastAsia="Times New Roman" w:hAnsi="Times New Roman" w:cs="Times New Roman"/>
          <w:sz w:val="24"/>
          <w:szCs w:val="24"/>
          <w:lang w:val="en-GB" w:eastAsia="cs-CZ"/>
        </w:rPr>
        <w:t xml:space="preserve"> not </w:t>
      </w:r>
      <w:r w:rsidRPr="00FA1502">
        <w:rPr>
          <w:rFonts w:ascii="Times New Roman" w:eastAsia="Times New Roman" w:hAnsi="Times New Roman" w:cs="Times New Roman"/>
          <w:sz w:val="24"/>
          <w:szCs w:val="24"/>
          <w:lang w:val="en-GB" w:eastAsia="cs-CZ"/>
        </w:rPr>
        <w:t>be so</w:t>
      </w:r>
      <w:r w:rsidRPr="00FA1502">
        <w:rPr>
          <w:rFonts w:ascii="Times New Roman" w:eastAsia="Times New Roman" w:hAnsi="Times New Roman" w:cs="Times New Roman"/>
          <w:sz w:val="24"/>
          <w:szCs w:val="24"/>
          <w:lang w:val="en-GB" w:eastAsia="cs-CZ"/>
        </w:rPr>
        <w:t xml:space="preserve"> strict regulation of f</w:t>
      </w:r>
      <w:r w:rsidRPr="00FA1502">
        <w:rPr>
          <w:rFonts w:ascii="Times New Roman" w:eastAsia="Times New Roman" w:hAnsi="Times New Roman" w:cs="Times New Roman"/>
          <w:sz w:val="24"/>
          <w:szCs w:val="24"/>
          <w:lang w:val="en-GB" w:eastAsia="cs-CZ"/>
        </w:rPr>
        <w:t>ees and investment strategies (e.g.</w:t>
      </w:r>
      <w:r w:rsidRPr="00FA1502">
        <w:rPr>
          <w:rFonts w:ascii="Times New Roman" w:eastAsia="Times New Roman" w:hAnsi="Times New Roman" w:cs="Times New Roman"/>
          <w:sz w:val="24"/>
          <w:szCs w:val="24"/>
          <w:lang w:val="en-GB" w:eastAsia="cs-CZ"/>
        </w:rPr>
        <w:t xml:space="preserve"> law </w:t>
      </w:r>
      <w:r w:rsidRPr="00FA1502" w:rsidR="00C84AC9">
        <w:rPr>
          <w:rFonts w:ascii="Times New Roman" w:eastAsia="Times New Roman" w:hAnsi="Times New Roman" w:cs="Times New Roman"/>
          <w:sz w:val="24"/>
          <w:szCs w:val="24"/>
          <w:lang w:val="en-GB" w:eastAsia="cs-CZ"/>
        </w:rPr>
        <w:t>will allow these funds to</w:t>
      </w:r>
      <w:r w:rsidRPr="00FA1502">
        <w:rPr>
          <w:rFonts w:ascii="Times New Roman" w:eastAsia="Times New Roman" w:hAnsi="Times New Roman" w:cs="Times New Roman"/>
          <w:sz w:val="24"/>
          <w:szCs w:val="24"/>
          <w:lang w:val="en-GB" w:eastAsia="cs-CZ"/>
        </w:rPr>
        <w:t xml:space="preserve"> inves</w:t>
      </w:r>
      <w:r w:rsidRPr="00FA1502" w:rsidR="00C84AC9">
        <w:rPr>
          <w:rFonts w:ascii="Times New Roman" w:eastAsia="Times New Roman" w:hAnsi="Times New Roman" w:cs="Times New Roman"/>
          <w:sz w:val="24"/>
          <w:szCs w:val="24"/>
          <w:lang w:val="en-GB" w:eastAsia="cs-CZ"/>
        </w:rPr>
        <w:t>t 10% of assets in so-called alternative assets) . The aim is to fulfil</w:t>
      </w:r>
      <w:r w:rsidRPr="00FA1502">
        <w:rPr>
          <w:rFonts w:ascii="Times New Roman" w:eastAsia="Times New Roman" w:hAnsi="Times New Roman" w:cs="Times New Roman"/>
          <w:sz w:val="24"/>
          <w:szCs w:val="24"/>
          <w:lang w:val="en-GB" w:eastAsia="cs-CZ"/>
        </w:rPr>
        <w:t xml:space="preserve"> the</w:t>
      </w:r>
      <w:r w:rsidRPr="00FA1502" w:rsidR="00C84AC9">
        <w:rPr>
          <w:rFonts w:ascii="Times New Roman" w:eastAsia="Times New Roman" w:hAnsi="Times New Roman" w:cs="Times New Roman"/>
          <w:sz w:val="24"/>
          <w:szCs w:val="24"/>
          <w:lang w:val="en-GB" w:eastAsia="cs-CZ"/>
        </w:rPr>
        <w:t xml:space="preserve"> plans</w:t>
      </w:r>
      <w:r w:rsidRPr="00FA1502">
        <w:rPr>
          <w:rFonts w:ascii="Times New Roman" w:eastAsia="Times New Roman" w:hAnsi="Times New Roman" w:cs="Times New Roman"/>
          <w:sz w:val="24"/>
          <w:szCs w:val="24"/>
          <w:lang w:val="en-GB" w:eastAsia="cs-CZ"/>
        </w:rPr>
        <w:t xml:space="preserve"> </w:t>
      </w:r>
      <w:r w:rsidRPr="00FA1502" w:rsidR="00C84AC9">
        <w:rPr>
          <w:rFonts w:ascii="Times New Roman" w:eastAsia="Times New Roman" w:hAnsi="Times New Roman" w:cs="Times New Roman"/>
          <w:sz w:val="24"/>
          <w:szCs w:val="24"/>
          <w:lang w:val="en-GB" w:eastAsia="cs-CZ"/>
        </w:rPr>
        <w:t xml:space="preserve">of the Commission </w:t>
      </w:r>
      <w:r w:rsidRPr="00FA1502">
        <w:rPr>
          <w:rFonts w:ascii="Times New Roman" w:eastAsia="Times New Roman" w:hAnsi="Times New Roman" w:cs="Times New Roman"/>
          <w:sz w:val="24"/>
          <w:szCs w:val="24"/>
          <w:lang w:val="en-GB" w:eastAsia="cs-CZ"/>
        </w:rPr>
        <w:t xml:space="preserve">for fair pensions (to increase the effectiveness of the third pillar), as well </w:t>
      </w:r>
      <w:r w:rsidRPr="00FA1502" w:rsidR="00C84AC9">
        <w:rPr>
          <w:rFonts w:ascii="Times New Roman" w:eastAsia="Times New Roman" w:hAnsi="Times New Roman" w:cs="Times New Roman"/>
          <w:sz w:val="24"/>
          <w:szCs w:val="24"/>
          <w:lang w:val="en-GB" w:eastAsia="cs-CZ"/>
        </w:rPr>
        <w:t>as the objectives of the National strategy by allowing participation</w:t>
      </w:r>
      <w:r w:rsidRPr="00FA1502">
        <w:rPr>
          <w:rFonts w:ascii="Times New Roman" w:eastAsia="Times New Roman" w:hAnsi="Times New Roman" w:cs="Times New Roman"/>
          <w:sz w:val="24"/>
          <w:szCs w:val="24"/>
          <w:lang w:val="en-GB" w:eastAsia="cs-CZ"/>
        </w:rPr>
        <w:t xml:space="preserve"> funds to invest in </w:t>
      </w:r>
      <w:r w:rsidRPr="00FA1502">
        <w:rPr>
          <w:rFonts w:ascii="Times New Roman" w:eastAsia="Times New Roman" w:hAnsi="Times New Roman" w:cs="Times New Roman"/>
          <w:i/>
          <w:iCs/>
          <w:sz w:val="24"/>
          <w:szCs w:val="24"/>
          <w:lang w:val="en-GB" w:eastAsia="cs-CZ"/>
        </w:rPr>
        <w:t xml:space="preserve">private equity </w:t>
      </w:r>
      <w:r w:rsidRPr="00FA1502" w:rsidR="00C84AC9">
        <w:rPr>
          <w:rFonts w:ascii="Times New Roman" w:eastAsia="Times New Roman" w:hAnsi="Times New Roman" w:cs="Times New Roman"/>
          <w:sz w:val="24"/>
          <w:szCs w:val="24"/>
          <w:lang w:val="en-GB" w:eastAsia="cs-CZ"/>
        </w:rPr>
        <w:t>funds or infrastructure</w:t>
      </w:r>
      <w:r w:rsidRPr="00FA1502">
        <w:rPr>
          <w:rFonts w:ascii="Times New Roman" w:eastAsia="Times New Roman" w:hAnsi="Times New Roman" w:cs="Times New Roman"/>
          <w:sz w:val="24"/>
          <w:szCs w:val="24"/>
          <w:lang w:val="en-GB" w:eastAsia="cs-CZ"/>
        </w:rPr>
        <w:t xml:space="preserve">. It is </w:t>
      </w:r>
      <w:r w:rsidRPr="00FA1502" w:rsidR="00C84AC9">
        <w:rPr>
          <w:rFonts w:ascii="Times New Roman" w:eastAsia="Times New Roman" w:hAnsi="Times New Roman" w:cs="Times New Roman"/>
          <w:sz w:val="24"/>
          <w:szCs w:val="24"/>
          <w:lang w:val="en-GB" w:eastAsia="cs-CZ"/>
        </w:rPr>
        <w:t xml:space="preserve">also </w:t>
      </w:r>
      <w:r w:rsidRPr="00FA1502">
        <w:rPr>
          <w:rFonts w:ascii="Times New Roman" w:eastAsia="Times New Roman" w:hAnsi="Times New Roman" w:cs="Times New Roman"/>
          <w:sz w:val="24"/>
          <w:szCs w:val="24"/>
          <w:lang w:val="en-GB" w:eastAsia="cs-CZ"/>
        </w:rPr>
        <w:t>proposed that simultaneous participation in both the tran</w:t>
      </w:r>
      <w:r w:rsidRPr="00FA1502" w:rsidR="00C84AC9">
        <w:rPr>
          <w:rFonts w:ascii="Times New Roman" w:eastAsia="Times New Roman" w:hAnsi="Times New Roman" w:cs="Times New Roman"/>
          <w:sz w:val="24"/>
          <w:szCs w:val="24"/>
          <w:lang w:val="en-GB" w:eastAsia="cs-CZ"/>
        </w:rPr>
        <w:t>sformed fund and the participations</w:t>
      </w:r>
      <w:r w:rsidRPr="00FA1502">
        <w:rPr>
          <w:rFonts w:ascii="Times New Roman" w:eastAsia="Times New Roman" w:hAnsi="Times New Roman" w:cs="Times New Roman"/>
          <w:sz w:val="24"/>
          <w:szCs w:val="24"/>
          <w:lang w:val="en-GB" w:eastAsia="cs-CZ"/>
        </w:rPr>
        <w:t xml:space="preserve"> fund should be possible in order to allow participants to transfe</w:t>
      </w:r>
      <w:r w:rsidRPr="00FA1502" w:rsidR="00C84AC9">
        <w:rPr>
          <w:rFonts w:ascii="Times New Roman" w:eastAsia="Times New Roman" w:hAnsi="Times New Roman" w:cs="Times New Roman"/>
          <w:sz w:val="24"/>
          <w:szCs w:val="24"/>
          <w:lang w:val="en-GB" w:eastAsia="cs-CZ"/>
        </w:rPr>
        <w:t>r more easily to the participation</w:t>
      </w:r>
      <w:r w:rsidRPr="00FA1502">
        <w:rPr>
          <w:rFonts w:ascii="Times New Roman" w:eastAsia="Times New Roman" w:hAnsi="Times New Roman" w:cs="Times New Roman"/>
          <w:sz w:val="24"/>
          <w:szCs w:val="24"/>
          <w:lang w:val="en-GB" w:eastAsia="cs-CZ"/>
        </w:rPr>
        <w:t xml:space="preserve"> funds without having to cancel their partic</w:t>
      </w:r>
      <w:r w:rsidRPr="00FA1502" w:rsidR="00C84AC9">
        <w:rPr>
          <w:rFonts w:ascii="Times New Roman" w:eastAsia="Times New Roman" w:hAnsi="Times New Roman" w:cs="Times New Roman"/>
          <w:sz w:val="24"/>
          <w:szCs w:val="24"/>
          <w:lang w:val="en-GB" w:eastAsia="cs-CZ"/>
        </w:rPr>
        <w:t>ipation in the transformed fund.</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numPr>
          <w:ilvl w:val="0"/>
          <w:numId w:val="5"/>
        </w:numPr>
        <w:spacing w:before="120" w:after="120" w:line="240" w:lineRule="auto"/>
        <w:ind w:left="1241" w:firstLine="0"/>
        <w:jc w:val="both"/>
        <w:rPr>
          <w:rFonts w:ascii="Times New Roman" w:eastAsia="Times New Roman" w:hAnsi="Times New Roman" w:cs="Times New Roman"/>
          <w:lang w:val="en-GB" w:eastAsia="cs-CZ"/>
        </w:rPr>
      </w:pPr>
      <w:r w:rsidRPr="00FA1502">
        <w:rPr>
          <w:rFonts w:ascii="Times New Roman" w:eastAsia="Times New Roman" w:hAnsi="Times New Roman" w:cs="Times New Roman"/>
          <w:sz w:val="24"/>
          <w:szCs w:val="24"/>
          <w:lang w:val="en-GB" w:eastAsia="cs-CZ"/>
        </w:rPr>
        <w:t>Act N</w:t>
      </w:r>
      <w:r w:rsidRPr="00FA1502" w:rsidR="002C0627">
        <w:rPr>
          <w:rFonts w:ascii="Times New Roman" w:eastAsia="Times New Roman" w:hAnsi="Times New Roman" w:cs="Times New Roman"/>
          <w:sz w:val="24"/>
          <w:szCs w:val="24"/>
          <w:lang w:val="en-GB" w:eastAsia="cs-CZ"/>
        </w:rPr>
        <w:t>o. 240/2013 Coll., On Management</w:t>
      </w:r>
      <w:r w:rsidRPr="00FA1502">
        <w:rPr>
          <w:rFonts w:ascii="Times New Roman" w:eastAsia="Times New Roman" w:hAnsi="Times New Roman" w:cs="Times New Roman"/>
          <w:sz w:val="24"/>
          <w:szCs w:val="24"/>
          <w:lang w:val="en-GB" w:eastAsia="cs-CZ"/>
        </w:rPr>
        <w:t xml:space="preserve"> Companies and Investment Funds, as amende</w:t>
      </w:r>
      <w:r w:rsidRPr="00FA1502" w:rsidR="002C0627">
        <w:rPr>
          <w:rFonts w:ascii="Times New Roman" w:eastAsia="Times New Roman" w:hAnsi="Times New Roman" w:cs="Times New Roman"/>
          <w:sz w:val="24"/>
          <w:szCs w:val="24"/>
          <w:lang w:val="en-GB" w:eastAsia="cs-CZ"/>
        </w:rPr>
        <w:t>d (hereinafter referred to as “</w:t>
      </w:r>
      <w:r w:rsidRPr="00FA1502" w:rsidR="002C0627">
        <w:rPr>
          <w:rFonts w:ascii="Times New Roman" w:eastAsia="Times New Roman" w:hAnsi="Times New Roman" w:cs="Times New Roman"/>
          <w:b/>
          <w:bCs/>
          <w:sz w:val="24"/>
          <w:szCs w:val="24"/>
          <w:lang w:val="en-GB" w:eastAsia="cs-CZ"/>
        </w:rPr>
        <w:t>ZISIF</w:t>
      </w:r>
      <w:r w:rsidRPr="00FA1502" w:rsidR="002C0627">
        <w:rPr>
          <w:rFonts w:ascii="Times New Roman" w:eastAsia="Times New Roman" w:hAnsi="Times New Roman" w:cs="Times New Roman"/>
          <w:sz w:val="24"/>
          <w:szCs w:val="24"/>
          <w:lang w:val="en-GB" w:eastAsia="cs-CZ"/>
        </w:rPr>
        <w:t>”), where, following the National strategy</w:t>
      </w:r>
      <w:r w:rsidRPr="00FA1502">
        <w:rPr>
          <w:rFonts w:ascii="Times New Roman" w:eastAsia="Times New Roman" w:hAnsi="Times New Roman" w:cs="Times New Roman"/>
          <w:sz w:val="24"/>
          <w:szCs w:val="24"/>
          <w:lang w:val="en-GB" w:eastAsia="cs-CZ"/>
        </w:rPr>
        <w:t>, it is proposed to allow limited partnership for investme</w:t>
      </w:r>
      <w:r w:rsidRPr="00FA1502" w:rsidR="002C0627">
        <w:rPr>
          <w:rFonts w:ascii="Times New Roman" w:eastAsia="Times New Roman" w:hAnsi="Times New Roman" w:cs="Times New Roman"/>
          <w:sz w:val="24"/>
          <w:szCs w:val="24"/>
          <w:lang w:val="en-GB" w:eastAsia="cs-CZ"/>
        </w:rPr>
        <w:t>nt certificates and closed</w:t>
      </w:r>
      <w:r w:rsidRPr="00FA1502">
        <w:rPr>
          <w:rFonts w:ascii="Times New Roman" w:eastAsia="Times New Roman" w:hAnsi="Times New Roman" w:cs="Times New Roman"/>
          <w:sz w:val="24"/>
          <w:szCs w:val="24"/>
          <w:lang w:val="en-GB" w:eastAsia="cs-CZ"/>
        </w:rPr>
        <w:t xml:space="preserve"> joint-</w:t>
      </w:r>
      <w:r w:rsidRPr="00FA1502" w:rsidR="002C0627">
        <w:rPr>
          <w:rFonts w:ascii="Times New Roman" w:eastAsia="Times New Roman" w:hAnsi="Times New Roman" w:cs="Times New Roman"/>
          <w:sz w:val="24"/>
          <w:szCs w:val="24"/>
          <w:lang w:val="en-GB" w:eastAsia="cs-CZ"/>
        </w:rPr>
        <w:t>stock company, which is an investment fund, to</w:t>
      </w:r>
      <w:r w:rsidRPr="00FA1502">
        <w:rPr>
          <w:rFonts w:ascii="Times New Roman" w:eastAsia="Times New Roman" w:hAnsi="Times New Roman" w:cs="Times New Roman"/>
          <w:sz w:val="24"/>
          <w:szCs w:val="24"/>
          <w:lang w:val="en-GB" w:eastAsia="cs-CZ"/>
        </w:rPr>
        <w:t xml:space="preserve"> create sub-funds. To support these legal forms</w:t>
      </w:r>
      <w:r w:rsidRPr="00FA1502" w:rsidR="00AD5048">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also</w:t>
      </w:r>
      <w:r w:rsidRPr="00FA1502" w:rsidR="00AD5048">
        <w:rPr>
          <w:rFonts w:ascii="Times New Roman" w:eastAsia="Times New Roman" w:hAnsi="Times New Roman" w:cs="Times New Roman"/>
          <w:sz w:val="24"/>
          <w:szCs w:val="24"/>
          <w:lang w:val="en-GB" w:eastAsia="cs-CZ"/>
        </w:rPr>
        <w:t xml:space="preserve"> a new denomination for their business firm is proposed – "SICAF" and "SICAR" (following the "SICAV")</w:t>
      </w:r>
      <w:r w:rsidRPr="00FA1502">
        <w:rPr>
          <w:rFonts w:ascii="Times New Roman" w:eastAsia="Times New Roman" w:hAnsi="Times New Roman" w:cs="Times New Roman"/>
          <w:sz w:val="24"/>
          <w:szCs w:val="24"/>
          <w:lang w:val="en-GB" w:eastAsia="cs-CZ"/>
        </w:rPr>
        <w:t>. For a limited partnership on investment certificates, it is also proposed to make the distrib</w:t>
      </w:r>
      <w:r w:rsidRPr="00FA1502" w:rsidR="009C1DD0">
        <w:rPr>
          <w:rFonts w:ascii="Times New Roman" w:eastAsia="Times New Roman" w:hAnsi="Times New Roman" w:cs="Times New Roman"/>
          <w:sz w:val="24"/>
          <w:szCs w:val="24"/>
          <w:lang w:val="en-GB" w:eastAsia="cs-CZ"/>
        </w:rPr>
        <w:t>ution of profits more dipositive</w:t>
      </w:r>
      <w:r w:rsidRPr="00FA1502">
        <w:rPr>
          <w:rFonts w:ascii="Times New Roman" w:eastAsia="Times New Roman" w:hAnsi="Times New Roman" w:cs="Times New Roman"/>
          <w:sz w:val="24"/>
          <w:szCs w:val="24"/>
          <w:lang w:val="en-GB" w:eastAsia="cs-CZ"/>
        </w:rPr>
        <w:t xml:space="preserve"> and it is </w:t>
      </w:r>
      <w:r w:rsidRPr="00FA1502" w:rsidR="009C1DD0">
        <w:rPr>
          <w:rFonts w:ascii="Times New Roman" w:eastAsia="Times New Roman" w:hAnsi="Times New Roman" w:cs="Times New Roman"/>
          <w:sz w:val="24"/>
          <w:szCs w:val="24"/>
          <w:lang w:val="en-GB" w:eastAsia="cs-CZ"/>
        </w:rPr>
        <w:t xml:space="preserve">also </w:t>
      </w:r>
      <w:r w:rsidRPr="00FA1502">
        <w:rPr>
          <w:rFonts w:ascii="Times New Roman" w:eastAsia="Times New Roman" w:hAnsi="Times New Roman" w:cs="Times New Roman"/>
          <w:sz w:val="24"/>
          <w:szCs w:val="24"/>
          <w:lang w:val="en-GB" w:eastAsia="cs-CZ"/>
        </w:rPr>
        <w:t>proposed to allow an investment company not harmonized by EU law to be a tr</w:t>
      </w:r>
      <w:r w:rsidRPr="00FA1502" w:rsidR="009C1DD0">
        <w:rPr>
          <w:rFonts w:ascii="Times New Roman" w:eastAsia="Times New Roman" w:hAnsi="Times New Roman" w:cs="Times New Roman"/>
          <w:sz w:val="24"/>
          <w:szCs w:val="24"/>
          <w:lang w:val="en-GB" w:eastAsia="cs-CZ"/>
        </w:rPr>
        <w:t>ustee of a trust</w:t>
      </w:r>
      <w:r w:rsidRPr="00FA1502">
        <w:rPr>
          <w:rFonts w:ascii="Times New Roman" w:eastAsia="Times New Roman" w:hAnsi="Times New Roman" w:cs="Times New Roman"/>
          <w:sz w:val="24"/>
          <w:szCs w:val="24"/>
          <w:lang w:val="en-GB" w:eastAsia="cs-CZ"/>
        </w:rPr>
        <w:t xml:space="preserve">, which </w:t>
      </w:r>
      <w:r w:rsidRPr="00FA1502" w:rsidR="009C1DD0">
        <w:rPr>
          <w:rFonts w:ascii="Times New Roman" w:eastAsia="Times New Roman" w:hAnsi="Times New Roman" w:cs="Times New Roman"/>
          <w:sz w:val="24"/>
          <w:szCs w:val="24"/>
          <w:lang w:val="en-GB" w:eastAsia="cs-CZ"/>
        </w:rPr>
        <w:t>is not an investment fund. These were requests coming from the market</w:t>
      </w:r>
      <w:r w:rsidRPr="00FA1502">
        <w:rPr>
          <w:rFonts w:ascii="Times New Roman" w:eastAsia="Times New Roman" w:hAnsi="Times New Roman" w:cs="Times New Roman"/>
          <w:sz w:val="24"/>
          <w:szCs w:val="24"/>
          <w:lang w:val="en-GB" w:eastAsia="cs-CZ"/>
        </w:rPr>
        <w:t xml:space="preserve">. In addition, it is proposed to make a series of practical technical adjustments that have resulted from the </w:t>
      </w:r>
      <w:r w:rsidRPr="00FA1502" w:rsidR="009C1DD0">
        <w:rPr>
          <w:rFonts w:ascii="Times New Roman" w:eastAsia="Times New Roman" w:hAnsi="Times New Roman" w:cs="Times New Roman"/>
          <w:sz w:val="24"/>
          <w:szCs w:val="24"/>
          <w:lang w:val="en-GB" w:eastAsia="cs-CZ"/>
        </w:rPr>
        <w:t>CNB's findings during the</w:t>
      </w:r>
      <w:r w:rsidRPr="00FA1502">
        <w:rPr>
          <w:rFonts w:ascii="Times New Roman" w:eastAsia="Times New Roman" w:hAnsi="Times New Roman" w:cs="Times New Roman"/>
          <w:sz w:val="24"/>
          <w:szCs w:val="24"/>
          <w:lang w:val="en-GB" w:eastAsia="cs-CZ"/>
        </w:rPr>
        <w:t xml:space="preserve"> application of ZISIF. The market did not contradict these</w:t>
      </w:r>
      <w:r w:rsidRPr="00FA1502" w:rsidR="002D707E">
        <w:rPr>
          <w:rFonts w:ascii="Times New Roman" w:eastAsia="Times New Roman" w:hAnsi="Times New Roman" w:cs="Times New Roman"/>
          <w:sz w:val="24"/>
          <w:szCs w:val="24"/>
          <w:lang w:val="en-GB" w:eastAsia="cs-CZ"/>
        </w:rPr>
        <w:t xml:space="preserve"> proposals. For example, the decision statement about permission or the maintenance</w:t>
      </w:r>
      <w:r w:rsidRPr="00FA1502">
        <w:rPr>
          <w:rFonts w:ascii="Times New Roman" w:eastAsia="Times New Roman" w:hAnsi="Times New Roman" w:cs="Times New Roman"/>
          <w:sz w:val="24"/>
          <w:szCs w:val="24"/>
          <w:lang w:val="en-GB" w:eastAsia="cs-CZ"/>
        </w:rPr>
        <w:t xml:space="preserve"> </w:t>
      </w:r>
      <w:r w:rsidRPr="00FA1502" w:rsidR="002D707E">
        <w:rPr>
          <w:rFonts w:ascii="Times New Roman" w:eastAsia="Times New Roman" w:hAnsi="Times New Roman" w:cs="Times New Roman"/>
          <w:sz w:val="24"/>
          <w:szCs w:val="24"/>
          <w:lang w:val="en-GB" w:eastAsia="cs-CZ"/>
        </w:rPr>
        <w:t>of CNB lists are</w:t>
      </w:r>
      <w:r w:rsidRPr="00FA1502">
        <w:rPr>
          <w:rFonts w:ascii="Times New Roman" w:eastAsia="Times New Roman" w:hAnsi="Times New Roman" w:cs="Times New Roman"/>
          <w:sz w:val="24"/>
          <w:szCs w:val="24"/>
          <w:lang w:val="en-GB" w:eastAsia="cs-CZ"/>
        </w:rPr>
        <w:t xml:space="preserve"> simplified. The terminology in relation to the concept of "human resources" is also unified in line with other regulations regulating the financial market. A</w:t>
      </w:r>
      <w:r w:rsidRPr="00FA1502" w:rsidR="002D707E">
        <w:rPr>
          <w:rFonts w:ascii="Times New Roman" w:eastAsia="Times New Roman" w:hAnsi="Times New Roman" w:cs="Times New Roman"/>
          <w:sz w:val="24"/>
          <w:szCs w:val="24"/>
          <w:lang w:val="en-GB" w:eastAsia="cs-CZ"/>
        </w:rPr>
        <w:t>n annual fee</w:t>
      </w:r>
      <w:r w:rsidRPr="00FA1502">
        <w:rPr>
          <w:rFonts w:ascii="Times New Roman" w:eastAsia="Times New Roman" w:hAnsi="Times New Roman" w:cs="Times New Roman"/>
          <w:sz w:val="24"/>
          <w:szCs w:val="24"/>
          <w:lang w:val="en-GB" w:eastAsia="cs-CZ"/>
        </w:rPr>
        <w:t xml:space="preserve"> </w:t>
      </w:r>
      <w:r w:rsidRPr="00FA1502" w:rsidR="002D707E">
        <w:rPr>
          <w:rFonts w:ascii="Times New Roman" w:eastAsia="Times New Roman" w:hAnsi="Times New Roman" w:cs="Times New Roman"/>
          <w:sz w:val="24"/>
          <w:szCs w:val="24"/>
          <w:lang w:val="en-GB" w:eastAsia="cs-CZ"/>
        </w:rPr>
        <w:t>is introduced for persons according to Section 15 of the ZISIF</w:t>
      </w:r>
      <w:r w:rsidRPr="00FA1502">
        <w:rPr>
          <w:rFonts w:ascii="Times New Roman" w:eastAsia="Times New Roman" w:hAnsi="Times New Roman" w:cs="Times New Roman"/>
          <w:sz w:val="24"/>
          <w:szCs w:val="24"/>
          <w:lang w:val="en-GB" w:eastAsia="cs-CZ"/>
        </w:rPr>
        <w:t xml:space="preserve"> so that persons</w:t>
      </w:r>
      <w:r w:rsidRPr="00FA1502" w:rsidR="002D707E">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who no longer wish to be registered</w:t>
      </w:r>
      <w:r w:rsidRPr="00FA1502" w:rsidR="002D707E">
        <w:rPr>
          <w:rFonts w:ascii="Times New Roman" w:eastAsia="Times New Roman" w:hAnsi="Times New Roman" w:cs="Times New Roman"/>
          <w:sz w:val="24"/>
          <w:szCs w:val="24"/>
          <w:lang w:val="en-GB" w:eastAsia="cs-CZ"/>
        </w:rPr>
        <w:t xml:space="preserve"> in the list, are not present</w:t>
      </w:r>
      <w:r w:rsidRPr="00FA1502" w:rsidR="00AA0C38">
        <w:rPr>
          <w:rFonts w:ascii="Times New Roman" w:eastAsia="Times New Roman" w:hAnsi="Times New Roman" w:cs="Times New Roman"/>
          <w:sz w:val="24"/>
          <w:szCs w:val="24"/>
          <w:lang w:val="en-GB" w:eastAsia="cs-CZ"/>
        </w:rPr>
        <w:t xml:space="preserve"> in this list. T</w:t>
      </w:r>
      <w:r w:rsidRPr="00FA1502">
        <w:rPr>
          <w:rFonts w:ascii="Times New Roman" w:eastAsia="Times New Roman" w:hAnsi="Times New Roman" w:cs="Times New Roman"/>
          <w:sz w:val="24"/>
          <w:szCs w:val="24"/>
          <w:lang w:val="en-GB" w:eastAsia="cs-CZ"/>
        </w:rPr>
        <w:t>he regulation of the offering and custody of participation certificates, which is currently unclear and causes interpretative difficulties in the application of ZISIF</w:t>
      </w:r>
      <w:r w:rsidRPr="00FA1502" w:rsidR="00AA0C38">
        <w:rPr>
          <w:rFonts w:ascii="Times New Roman" w:eastAsia="Times New Roman" w:hAnsi="Times New Roman" w:cs="Times New Roman"/>
          <w:sz w:val="24"/>
          <w:szCs w:val="24"/>
          <w:lang w:val="en-GB" w:eastAsia="cs-CZ"/>
        </w:rPr>
        <w:t>, is proposed to be simplified. Moreover, it is stated</w:t>
      </w:r>
      <w:r w:rsidRPr="00FA1502">
        <w:rPr>
          <w:rFonts w:ascii="Times New Roman" w:eastAsia="Times New Roman" w:hAnsi="Times New Roman" w:cs="Times New Roman"/>
          <w:sz w:val="24"/>
          <w:szCs w:val="24"/>
          <w:lang w:val="en-GB" w:eastAsia="cs-CZ"/>
        </w:rPr>
        <w:t xml:space="preserve"> that, in the case of investment funds constituting sub-funds, the depositary only carries out its activities in relation to those sub-funds (similarly it is proposed to require the statute only</w:t>
      </w:r>
      <w:r w:rsidRPr="00FA1502" w:rsidR="00AA0C38">
        <w:rPr>
          <w:rFonts w:ascii="Times New Roman" w:eastAsia="Times New Roman" w:hAnsi="Times New Roman" w:cs="Times New Roman"/>
          <w:sz w:val="24"/>
          <w:szCs w:val="24"/>
          <w:lang w:val="en-GB" w:eastAsia="cs-CZ"/>
        </w:rPr>
        <w:t xml:space="preserve"> in respect</w:t>
      </w:r>
      <w:r w:rsidRPr="00FA1502" w:rsidR="005D47A4">
        <w:rPr>
          <w:rFonts w:ascii="Times New Roman" w:eastAsia="Times New Roman" w:hAnsi="Times New Roman" w:cs="Times New Roman"/>
          <w:sz w:val="24"/>
          <w:szCs w:val="24"/>
          <w:lang w:val="en-GB" w:eastAsia="cs-CZ"/>
        </w:rPr>
        <w:t xml:space="preserve"> of those sub-funds). Also the</w:t>
      </w:r>
      <w:r w:rsidRPr="00FA1502">
        <w:rPr>
          <w:rFonts w:ascii="Times New Roman" w:eastAsia="Times New Roman" w:hAnsi="Times New Roman" w:cs="Times New Roman"/>
          <w:sz w:val="24"/>
          <w:szCs w:val="24"/>
          <w:lang w:val="en-GB" w:eastAsia="cs-CZ"/>
        </w:rPr>
        <w:t xml:space="preserve"> possibility of </w:t>
      </w:r>
      <w:r w:rsidRPr="00FA1502">
        <w:rPr>
          <w:rFonts w:ascii="Times New Roman" w:eastAsia="Times New Roman" w:hAnsi="Times New Roman" w:cs="Times New Roman"/>
          <w:sz w:val="24"/>
          <w:szCs w:val="24"/>
          <w:lang w:val="en-GB" w:eastAsia="cs-CZ"/>
        </w:rPr>
        <w:t>providing services in the form of outsourcing by licensed entities</w:t>
      </w:r>
      <w:r w:rsidRPr="00FA1502" w:rsidR="005D47A4">
        <w:rPr>
          <w:rFonts w:ascii="Times New Roman" w:eastAsia="Times New Roman" w:hAnsi="Times New Roman" w:cs="Times New Roman"/>
          <w:sz w:val="24"/>
          <w:szCs w:val="24"/>
          <w:lang w:val="en-GB" w:eastAsia="cs-CZ"/>
        </w:rPr>
        <w:t xml:space="preserve"> is stated</w:t>
      </w:r>
      <w:r w:rsidRPr="00FA1502">
        <w:rPr>
          <w:rFonts w:ascii="Times New Roman" w:eastAsia="Times New Roman" w:hAnsi="Times New Roman" w:cs="Times New Roman"/>
          <w:sz w:val="24"/>
          <w:szCs w:val="24"/>
          <w:lang w:val="en-GB" w:eastAsia="cs-CZ"/>
        </w:rPr>
        <w:t xml:space="preserve">. Uncertainties over the question of whether </w:t>
      </w:r>
      <w:r w:rsidRPr="00FA1502">
        <w:rPr>
          <w:rFonts w:ascii="Times New Roman" w:eastAsia="Times New Roman" w:hAnsi="Times New Roman" w:cs="Times New Roman"/>
          <w:sz w:val="24"/>
          <w:szCs w:val="24"/>
          <w:lang w:val="en-GB" w:eastAsia="cs-CZ"/>
        </w:rPr>
        <w:t>EuVECA</w:t>
      </w:r>
      <w:r w:rsidRPr="00FA1502">
        <w:rPr>
          <w:rFonts w:ascii="Times New Roman" w:eastAsia="Times New Roman" w:hAnsi="Times New Roman" w:cs="Times New Roman"/>
          <w:sz w:val="24"/>
          <w:szCs w:val="24"/>
          <w:lang w:val="en-GB" w:eastAsia="cs-CZ"/>
        </w:rPr>
        <w:t xml:space="preserve"> and </w:t>
      </w:r>
      <w:r w:rsidRPr="00FA1502">
        <w:rPr>
          <w:rFonts w:ascii="Times New Roman" w:eastAsia="Times New Roman" w:hAnsi="Times New Roman" w:cs="Times New Roman"/>
          <w:sz w:val="24"/>
          <w:szCs w:val="24"/>
          <w:lang w:val="en-GB" w:eastAsia="cs-CZ"/>
        </w:rPr>
        <w:t>EuSEF</w:t>
      </w:r>
      <w:r w:rsidRPr="00FA1502">
        <w:rPr>
          <w:rFonts w:ascii="Times New Roman" w:eastAsia="Times New Roman" w:hAnsi="Times New Roman" w:cs="Times New Roman"/>
          <w:sz w:val="24"/>
          <w:szCs w:val="24"/>
          <w:lang w:val="en-GB" w:eastAsia="cs-CZ"/>
        </w:rPr>
        <w:t xml:space="preserve"> funds must have depositaries are removed (this should not be required under EU regulations, but the interpretation of Czech law is not without difficulty in this respect). The depositary's obligation to keep the physical assets of the investment fund in </w:t>
      </w:r>
      <w:r w:rsidRPr="00FA1502" w:rsidR="005D47A4">
        <w:rPr>
          <w:rFonts w:ascii="Times New Roman" w:eastAsia="Times New Roman" w:hAnsi="Times New Roman" w:cs="Times New Roman"/>
          <w:sz w:val="24"/>
          <w:szCs w:val="24"/>
          <w:lang w:val="en-GB" w:eastAsia="cs-CZ"/>
        </w:rPr>
        <w:t>custody is</w:t>
      </w:r>
      <w:r w:rsidRPr="00FA1502">
        <w:rPr>
          <w:rFonts w:ascii="Times New Roman" w:eastAsia="Times New Roman" w:hAnsi="Times New Roman" w:cs="Times New Roman"/>
          <w:sz w:val="24"/>
          <w:szCs w:val="24"/>
          <w:lang w:val="en-GB" w:eastAsia="cs-CZ"/>
        </w:rPr>
        <w:t xml:space="preserve"> re</w:t>
      </w:r>
      <w:r w:rsidRPr="00FA1502" w:rsidR="00CA5AB7">
        <w:rPr>
          <w:rFonts w:ascii="Times New Roman" w:eastAsia="Times New Roman" w:hAnsi="Times New Roman" w:cs="Times New Roman"/>
          <w:sz w:val="24"/>
          <w:szCs w:val="24"/>
          <w:lang w:val="en-GB" w:eastAsia="cs-CZ"/>
        </w:rPr>
        <w:t>moved. It is stated</w:t>
      </w:r>
      <w:r w:rsidRPr="00FA1502">
        <w:rPr>
          <w:rFonts w:ascii="Times New Roman" w:eastAsia="Times New Roman" w:hAnsi="Times New Roman" w:cs="Times New Roman"/>
          <w:sz w:val="24"/>
          <w:szCs w:val="24"/>
          <w:lang w:val="en-GB" w:eastAsia="cs-CZ"/>
        </w:rPr>
        <w:t xml:space="preserve"> that funds can pay out a share of income even if they are at a loss (this addresses the issue of the so-called flow</w:t>
      </w:r>
      <w:r w:rsidRPr="00FA1502" w:rsidR="00CA5AB7">
        <w:rPr>
          <w:rFonts w:ascii="Times New Roman" w:eastAsia="Times New Roman" w:hAnsi="Times New Roman" w:cs="Times New Roman"/>
          <w:sz w:val="24"/>
          <w:szCs w:val="24"/>
          <w:lang w:val="en-GB" w:eastAsia="cs-CZ"/>
        </w:rPr>
        <w:t>ing dividends</w:t>
      </w:r>
      <w:r w:rsidRPr="00FA1502">
        <w:rPr>
          <w:rFonts w:ascii="Times New Roman" w:eastAsia="Times New Roman" w:hAnsi="Times New Roman" w:cs="Times New Roman"/>
          <w:sz w:val="24"/>
          <w:szCs w:val="24"/>
          <w:lang w:val="en-GB" w:eastAsia="cs-CZ"/>
        </w:rPr>
        <w:t>). The deadlines for certain licensing</w:t>
      </w:r>
      <w:r w:rsidRPr="00FA1502" w:rsidR="00CA5AB7">
        <w:rPr>
          <w:rFonts w:ascii="Times New Roman" w:eastAsia="Times New Roman" w:hAnsi="Times New Roman" w:cs="Times New Roman"/>
          <w:sz w:val="24"/>
          <w:szCs w:val="24"/>
          <w:lang w:val="en-GB" w:eastAsia="cs-CZ"/>
        </w:rPr>
        <w:t xml:space="preserve"> procedures are also harmonized</w:t>
      </w:r>
      <w:r w:rsidRPr="00FA1502">
        <w:rPr>
          <w:rFonts w:ascii="Times New Roman" w:eastAsia="Times New Roman" w:hAnsi="Times New Roman" w:cs="Times New Roman"/>
          <w:sz w:val="24"/>
          <w:szCs w:val="24"/>
          <w:lang w:val="en-GB" w:eastAsia="cs-CZ"/>
        </w:rPr>
        <w:t>.</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numPr>
          <w:ilvl w:val="0"/>
          <w:numId w:val="5"/>
        </w:numPr>
        <w:spacing w:before="120" w:after="120" w:line="240" w:lineRule="auto"/>
        <w:ind w:left="1247" w:firstLine="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Act No. 634/2004 Coll., On Administrative Fees, as amended (h</w:t>
      </w:r>
      <w:r w:rsidRPr="00FA1502" w:rsidR="00CA5AB7">
        <w:rPr>
          <w:rFonts w:ascii="Times New Roman" w:eastAsia="Times New Roman" w:hAnsi="Times New Roman" w:cs="Times New Roman"/>
          <w:sz w:val="24"/>
          <w:szCs w:val="24"/>
          <w:lang w:val="en-GB" w:eastAsia="cs-CZ"/>
        </w:rPr>
        <w:t>ereinafter referred to as the “</w:t>
      </w:r>
      <w:r w:rsidRPr="00FA1502" w:rsidR="00CA5AB7">
        <w:rPr>
          <w:rFonts w:ascii="Times New Roman" w:eastAsia="Times New Roman" w:hAnsi="Times New Roman" w:cs="Times New Roman"/>
          <w:b/>
          <w:bCs/>
          <w:sz w:val="24"/>
          <w:szCs w:val="24"/>
          <w:lang w:val="en-GB" w:eastAsia="cs-CZ"/>
        </w:rPr>
        <w:t>ZoSP</w:t>
      </w:r>
      <w:r w:rsidRPr="00FA1502">
        <w:rPr>
          <w:rFonts w:ascii="Times New Roman" w:eastAsia="Times New Roman" w:hAnsi="Times New Roman" w:cs="Times New Roman"/>
          <w:sz w:val="24"/>
          <w:szCs w:val="24"/>
          <w:lang w:val="en-GB" w:eastAsia="cs-CZ"/>
        </w:rPr>
        <w:t>”) is proposed to be</w:t>
      </w:r>
      <w:r w:rsidRPr="00FA1502" w:rsidR="00CA5AB7">
        <w:rPr>
          <w:rFonts w:ascii="Times New Roman" w:eastAsia="Times New Roman" w:hAnsi="Times New Roman" w:cs="Times New Roman"/>
          <w:sz w:val="24"/>
          <w:szCs w:val="24"/>
          <w:lang w:val="en-GB" w:eastAsia="cs-CZ"/>
        </w:rPr>
        <w:t xml:space="preserve"> modified in relation to the ZISIF</w:t>
      </w:r>
      <w:r w:rsidRPr="00FA1502">
        <w:rPr>
          <w:rFonts w:ascii="Times New Roman" w:eastAsia="Times New Roman" w:hAnsi="Times New Roman" w:cs="Times New Roman"/>
          <w:sz w:val="24"/>
          <w:szCs w:val="24"/>
          <w:lang w:val="en-GB" w:eastAsia="cs-CZ"/>
        </w:rPr>
        <w:t xml:space="preserve"> by introducing a main</w:t>
      </w:r>
      <w:r w:rsidRPr="00FA1502" w:rsidR="00CA5AB7">
        <w:rPr>
          <w:rFonts w:ascii="Times New Roman" w:eastAsia="Times New Roman" w:hAnsi="Times New Roman" w:cs="Times New Roman"/>
          <w:sz w:val="24"/>
          <w:szCs w:val="24"/>
          <w:lang w:val="en-GB" w:eastAsia="cs-CZ"/>
        </w:rPr>
        <w:t>tenance fee for persons pursuant to Section 15 of the ZISIF</w:t>
      </w:r>
      <w:r w:rsidRPr="00FA1502">
        <w:rPr>
          <w:rFonts w:ascii="Times New Roman" w:eastAsia="Times New Roman" w:hAnsi="Times New Roman" w:cs="Times New Roman"/>
          <w:sz w:val="24"/>
          <w:szCs w:val="24"/>
          <w:lang w:val="en-GB" w:eastAsia="cs-CZ"/>
        </w:rPr>
        <w:t xml:space="preserve"> (i</w:t>
      </w:r>
      <w:r w:rsidRPr="00FA1502" w:rsidR="00D334E5">
        <w:rPr>
          <w:rFonts w:ascii="Times New Roman" w:eastAsia="Times New Roman" w:hAnsi="Times New Roman" w:cs="Times New Roman"/>
          <w:sz w:val="24"/>
          <w:szCs w:val="24"/>
          <w:lang w:val="en-GB" w:eastAsia="cs-CZ"/>
        </w:rPr>
        <w:t>n the amount of CZK 10,000</w:t>
      </w:r>
      <w:r w:rsidRPr="00FA1502" w:rsidR="00CA5AB7">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the fee for the registration of the investment f</w:t>
      </w:r>
      <w:r w:rsidRPr="00FA1502" w:rsidR="00CA5AB7">
        <w:rPr>
          <w:rFonts w:ascii="Times New Roman" w:eastAsia="Times New Roman" w:hAnsi="Times New Roman" w:cs="Times New Roman"/>
          <w:sz w:val="24"/>
          <w:szCs w:val="24"/>
          <w:lang w:val="en-GB" w:eastAsia="cs-CZ"/>
        </w:rPr>
        <w:t xml:space="preserve">und is increased (from CZK </w:t>
      </w:r>
      <w:r w:rsidRPr="00FA1502" w:rsidR="00D334E5">
        <w:rPr>
          <w:rFonts w:ascii="Times New Roman" w:eastAsia="Times New Roman" w:hAnsi="Times New Roman" w:cs="Times New Roman"/>
          <w:sz w:val="24"/>
          <w:szCs w:val="24"/>
          <w:lang w:val="en-GB" w:eastAsia="cs-CZ"/>
        </w:rPr>
        <w:t>2,000 to CZK 10,000</w:t>
      </w:r>
      <w:r w:rsidRPr="00FA1502">
        <w:rPr>
          <w:rFonts w:ascii="Times New Roman" w:eastAsia="Times New Roman" w:hAnsi="Times New Roman" w:cs="Times New Roman"/>
          <w:sz w:val="24"/>
          <w:szCs w:val="24"/>
          <w:lang w:val="en-GB" w:eastAsia="cs-CZ"/>
        </w:rPr>
        <w:t>) and the fee for the registration of the investment fund deposit</w:t>
      </w:r>
      <w:r w:rsidRPr="00FA1502" w:rsidR="00D334E5">
        <w:rPr>
          <w:rFonts w:ascii="Times New Roman" w:eastAsia="Times New Roman" w:hAnsi="Times New Roman" w:cs="Times New Roman"/>
          <w:sz w:val="24"/>
          <w:szCs w:val="24"/>
          <w:lang w:val="en-GB" w:eastAsia="cs-CZ"/>
        </w:rPr>
        <w:t>ory is increased (from CZK 2,000 to CZK 35,000</w:t>
      </w:r>
      <w:r w:rsidRPr="00FA1502">
        <w:rPr>
          <w:rFonts w:ascii="Times New Roman" w:eastAsia="Times New Roman" w:hAnsi="Times New Roman" w:cs="Times New Roman"/>
          <w:sz w:val="24"/>
          <w:szCs w:val="24"/>
          <w:lang w:val="en-GB" w:eastAsia="cs-CZ"/>
        </w:rPr>
        <w:t>). It is also proposed to introduce a fee for the registration of a perso</w:t>
      </w:r>
      <w:r w:rsidRPr="00FA1502" w:rsidR="00D334E5">
        <w:rPr>
          <w:rFonts w:ascii="Times New Roman" w:eastAsia="Times New Roman" w:hAnsi="Times New Roman" w:cs="Times New Roman"/>
          <w:sz w:val="24"/>
          <w:szCs w:val="24"/>
          <w:lang w:val="en-GB" w:eastAsia="cs-CZ"/>
        </w:rPr>
        <w:t>n under Section 15 of the ZISIF (CZK 10,000</w:t>
      </w:r>
      <w:r w:rsidRPr="00FA1502">
        <w:rPr>
          <w:rFonts w:ascii="Times New Roman" w:eastAsia="Times New Roman" w:hAnsi="Times New Roman" w:cs="Times New Roman"/>
          <w:sz w:val="24"/>
          <w:szCs w:val="24"/>
          <w:lang w:val="en-GB" w:eastAsia="cs-CZ"/>
        </w:rPr>
        <w:t>) and for the registration of a foreign investment fund offered i</w:t>
      </w:r>
      <w:r w:rsidRPr="00FA1502" w:rsidR="00D334E5">
        <w:rPr>
          <w:rFonts w:ascii="Times New Roman" w:eastAsia="Times New Roman" w:hAnsi="Times New Roman" w:cs="Times New Roman"/>
          <w:sz w:val="24"/>
          <w:szCs w:val="24"/>
          <w:lang w:val="en-GB" w:eastAsia="cs-CZ"/>
        </w:rPr>
        <w:t>n the Czech Republic (CZK 10,000</w:t>
      </w:r>
      <w:r w:rsidRPr="00FA1502">
        <w:rPr>
          <w:rFonts w:ascii="Times New Roman" w:eastAsia="Times New Roman" w:hAnsi="Times New Roman" w:cs="Times New Roman"/>
          <w:sz w:val="24"/>
          <w:szCs w:val="24"/>
          <w:lang w:val="en-GB" w:eastAsia="cs-CZ"/>
        </w:rPr>
        <w:t>). The fee for assessing comparability with a special fund also increases (from CZK 5,000 to CZK 20,000). These fees are increased or introduced to better reflect the related a</w:t>
      </w:r>
      <w:r w:rsidRPr="00FA1502" w:rsidR="00D334E5">
        <w:rPr>
          <w:rFonts w:ascii="Times New Roman" w:eastAsia="Times New Roman" w:hAnsi="Times New Roman" w:cs="Times New Roman"/>
          <w:sz w:val="24"/>
          <w:szCs w:val="24"/>
          <w:lang w:val="en-GB" w:eastAsia="cs-CZ"/>
        </w:rPr>
        <w:t>dministrative requirements.</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Effectiveness</w:t>
      </w:r>
      <w:r w:rsidRPr="00FA1502">
        <w:rPr>
          <w:rFonts w:ascii="Times New Roman" w:eastAsia="Times New Roman" w:hAnsi="Times New Roman" w:cs="Times New Roman"/>
          <w:sz w:val="24"/>
          <w:szCs w:val="24"/>
          <w:lang w:val="en-GB" w:eastAsia="cs-CZ"/>
        </w:rPr>
        <w:t xml:space="preserve"> is proposed to </w:t>
      </w:r>
      <w:r w:rsidRPr="00FA1502">
        <w:rPr>
          <w:rFonts w:ascii="Times New Roman" w:eastAsia="Times New Roman" w:hAnsi="Times New Roman" w:cs="Times New Roman"/>
          <w:sz w:val="24"/>
          <w:szCs w:val="24"/>
          <w:lang w:val="en-GB" w:eastAsia="cs-CZ"/>
        </w:rPr>
        <w:t xml:space="preserve">1 </w:t>
      </w:r>
      <w:r w:rsidRPr="00FA1502">
        <w:rPr>
          <w:rFonts w:ascii="Times New Roman" w:eastAsia="Times New Roman" w:hAnsi="Times New Roman" w:cs="Times New Roman"/>
          <w:sz w:val="24"/>
          <w:szCs w:val="24"/>
          <w:lang w:val="en-GB" w:eastAsia="cs-CZ"/>
        </w:rPr>
        <w:t>January 2022, wh</w:t>
      </w:r>
      <w:r w:rsidRPr="00FA1502">
        <w:rPr>
          <w:rFonts w:ascii="Times New Roman" w:eastAsia="Times New Roman" w:hAnsi="Times New Roman" w:cs="Times New Roman"/>
          <w:sz w:val="24"/>
          <w:szCs w:val="24"/>
          <w:lang w:val="en-GB" w:eastAsia="cs-CZ"/>
        </w:rPr>
        <w:t>ile</w:t>
      </w:r>
      <w:r w:rsidRPr="00FA1502">
        <w:rPr>
          <w:rFonts w:ascii="Times New Roman" w:eastAsia="Times New Roman" w:hAnsi="Times New Roman" w:cs="Times New Roman"/>
          <w:sz w:val="24"/>
          <w:szCs w:val="24"/>
          <w:lang w:val="en-GB" w:eastAsia="cs-CZ"/>
        </w:rPr>
        <w:t xml:space="preserve"> it is expected that the amendment should be approved by the Chamber of Deputies before the parliamentary elections in October 2021. </w:t>
      </w:r>
      <w:r w:rsidRPr="00FA1502">
        <w:rPr>
          <w:rFonts w:ascii="Times New Roman" w:eastAsia="Times New Roman" w:hAnsi="Times New Roman" w:cs="Times New Roman"/>
          <w:sz w:val="24"/>
          <w:szCs w:val="24"/>
          <w:lang w:val="en-GB" w:eastAsia="cs-CZ"/>
        </w:rPr>
        <w:t>According to the Government Legislative Work Plan for 2019, t</w:t>
      </w:r>
      <w:r w:rsidRPr="00FA1502">
        <w:rPr>
          <w:rFonts w:ascii="Times New Roman" w:eastAsia="Times New Roman" w:hAnsi="Times New Roman" w:cs="Times New Roman"/>
          <w:sz w:val="24"/>
          <w:szCs w:val="24"/>
          <w:lang w:val="en-GB" w:eastAsia="cs-CZ"/>
        </w:rPr>
        <w:t xml:space="preserve">he </w:t>
      </w:r>
      <w:r w:rsidRPr="00FA1502">
        <w:rPr>
          <w:rFonts w:ascii="Times New Roman" w:eastAsia="Times New Roman" w:hAnsi="Times New Roman" w:cs="Times New Roman"/>
          <w:sz w:val="24"/>
          <w:szCs w:val="24"/>
          <w:lang w:val="en-GB" w:eastAsia="cs-CZ"/>
        </w:rPr>
        <w:t xml:space="preserve">amendment </w:t>
      </w:r>
      <w:r w:rsidRPr="00FA1502">
        <w:rPr>
          <w:rFonts w:ascii="Times New Roman" w:eastAsia="Times New Roman" w:hAnsi="Times New Roman" w:cs="Times New Roman"/>
          <w:sz w:val="24"/>
          <w:szCs w:val="24"/>
          <w:lang w:val="en-GB" w:eastAsia="cs-CZ"/>
        </w:rPr>
        <w:t xml:space="preserve">should </w:t>
      </w:r>
      <w:r w:rsidRPr="00FA1502">
        <w:rPr>
          <w:rFonts w:ascii="Times New Roman" w:eastAsia="Times New Roman" w:hAnsi="Times New Roman" w:cs="Times New Roman"/>
          <w:sz w:val="24"/>
          <w:szCs w:val="24"/>
          <w:lang w:val="en-GB" w:eastAsia="cs-CZ"/>
        </w:rPr>
        <w:t xml:space="preserve">have </w:t>
      </w:r>
      <w:r w:rsidRPr="00FA1502">
        <w:rPr>
          <w:rFonts w:ascii="Times New Roman" w:eastAsia="Times New Roman" w:hAnsi="Times New Roman" w:cs="Times New Roman"/>
          <w:sz w:val="24"/>
          <w:szCs w:val="24"/>
          <w:lang w:val="en-GB" w:eastAsia="cs-CZ"/>
        </w:rPr>
        <w:t>be</w:t>
      </w:r>
      <w:r w:rsidRPr="00FA1502">
        <w:rPr>
          <w:rFonts w:ascii="Times New Roman" w:eastAsia="Times New Roman" w:hAnsi="Times New Roman" w:cs="Times New Roman"/>
          <w:sz w:val="24"/>
          <w:szCs w:val="24"/>
          <w:lang w:val="en-GB" w:eastAsia="cs-CZ"/>
        </w:rPr>
        <w:t>en</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 xml:space="preserve">submitted to the Government </w:t>
      </w:r>
      <w:r w:rsidRPr="00FA1502">
        <w:rPr>
          <w:rFonts w:ascii="Times New Roman" w:eastAsia="Times New Roman" w:hAnsi="Times New Roman" w:cs="Times New Roman"/>
          <w:sz w:val="24"/>
          <w:szCs w:val="24"/>
          <w:lang w:val="en-GB" w:eastAsia="cs-CZ"/>
        </w:rPr>
        <w:t xml:space="preserve">by the end of 2019, but this </w:t>
      </w:r>
      <w:r w:rsidRPr="00FA1502">
        <w:rPr>
          <w:rFonts w:ascii="Times New Roman" w:eastAsia="Times New Roman" w:hAnsi="Times New Roman" w:cs="Times New Roman"/>
          <w:sz w:val="24"/>
          <w:szCs w:val="24"/>
          <w:lang w:val="en-GB" w:eastAsia="cs-CZ"/>
        </w:rPr>
        <w:t>deadline</w:t>
      </w:r>
      <w:r w:rsidRPr="00FA1502">
        <w:rPr>
          <w:rFonts w:ascii="Times New Roman" w:eastAsia="Times New Roman" w:hAnsi="Times New Roman" w:cs="Times New Roman"/>
          <w:sz w:val="24"/>
          <w:szCs w:val="24"/>
          <w:lang w:val="en-GB" w:eastAsia="cs-CZ"/>
        </w:rPr>
        <w:t xml:space="preserve"> was extended until May 2020.</w:t>
      </w:r>
    </w:p>
    <w:p w:rsidR="00176359" w:rsidRPr="00FA1502" w:rsidP="00A7116F">
      <w:pPr>
        <w:keepNext/>
        <w:widowControl w:val="0"/>
        <w:numPr>
          <w:ilvl w:val="0"/>
          <w:numId w:val="6"/>
        </w:numPr>
        <w:spacing w:before="120" w:after="120" w:line="240" w:lineRule="auto"/>
        <w:ind w:left="268" w:firstLine="0"/>
        <w:jc w:val="both"/>
        <w:rPr>
          <w:rFonts w:ascii="Times New Roman" w:eastAsia="Times New Roman" w:hAnsi="Times New Roman" w:cs="Times New Roman"/>
          <w:b/>
          <w:bCs/>
          <w:sz w:val="24"/>
          <w:szCs w:val="24"/>
          <w:lang w:val="en-GB" w:eastAsia="cs-CZ"/>
        </w:rPr>
      </w:pPr>
      <w:r w:rsidRPr="00FA1502">
        <w:rPr>
          <w:rFonts w:ascii="Times New Roman" w:eastAsia="Times New Roman" w:hAnsi="Times New Roman" w:cs="Times New Roman"/>
          <w:b/>
          <w:bCs/>
          <w:sz w:val="24"/>
          <w:szCs w:val="24"/>
          <w:lang w:val="en-GB" w:eastAsia="cs-CZ"/>
        </w:rPr>
        <w:t>Explanation of the necessity of the proposed legislation as a whole </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proposed legislation is necessary because of the need to develop the Czech capital mar</w:t>
      </w:r>
      <w:r w:rsidRPr="00FA1502" w:rsidR="004D6324">
        <w:rPr>
          <w:rFonts w:ascii="Times New Roman" w:eastAsia="Times New Roman" w:hAnsi="Times New Roman" w:cs="Times New Roman"/>
          <w:sz w:val="24"/>
          <w:szCs w:val="24"/>
          <w:lang w:val="en-GB" w:eastAsia="cs-CZ"/>
        </w:rPr>
        <w:t>ket, as follows from the National Strategy</w:t>
      </w:r>
      <w:r w:rsidRPr="00FA1502">
        <w:rPr>
          <w:rFonts w:ascii="Times New Roman" w:eastAsia="Times New Roman" w:hAnsi="Times New Roman" w:cs="Times New Roman"/>
          <w:sz w:val="24"/>
          <w:szCs w:val="24"/>
          <w:lang w:val="en-GB" w:eastAsia="cs-CZ"/>
        </w:rPr>
        <w:t xml:space="preserve"> and the reasons stated therein. In order to achieve the </w:t>
      </w:r>
      <w:r w:rsidRPr="00FA1502" w:rsidR="00541D6F">
        <w:rPr>
          <w:rFonts w:ascii="Times New Roman" w:eastAsia="Times New Roman" w:hAnsi="Times New Roman" w:cs="Times New Roman"/>
          <w:sz w:val="24"/>
          <w:szCs w:val="24"/>
          <w:lang w:val="en-GB" w:eastAsia="cs-CZ"/>
        </w:rPr>
        <w:t>respective</w:t>
      </w:r>
      <w:r w:rsidRPr="00FA1502" w:rsidR="004D6324">
        <w:rPr>
          <w:rFonts w:ascii="Times New Roman" w:eastAsia="Times New Roman" w:hAnsi="Times New Roman" w:cs="Times New Roman"/>
          <w:sz w:val="24"/>
          <w:szCs w:val="24"/>
          <w:lang w:val="en-GB" w:eastAsia="cs-CZ"/>
        </w:rPr>
        <w:t xml:space="preserve"> measures from the National Strategy</w:t>
      </w:r>
      <w:r w:rsidRPr="00FA1502">
        <w:rPr>
          <w:rFonts w:ascii="Times New Roman" w:eastAsia="Times New Roman" w:hAnsi="Times New Roman" w:cs="Times New Roman"/>
          <w:sz w:val="24"/>
          <w:szCs w:val="24"/>
          <w:lang w:val="en-GB" w:eastAsia="cs-CZ"/>
        </w:rPr>
        <w:t xml:space="preserve">, a change of legislation is necessary, only non-legislative steps cannot achieve the objective. It is particularly useful to address some of the identified </w:t>
      </w:r>
      <w:r w:rsidRPr="00FA1502" w:rsidR="0042645F">
        <w:rPr>
          <w:rFonts w:ascii="Times New Roman" w:eastAsia="Times New Roman" w:hAnsi="Times New Roman" w:cs="Times New Roman"/>
          <w:sz w:val="24"/>
          <w:szCs w:val="24"/>
          <w:lang w:val="en-GB" w:eastAsia="cs-CZ"/>
        </w:rPr>
        <w:t>shortcomings of</w:t>
      </w:r>
      <w:r w:rsidRPr="00FA1502">
        <w:rPr>
          <w:rFonts w:ascii="Times New Roman" w:eastAsia="Times New Roman" w:hAnsi="Times New Roman" w:cs="Times New Roman"/>
          <w:sz w:val="24"/>
          <w:szCs w:val="24"/>
          <w:lang w:val="en-GB" w:eastAsia="cs-CZ"/>
        </w:rPr>
        <w:t xml:space="preserve"> </w:t>
      </w:r>
      <w:r w:rsidRPr="00FA1502" w:rsidR="0042645F">
        <w:rPr>
          <w:rFonts w:ascii="Times New Roman" w:eastAsia="Times New Roman" w:hAnsi="Times New Roman" w:cs="Times New Roman"/>
          <w:sz w:val="24"/>
          <w:szCs w:val="24"/>
          <w:lang w:val="en-GB" w:eastAsia="cs-CZ"/>
        </w:rPr>
        <w:t xml:space="preserve">the </w:t>
      </w:r>
      <w:r w:rsidRPr="00FA1502">
        <w:rPr>
          <w:rFonts w:ascii="Times New Roman" w:eastAsia="Times New Roman" w:hAnsi="Times New Roman" w:cs="Times New Roman"/>
          <w:sz w:val="24"/>
          <w:szCs w:val="24"/>
          <w:lang w:val="en-GB" w:eastAsia="cs-CZ"/>
        </w:rPr>
        <w:t xml:space="preserve">Czech national </w:t>
      </w:r>
      <w:r w:rsidRPr="00FA1502" w:rsidR="0042645F">
        <w:rPr>
          <w:rFonts w:ascii="Times New Roman" w:eastAsia="Times New Roman" w:hAnsi="Times New Roman" w:cs="Times New Roman"/>
          <w:sz w:val="24"/>
          <w:szCs w:val="24"/>
          <w:lang w:val="en-GB" w:eastAsia="cs-CZ"/>
        </w:rPr>
        <w:t>regulation</w:t>
      </w:r>
      <w:r w:rsidRPr="00FA1502">
        <w:rPr>
          <w:rFonts w:ascii="Times New Roman" w:eastAsia="Times New Roman" w:hAnsi="Times New Roman" w:cs="Times New Roman"/>
          <w:sz w:val="24"/>
          <w:szCs w:val="24"/>
          <w:lang w:val="en-GB" w:eastAsia="cs-CZ"/>
        </w:rPr>
        <w:t xml:space="preserve"> which does not follow the directives of the EU. This will strengthen the competitiveness of the Czech capital market in rel</w:t>
      </w:r>
      <w:r w:rsidRPr="00FA1502" w:rsidR="0042645F">
        <w:rPr>
          <w:rFonts w:ascii="Times New Roman" w:eastAsia="Times New Roman" w:hAnsi="Times New Roman" w:cs="Times New Roman"/>
          <w:sz w:val="24"/>
          <w:szCs w:val="24"/>
          <w:lang w:val="en-GB" w:eastAsia="cs-CZ"/>
        </w:rPr>
        <w:t>ation not only to advanced w</w:t>
      </w:r>
      <w:r w:rsidRPr="00FA1502">
        <w:rPr>
          <w:rFonts w:ascii="Times New Roman" w:eastAsia="Times New Roman" w:hAnsi="Times New Roman" w:cs="Times New Roman"/>
          <w:sz w:val="24"/>
          <w:szCs w:val="24"/>
          <w:lang w:val="en-GB" w:eastAsia="cs-CZ"/>
        </w:rPr>
        <w:t xml:space="preserve">estern European </w:t>
      </w:r>
      <w:r w:rsidRPr="00FA1502" w:rsidR="0042645F">
        <w:rPr>
          <w:rFonts w:ascii="Times New Roman" w:eastAsia="Times New Roman" w:hAnsi="Times New Roman" w:cs="Times New Roman"/>
          <w:sz w:val="24"/>
          <w:szCs w:val="24"/>
          <w:lang w:val="en-GB" w:eastAsia="cs-CZ"/>
        </w:rPr>
        <w:t>regulations</w:t>
      </w:r>
      <w:r w:rsidRPr="00FA1502">
        <w:rPr>
          <w:rFonts w:ascii="Times New Roman" w:eastAsia="Times New Roman" w:hAnsi="Times New Roman" w:cs="Times New Roman"/>
          <w:sz w:val="24"/>
          <w:szCs w:val="24"/>
          <w:lang w:val="en-GB" w:eastAsia="cs-CZ"/>
        </w:rPr>
        <w:t>, but also to those of neighbo</w:t>
      </w:r>
      <w:r w:rsidRPr="00FA1502" w:rsidR="0042645F">
        <w:rPr>
          <w:rFonts w:ascii="Times New Roman" w:eastAsia="Times New Roman" w:hAnsi="Times New Roman" w:cs="Times New Roman"/>
          <w:sz w:val="24"/>
          <w:szCs w:val="24"/>
          <w:lang w:val="en-GB" w:eastAsia="cs-CZ"/>
        </w:rPr>
        <w:t>u</w:t>
      </w:r>
      <w:r w:rsidRPr="00FA1502">
        <w:rPr>
          <w:rFonts w:ascii="Times New Roman" w:eastAsia="Times New Roman" w:hAnsi="Times New Roman" w:cs="Times New Roman"/>
          <w:sz w:val="24"/>
          <w:szCs w:val="24"/>
          <w:lang w:val="en-GB" w:eastAsia="cs-CZ"/>
        </w:rPr>
        <w:t>ring countries and other states in the region of Central and Eastern Europe.</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numPr>
          <w:ilvl w:val="0"/>
          <w:numId w:val="7"/>
        </w:numPr>
        <w:tabs>
          <w:tab w:val="clear" w:pos="720"/>
        </w:tabs>
        <w:spacing w:before="120" w:after="120" w:line="240" w:lineRule="auto"/>
        <w:ind w:left="709" w:hanging="425"/>
        <w:jc w:val="both"/>
        <w:rPr>
          <w:rFonts w:ascii="Times New Roman" w:eastAsia="Times New Roman" w:hAnsi="Times New Roman" w:cs="Times New Roman"/>
          <w:b/>
          <w:bCs/>
          <w:sz w:val="24"/>
          <w:szCs w:val="24"/>
          <w:lang w:val="en-GB" w:eastAsia="cs-CZ"/>
        </w:rPr>
      </w:pPr>
      <w:r w:rsidRPr="00FA1502">
        <w:rPr>
          <w:rFonts w:ascii="Times New Roman" w:eastAsia="Times New Roman" w:hAnsi="Times New Roman" w:cs="Times New Roman"/>
          <w:b/>
          <w:bCs/>
          <w:sz w:val="24"/>
          <w:szCs w:val="24"/>
          <w:lang w:val="en-GB" w:eastAsia="cs-CZ"/>
        </w:rPr>
        <w:t>Evaluation of compliance of the proposed legislation with the constitutional order of the Czech Republic </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w:t>
      </w:r>
      <w:r w:rsidRPr="00FA1502" w:rsidR="00CF2F5C">
        <w:rPr>
          <w:rFonts w:ascii="Times New Roman" w:eastAsia="Times New Roman" w:hAnsi="Times New Roman" w:cs="Times New Roman"/>
          <w:sz w:val="24"/>
          <w:szCs w:val="24"/>
          <w:lang w:val="en-GB" w:eastAsia="cs-CZ"/>
        </w:rPr>
        <w:t>proposed act</w:t>
      </w:r>
      <w:r w:rsidRPr="00FA1502">
        <w:rPr>
          <w:rFonts w:ascii="Times New Roman" w:eastAsia="Times New Roman" w:hAnsi="Times New Roman" w:cs="Times New Roman"/>
          <w:sz w:val="24"/>
          <w:szCs w:val="24"/>
          <w:lang w:val="en-GB" w:eastAsia="cs-CZ"/>
        </w:rPr>
        <w:t xml:space="preserve"> is in accordance with the </w:t>
      </w:r>
      <w:r w:rsidRPr="00FA1502" w:rsidR="00823A9E">
        <w:rPr>
          <w:rFonts w:ascii="Times New Roman" w:eastAsia="Times New Roman" w:hAnsi="Times New Roman" w:cs="Times New Roman"/>
          <w:sz w:val="24"/>
          <w:szCs w:val="24"/>
          <w:lang w:val="en-GB" w:eastAsia="cs-CZ"/>
        </w:rPr>
        <w:t xml:space="preserve">constitutional order of the Czech Republic which is established by the </w:t>
      </w:r>
      <w:r w:rsidRPr="00FA1502">
        <w:rPr>
          <w:rFonts w:ascii="Times New Roman" w:eastAsia="Times New Roman" w:hAnsi="Times New Roman" w:cs="Times New Roman"/>
          <w:sz w:val="24"/>
          <w:szCs w:val="24"/>
          <w:lang w:val="en-GB" w:eastAsia="cs-CZ"/>
        </w:rPr>
        <w:t xml:space="preserve">Constitution. </w:t>
      </w:r>
      <w:r w:rsidRPr="00FA1502" w:rsidR="00082016">
        <w:rPr>
          <w:rFonts w:ascii="Times New Roman" w:eastAsia="Times New Roman" w:hAnsi="Times New Roman" w:cs="Times New Roman"/>
          <w:sz w:val="24"/>
          <w:szCs w:val="24"/>
          <w:lang w:val="en-GB" w:eastAsia="cs-CZ"/>
        </w:rPr>
        <w:t>The c</w:t>
      </w:r>
      <w:r w:rsidRPr="00FA1502">
        <w:rPr>
          <w:rFonts w:ascii="Times New Roman" w:eastAsia="Times New Roman" w:hAnsi="Times New Roman" w:cs="Times New Roman"/>
          <w:sz w:val="24"/>
          <w:szCs w:val="24"/>
          <w:lang w:val="en-GB" w:eastAsia="cs-CZ"/>
        </w:rPr>
        <w:t xml:space="preserve">onstitutional order of the Czech Republic </w:t>
      </w:r>
      <w:r w:rsidRPr="00FA1502" w:rsidR="00082016">
        <w:rPr>
          <w:rFonts w:ascii="Times New Roman" w:eastAsia="Times New Roman" w:hAnsi="Times New Roman" w:cs="Times New Roman"/>
          <w:sz w:val="24"/>
          <w:szCs w:val="24"/>
          <w:lang w:val="en-GB" w:eastAsia="cs-CZ"/>
        </w:rPr>
        <w:t xml:space="preserve">does not contain any </w:t>
      </w:r>
      <w:r w:rsidRPr="00FA1502">
        <w:rPr>
          <w:rFonts w:ascii="Times New Roman" w:eastAsia="Times New Roman" w:hAnsi="Times New Roman" w:cs="Times New Roman"/>
          <w:sz w:val="24"/>
          <w:szCs w:val="24"/>
          <w:lang w:val="en-GB" w:eastAsia="cs-CZ"/>
        </w:rPr>
        <w:t xml:space="preserve">specific </w:t>
      </w:r>
      <w:r w:rsidRPr="00FA1502" w:rsidR="00082016">
        <w:rPr>
          <w:rFonts w:ascii="Times New Roman" w:eastAsia="Times New Roman" w:hAnsi="Times New Roman" w:cs="Times New Roman"/>
          <w:sz w:val="24"/>
          <w:szCs w:val="24"/>
          <w:lang w:val="en-GB" w:eastAsia="cs-CZ"/>
        </w:rPr>
        <w:t>legal norms relating to</w:t>
      </w:r>
      <w:r w:rsidRPr="00FA1502">
        <w:rPr>
          <w:rFonts w:ascii="Times New Roman" w:eastAsia="Times New Roman" w:hAnsi="Times New Roman" w:cs="Times New Roman"/>
          <w:sz w:val="24"/>
          <w:szCs w:val="24"/>
          <w:lang w:val="en-GB" w:eastAsia="cs-CZ"/>
        </w:rPr>
        <w:t xml:space="preserve"> the capital market. The </w:t>
      </w:r>
      <w:r w:rsidRPr="00FA1502" w:rsidR="00CF2F5C">
        <w:rPr>
          <w:rFonts w:ascii="Times New Roman" w:eastAsia="Times New Roman" w:hAnsi="Times New Roman" w:cs="Times New Roman"/>
          <w:sz w:val="24"/>
          <w:szCs w:val="24"/>
          <w:lang w:val="en-GB" w:eastAsia="cs-CZ"/>
        </w:rPr>
        <w:t>proposed act</w:t>
      </w:r>
      <w:r w:rsidRPr="00FA1502">
        <w:rPr>
          <w:rFonts w:ascii="Times New Roman" w:eastAsia="Times New Roman" w:hAnsi="Times New Roman" w:cs="Times New Roman"/>
          <w:sz w:val="24"/>
          <w:szCs w:val="24"/>
          <w:lang w:val="en-GB" w:eastAsia="cs-CZ"/>
        </w:rPr>
        <w:t xml:space="preserve"> takes </w:t>
      </w:r>
      <w:r w:rsidRPr="00FA1502" w:rsidR="00082016">
        <w:rPr>
          <w:rFonts w:ascii="Times New Roman" w:eastAsia="Times New Roman" w:hAnsi="Times New Roman" w:cs="Times New Roman"/>
          <w:sz w:val="24"/>
          <w:szCs w:val="24"/>
          <w:lang w:val="en-GB" w:eastAsia="cs-CZ"/>
        </w:rPr>
        <w:t>i</w:t>
      </w:r>
      <w:r w:rsidRPr="00FA1502">
        <w:rPr>
          <w:rFonts w:ascii="Times New Roman" w:eastAsia="Times New Roman" w:hAnsi="Times New Roman" w:cs="Times New Roman"/>
          <w:sz w:val="24"/>
          <w:szCs w:val="24"/>
          <w:lang w:val="en-GB" w:eastAsia="cs-CZ"/>
        </w:rPr>
        <w:t xml:space="preserve">nto account especially </w:t>
      </w:r>
      <w:r w:rsidRPr="00FA1502" w:rsidR="00CF2F5C">
        <w:rPr>
          <w:rFonts w:ascii="Times New Roman" w:eastAsia="Times New Roman" w:hAnsi="Times New Roman" w:cs="Times New Roman"/>
          <w:sz w:val="24"/>
          <w:szCs w:val="24"/>
          <w:lang w:val="en-GB" w:eastAsia="cs-CZ"/>
        </w:rPr>
        <w:t xml:space="preserve">Section </w:t>
      </w:r>
      <w:r w:rsidRPr="00FA1502">
        <w:rPr>
          <w:rFonts w:ascii="Times New Roman" w:eastAsia="Times New Roman" w:hAnsi="Times New Roman" w:cs="Times New Roman"/>
          <w:sz w:val="24"/>
          <w:szCs w:val="24"/>
          <w:lang w:val="en-GB" w:eastAsia="cs-CZ"/>
        </w:rPr>
        <w:t xml:space="preserve">98 </w:t>
      </w:r>
      <w:r w:rsidRPr="00FA1502" w:rsidR="00CF2F5C">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1</w:t>
      </w:r>
      <w:r w:rsidRPr="00FA1502" w:rsidR="00CF2F5C">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of the Constitution, according to which activities of the CNB </w:t>
      </w:r>
      <w:r w:rsidRPr="00FA1502" w:rsidR="00CF2F5C">
        <w:rPr>
          <w:rFonts w:ascii="Times New Roman" w:eastAsia="Times New Roman" w:hAnsi="Times New Roman" w:cs="Times New Roman"/>
          <w:sz w:val="24"/>
          <w:szCs w:val="24"/>
          <w:lang w:val="en-GB" w:eastAsia="cs-CZ"/>
        </w:rPr>
        <w:t xml:space="preserve">can be </w:t>
      </w:r>
      <w:r w:rsidRPr="00FA1502">
        <w:rPr>
          <w:rFonts w:ascii="Times New Roman" w:eastAsia="Times New Roman" w:hAnsi="Times New Roman" w:cs="Times New Roman"/>
          <w:sz w:val="24"/>
          <w:szCs w:val="24"/>
          <w:lang w:val="en-GB" w:eastAsia="cs-CZ"/>
        </w:rPr>
        <w:t>intervene</w:t>
      </w:r>
      <w:r w:rsidRPr="00FA1502" w:rsidR="00CF2F5C">
        <w:rPr>
          <w:rFonts w:ascii="Times New Roman" w:eastAsia="Times New Roman" w:hAnsi="Times New Roman" w:cs="Times New Roman"/>
          <w:sz w:val="24"/>
          <w:szCs w:val="24"/>
          <w:lang w:val="en-GB" w:eastAsia="cs-CZ"/>
        </w:rPr>
        <w:t>d solely</w:t>
      </w:r>
      <w:r w:rsidRPr="00FA1502">
        <w:rPr>
          <w:rFonts w:ascii="Times New Roman" w:eastAsia="Times New Roman" w:hAnsi="Times New Roman" w:cs="Times New Roman"/>
          <w:sz w:val="24"/>
          <w:szCs w:val="24"/>
          <w:lang w:val="en-GB" w:eastAsia="cs-CZ"/>
        </w:rPr>
        <w:t xml:space="preserve"> on the basis of law.</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bill respects the general principles of the constitutional order of the Czech Republic, for example principles resulting </w:t>
      </w:r>
      <w:r w:rsidRPr="00FA1502" w:rsidR="00CF2F5C">
        <w:rPr>
          <w:rFonts w:ascii="Times New Roman" w:eastAsia="Times New Roman" w:hAnsi="Times New Roman" w:cs="Times New Roman"/>
          <w:sz w:val="24"/>
          <w:szCs w:val="24"/>
          <w:lang w:val="en-GB" w:eastAsia="cs-CZ"/>
        </w:rPr>
        <w:t>from</w:t>
      </w:r>
      <w:r w:rsidRPr="00FA1502">
        <w:rPr>
          <w:rFonts w:ascii="Times New Roman" w:eastAsia="Times New Roman" w:hAnsi="Times New Roman" w:cs="Times New Roman"/>
          <w:sz w:val="24"/>
          <w:szCs w:val="24"/>
          <w:lang w:val="en-GB" w:eastAsia="cs-CZ"/>
        </w:rPr>
        <w:t xml:space="preserve"> the concept of democratic </w:t>
      </w:r>
      <w:r w:rsidRPr="00FA1502" w:rsidR="00CF2F5C">
        <w:rPr>
          <w:rFonts w:ascii="Times New Roman" w:eastAsia="Times New Roman" w:hAnsi="Times New Roman" w:cs="Times New Roman"/>
          <w:sz w:val="24"/>
          <w:szCs w:val="24"/>
          <w:lang w:val="en-GB" w:eastAsia="cs-CZ"/>
        </w:rPr>
        <w:t>legal state</w:t>
      </w:r>
      <w:r w:rsidRPr="00FA1502">
        <w:rPr>
          <w:rFonts w:ascii="Times New Roman" w:eastAsia="Times New Roman" w:hAnsi="Times New Roman" w:cs="Times New Roman"/>
          <w:sz w:val="24"/>
          <w:szCs w:val="24"/>
          <w:lang w:val="en-GB" w:eastAsia="cs-CZ"/>
        </w:rPr>
        <w:t xml:space="preserve"> (</w:t>
      </w:r>
      <w:r w:rsidRPr="00FA1502" w:rsidR="00CF2F5C">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1 of the Constitution) and the principle </w:t>
      </w:r>
      <w:r w:rsidRPr="00FA1502" w:rsidR="00CF2F5C">
        <w:rPr>
          <w:rFonts w:ascii="Times New Roman" w:eastAsia="Times New Roman" w:hAnsi="Times New Roman" w:cs="Times New Roman"/>
          <w:sz w:val="24"/>
          <w:szCs w:val="24"/>
          <w:lang w:val="en-GB" w:eastAsia="cs-CZ"/>
        </w:rPr>
        <w:t>of enumerat</w:t>
      </w:r>
      <w:r w:rsidRPr="00FA1502" w:rsidR="00775794">
        <w:rPr>
          <w:rFonts w:ascii="Times New Roman" w:eastAsia="Times New Roman" w:hAnsi="Times New Roman" w:cs="Times New Roman"/>
          <w:sz w:val="24"/>
          <w:szCs w:val="24"/>
          <w:lang w:val="en-GB" w:eastAsia="cs-CZ"/>
        </w:rPr>
        <w:t>ion o</w:t>
      </w:r>
      <w:r w:rsidRPr="00FA1502" w:rsidR="00CF2F5C">
        <w:rPr>
          <w:rFonts w:ascii="Times New Roman" w:eastAsia="Times New Roman" w:hAnsi="Times New Roman" w:cs="Times New Roman"/>
          <w:sz w:val="24"/>
          <w:szCs w:val="24"/>
          <w:lang w:val="en-GB" w:eastAsia="cs-CZ"/>
        </w:rPr>
        <w:t xml:space="preserve">f public law </w:t>
      </w:r>
      <w:r w:rsidRPr="00FA1502" w:rsidR="00775794">
        <w:rPr>
          <w:rFonts w:ascii="Times New Roman" w:eastAsia="Times New Roman" w:hAnsi="Times New Roman" w:cs="Times New Roman"/>
          <w:sz w:val="24"/>
          <w:szCs w:val="24"/>
          <w:lang w:val="en-GB" w:eastAsia="cs-CZ"/>
        </w:rPr>
        <w:t>requisitions</w:t>
      </w:r>
      <w:r w:rsidRPr="00FA1502" w:rsidR="00CF2F5C">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w:t>
      </w:r>
      <w:r w:rsidRPr="00FA1502" w:rsidR="00775794">
        <w:rPr>
          <w:rFonts w:ascii="Times New Roman" w:eastAsia="Times New Roman" w:hAnsi="Times New Roman" w:cs="Times New Roman"/>
          <w:sz w:val="24"/>
          <w:szCs w:val="24"/>
          <w:lang w:val="en-GB" w:eastAsia="cs-CZ"/>
        </w:rPr>
        <w:t>Section 2 (2)</w:t>
      </w:r>
      <w:r w:rsidRPr="00FA1502">
        <w:rPr>
          <w:rFonts w:ascii="Times New Roman" w:eastAsia="Times New Roman" w:hAnsi="Times New Roman" w:cs="Times New Roman"/>
          <w:sz w:val="24"/>
          <w:szCs w:val="24"/>
          <w:lang w:val="en-GB" w:eastAsia="cs-CZ"/>
        </w:rPr>
        <w:t xml:space="preserve"> of the Charter of Fundamental Rights and Freedoms). It also takes into account </w:t>
      </w:r>
      <w:r w:rsidRPr="00FA1502">
        <w:rPr>
          <w:rFonts w:ascii="Times New Roman" w:eastAsia="Times New Roman" w:hAnsi="Times New Roman" w:cs="Times New Roman"/>
          <w:sz w:val="24"/>
          <w:szCs w:val="24"/>
          <w:lang w:val="en-GB" w:eastAsia="cs-CZ"/>
        </w:rPr>
        <w:t>that ownership is binding and that what is not prohibited is allowed.</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numPr>
          <w:ilvl w:val="0"/>
          <w:numId w:val="8"/>
        </w:numPr>
        <w:spacing w:before="120" w:after="120" w:line="240" w:lineRule="auto"/>
        <w:ind w:left="709" w:hanging="441"/>
        <w:jc w:val="both"/>
        <w:rPr>
          <w:rFonts w:ascii="Times New Roman" w:eastAsia="Times New Roman" w:hAnsi="Times New Roman" w:cs="Times New Roman"/>
          <w:b/>
          <w:bCs/>
          <w:sz w:val="24"/>
          <w:szCs w:val="24"/>
          <w:lang w:val="en-GB" w:eastAsia="cs-CZ"/>
        </w:rPr>
      </w:pPr>
      <w:r w:rsidRPr="00FA1502">
        <w:rPr>
          <w:rFonts w:ascii="Times New Roman" w:eastAsia="Times New Roman" w:hAnsi="Times New Roman" w:cs="Times New Roman"/>
          <w:b/>
          <w:bCs/>
          <w:sz w:val="24"/>
          <w:szCs w:val="24"/>
          <w:lang w:val="en-GB" w:eastAsia="cs-CZ"/>
        </w:rPr>
        <w:t>Assessment of the compatibility of the proposed legislation with European Union legislation, case law of the European Union judiciary</w:t>
      </w:r>
      <w:r w:rsidRPr="00FA1502" w:rsidR="00E9595A">
        <w:rPr>
          <w:rFonts w:ascii="Times New Roman" w:eastAsia="Times New Roman" w:hAnsi="Times New Roman" w:cs="Times New Roman"/>
          <w:b/>
          <w:bCs/>
          <w:sz w:val="24"/>
          <w:szCs w:val="24"/>
          <w:lang w:val="en-GB" w:eastAsia="cs-CZ"/>
        </w:rPr>
        <w:t xml:space="preserve"> bodies</w:t>
      </w:r>
      <w:r w:rsidRPr="00FA1502">
        <w:rPr>
          <w:rFonts w:ascii="Times New Roman" w:eastAsia="Times New Roman" w:hAnsi="Times New Roman" w:cs="Times New Roman"/>
          <w:b/>
          <w:bCs/>
          <w:sz w:val="24"/>
          <w:szCs w:val="24"/>
          <w:lang w:val="en-GB" w:eastAsia="cs-CZ"/>
        </w:rPr>
        <w:t xml:space="preserve"> or general principles of European Union law </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w:t>
      </w:r>
      <w:r w:rsidRPr="00FA1502" w:rsidR="00E9595A">
        <w:rPr>
          <w:rFonts w:ascii="Times New Roman" w:eastAsia="Times New Roman" w:hAnsi="Times New Roman" w:cs="Times New Roman"/>
          <w:sz w:val="24"/>
          <w:szCs w:val="24"/>
          <w:lang w:val="en-GB" w:eastAsia="cs-CZ"/>
        </w:rPr>
        <w:t>proposed act</w:t>
      </w:r>
      <w:r w:rsidRPr="00FA1502">
        <w:rPr>
          <w:rFonts w:ascii="Times New Roman" w:eastAsia="Times New Roman" w:hAnsi="Times New Roman" w:cs="Times New Roman"/>
          <w:sz w:val="24"/>
          <w:szCs w:val="24"/>
          <w:lang w:val="en-GB" w:eastAsia="cs-CZ"/>
        </w:rPr>
        <w:t xml:space="preserve"> is fully in line with the obligations arising for the Czech Republic from its membership in the European Union. The </w:t>
      </w:r>
      <w:r w:rsidRPr="00FA1502" w:rsidR="00E9595A">
        <w:rPr>
          <w:rFonts w:ascii="Times New Roman" w:eastAsia="Times New Roman" w:hAnsi="Times New Roman" w:cs="Times New Roman"/>
          <w:sz w:val="24"/>
          <w:szCs w:val="24"/>
          <w:lang w:val="en-GB" w:eastAsia="cs-CZ"/>
        </w:rPr>
        <w:t xml:space="preserve">proposed act </w:t>
      </w:r>
      <w:r w:rsidRPr="00FA1502">
        <w:rPr>
          <w:rFonts w:ascii="Times New Roman" w:eastAsia="Times New Roman" w:hAnsi="Times New Roman" w:cs="Times New Roman"/>
          <w:sz w:val="24"/>
          <w:szCs w:val="24"/>
          <w:lang w:val="en-GB" w:eastAsia="cs-CZ"/>
        </w:rPr>
        <w:t>respects European legislation, even if it is not a transposition and thus a so-called national regulation.</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w:t>
      </w:r>
      <w:r w:rsidRPr="00FA1502" w:rsidR="00E9595A">
        <w:rPr>
          <w:rFonts w:ascii="Times New Roman" w:eastAsia="Times New Roman" w:hAnsi="Times New Roman" w:cs="Times New Roman"/>
          <w:sz w:val="24"/>
          <w:szCs w:val="24"/>
          <w:lang w:val="en-GB" w:eastAsia="cs-CZ"/>
        </w:rPr>
        <w:t xml:space="preserve">proposed act </w:t>
      </w:r>
      <w:r w:rsidRPr="00FA1502">
        <w:rPr>
          <w:rFonts w:ascii="Times New Roman" w:eastAsia="Times New Roman" w:hAnsi="Times New Roman" w:cs="Times New Roman"/>
          <w:sz w:val="24"/>
          <w:szCs w:val="24"/>
          <w:lang w:val="en-GB" w:eastAsia="cs-CZ"/>
        </w:rPr>
        <w:t>is in line with the case law of the Court of Justice of the European Union and the general legal principles of European Union law, the principle of equal treatment, non-discrimination and legal certainty. </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w:t>
      </w:r>
      <w:r w:rsidRPr="00FA1502" w:rsidR="004B7B54">
        <w:rPr>
          <w:rFonts w:ascii="Times New Roman" w:eastAsia="Times New Roman" w:hAnsi="Times New Roman" w:cs="Times New Roman"/>
          <w:sz w:val="24"/>
          <w:szCs w:val="24"/>
          <w:lang w:val="en-GB" w:eastAsia="cs-CZ"/>
        </w:rPr>
        <w:t xml:space="preserve">proposed act </w:t>
      </w:r>
      <w:r w:rsidRPr="00FA1502">
        <w:rPr>
          <w:rFonts w:ascii="Times New Roman" w:eastAsia="Times New Roman" w:hAnsi="Times New Roman" w:cs="Times New Roman"/>
          <w:sz w:val="24"/>
          <w:szCs w:val="24"/>
          <w:lang w:val="en-GB" w:eastAsia="cs-CZ"/>
        </w:rPr>
        <w:t xml:space="preserve">complies with the principles underlying the Treaty between the Kingdom of Belgium, the Kingdom of Denmark, the Federal Republic of Germany, the Hellenic Republic, the Kingdom of Spain, the French Republic, Ireland, the Italian Republic, the Grand Duchy of Luxembourg, the Kingdom of the Netherlands, Austria, </w:t>
      </w:r>
      <w:r w:rsidRPr="00FA1502" w:rsidR="00084306">
        <w:rPr>
          <w:rFonts w:ascii="Times New Roman" w:eastAsia="Times New Roman" w:hAnsi="Times New Roman" w:cs="Times New Roman"/>
          <w:sz w:val="24"/>
          <w:szCs w:val="24"/>
          <w:lang w:val="en-GB" w:eastAsia="cs-CZ"/>
        </w:rPr>
        <w:t xml:space="preserve">the </w:t>
      </w:r>
      <w:r w:rsidRPr="00FA1502">
        <w:rPr>
          <w:rFonts w:ascii="Times New Roman" w:eastAsia="Times New Roman" w:hAnsi="Times New Roman" w:cs="Times New Roman"/>
          <w:sz w:val="24"/>
          <w:szCs w:val="24"/>
          <w:lang w:val="en-GB" w:eastAsia="cs-CZ"/>
        </w:rPr>
        <w:t>Portug</w:t>
      </w:r>
      <w:r w:rsidRPr="00FA1502" w:rsidR="00084306">
        <w:rPr>
          <w:rFonts w:ascii="Times New Roman" w:eastAsia="Times New Roman" w:hAnsi="Times New Roman" w:cs="Times New Roman"/>
          <w:sz w:val="24"/>
          <w:szCs w:val="24"/>
          <w:lang w:val="en-GB" w:eastAsia="cs-CZ"/>
        </w:rPr>
        <w:t>uese Republic</w:t>
      </w:r>
      <w:r w:rsidRPr="00FA1502">
        <w:rPr>
          <w:rFonts w:ascii="Times New Roman" w:eastAsia="Times New Roman" w:hAnsi="Times New Roman" w:cs="Times New Roman"/>
          <w:sz w:val="24"/>
          <w:szCs w:val="24"/>
          <w:lang w:val="en-GB" w:eastAsia="cs-CZ"/>
        </w:rPr>
        <w:t>,</w:t>
      </w:r>
      <w:r w:rsidRPr="00FA1502" w:rsidR="00084306">
        <w:rPr>
          <w:rFonts w:ascii="Times New Roman" w:eastAsia="Times New Roman" w:hAnsi="Times New Roman" w:cs="Times New Roman"/>
          <w:sz w:val="24"/>
          <w:szCs w:val="24"/>
          <w:lang w:val="en-GB" w:eastAsia="cs-CZ"/>
        </w:rPr>
        <w:t xml:space="preserve"> the</w:t>
      </w:r>
      <w:r w:rsidRPr="00FA1502">
        <w:rPr>
          <w:rFonts w:ascii="Times New Roman" w:eastAsia="Times New Roman" w:hAnsi="Times New Roman" w:cs="Times New Roman"/>
          <w:sz w:val="24"/>
          <w:szCs w:val="24"/>
          <w:lang w:val="en-GB" w:eastAsia="cs-CZ"/>
        </w:rPr>
        <w:t xml:space="preserve"> </w:t>
      </w:r>
      <w:r w:rsidRPr="00FA1502" w:rsidR="00084306">
        <w:rPr>
          <w:rFonts w:ascii="Times New Roman" w:eastAsia="Times New Roman" w:hAnsi="Times New Roman" w:cs="Times New Roman"/>
          <w:sz w:val="24"/>
          <w:szCs w:val="24"/>
          <w:lang w:val="en-GB" w:eastAsia="cs-CZ"/>
        </w:rPr>
        <w:t xml:space="preserve">Republic of </w:t>
      </w:r>
      <w:r w:rsidRPr="00FA1502">
        <w:rPr>
          <w:rFonts w:ascii="Times New Roman" w:eastAsia="Times New Roman" w:hAnsi="Times New Roman" w:cs="Times New Roman"/>
          <w:sz w:val="24"/>
          <w:szCs w:val="24"/>
          <w:lang w:val="en-GB" w:eastAsia="cs-CZ"/>
        </w:rPr>
        <w:t xml:space="preserve">Finland, </w:t>
      </w:r>
      <w:r w:rsidRPr="00FA1502" w:rsidR="00084306">
        <w:rPr>
          <w:rFonts w:ascii="Times New Roman" w:eastAsia="Times New Roman" w:hAnsi="Times New Roman" w:cs="Times New Roman"/>
          <w:sz w:val="24"/>
          <w:szCs w:val="24"/>
          <w:lang w:val="en-GB" w:eastAsia="cs-CZ"/>
        </w:rPr>
        <w:t xml:space="preserve">the </w:t>
      </w:r>
      <w:r w:rsidRPr="00FA1502">
        <w:rPr>
          <w:rFonts w:ascii="Times New Roman" w:eastAsia="Times New Roman" w:hAnsi="Times New Roman" w:cs="Times New Roman"/>
          <w:sz w:val="24"/>
          <w:szCs w:val="24"/>
          <w:lang w:val="en-GB" w:eastAsia="cs-CZ"/>
        </w:rPr>
        <w:t>Kingdom</w:t>
      </w:r>
      <w:r w:rsidRPr="00FA1502" w:rsidR="00084306">
        <w:rPr>
          <w:rFonts w:ascii="Times New Roman" w:eastAsia="Times New Roman" w:hAnsi="Times New Roman" w:cs="Times New Roman"/>
          <w:sz w:val="24"/>
          <w:szCs w:val="24"/>
          <w:lang w:val="en-GB" w:eastAsia="cs-CZ"/>
        </w:rPr>
        <w:t xml:space="preserve"> of Sweden</w:t>
      </w:r>
      <w:r w:rsidRPr="00FA1502">
        <w:rPr>
          <w:rFonts w:ascii="Times New Roman" w:eastAsia="Times New Roman" w:hAnsi="Times New Roman" w:cs="Times New Roman"/>
          <w:sz w:val="24"/>
          <w:szCs w:val="24"/>
          <w:lang w:val="en-GB" w:eastAsia="cs-CZ"/>
        </w:rPr>
        <w:t xml:space="preserve">, the United Kingdom of Great Britain and Northern Ireland (Member States of the European Union) and the Czech Republic, </w:t>
      </w:r>
      <w:r w:rsidRPr="00FA1502" w:rsidR="00084306">
        <w:rPr>
          <w:rFonts w:ascii="Times New Roman" w:eastAsia="Times New Roman" w:hAnsi="Times New Roman" w:cs="Times New Roman"/>
          <w:sz w:val="24"/>
          <w:szCs w:val="24"/>
          <w:lang w:val="en-GB" w:eastAsia="cs-CZ"/>
        </w:rPr>
        <w:t>the Republic of Estonia</w:t>
      </w:r>
      <w:r w:rsidRPr="00FA1502">
        <w:rPr>
          <w:rFonts w:ascii="Times New Roman" w:eastAsia="Times New Roman" w:hAnsi="Times New Roman" w:cs="Times New Roman"/>
          <w:sz w:val="24"/>
          <w:szCs w:val="24"/>
          <w:lang w:val="en-GB" w:eastAsia="cs-CZ"/>
        </w:rPr>
        <w:t>,</w:t>
      </w:r>
      <w:r w:rsidRPr="00FA1502" w:rsidR="00084306">
        <w:rPr>
          <w:rFonts w:ascii="Times New Roman" w:eastAsia="Times New Roman" w:hAnsi="Times New Roman" w:cs="Times New Roman"/>
          <w:sz w:val="24"/>
          <w:szCs w:val="24"/>
          <w:lang w:val="en-GB" w:eastAsia="cs-CZ"/>
        </w:rPr>
        <w:t xml:space="preserve"> the</w:t>
      </w:r>
      <w:r w:rsidRPr="00FA1502">
        <w:rPr>
          <w:rFonts w:ascii="Times New Roman" w:eastAsia="Times New Roman" w:hAnsi="Times New Roman" w:cs="Times New Roman"/>
          <w:sz w:val="24"/>
          <w:szCs w:val="24"/>
          <w:lang w:val="en-GB" w:eastAsia="cs-CZ"/>
        </w:rPr>
        <w:t xml:space="preserve"> </w:t>
      </w:r>
      <w:r w:rsidRPr="00FA1502" w:rsidR="00084306">
        <w:rPr>
          <w:rFonts w:ascii="Times New Roman" w:eastAsia="Times New Roman" w:hAnsi="Times New Roman" w:cs="Times New Roman"/>
          <w:sz w:val="24"/>
          <w:szCs w:val="24"/>
          <w:lang w:val="en-GB" w:eastAsia="cs-CZ"/>
        </w:rPr>
        <w:t xml:space="preserve">Republic of </w:t>
      </w:r>
      <w:r w:rsidRPr="00FA1502">
        <w:rPr>
          <w:rFonts w:ascii="Times New Roman" w:eastAsia="Times New Roman" w:hAnsi="Times New Roman" w:cs="Times New Roman"/>
          <w:sz w:val="24"/>
          <w:szCs w:val="24"/>
          <w:lang w:val="en-GB" w:eastAsia="cs-CZ"/>
        </w:rPr>
        <w:t xml:space="preserve">Cyprus, </w:t>
      </w:r>
      <w:r w:rsidRPr="00FA1502" w:rsidR="00084306">
        <w:rPr>
          <w:rFonts w:ascii="Times New Roman" w:eastAsia="Times New Roman" w:hAnsi="Times New Roman" w:cs="Times New Roman"/>
          <w:sz w:val="24"/>
          <w:szCs w:val="24"/>
          <w:lang w:val="en-GB" w:eastAsia="cs-CZ"/>
        </w:rPr>
        <w:t xml:space="preserve">the Republic of </w:t>
      </w:r>
      <w:r w:rsidRPr="00FA1502">
        <w:rPr>
          <w:rFonts w:ascii="Times New Roman" w:eastAsia="Times New Roman" w:hAnsi="Times New Roman" w:cs="Times New Roman"/>
          <w:sz w:val="24"/>
          <w:szCs w:val="24"/>
          <w:lang w:val="en-GB" w:eastAsia="cs-CZ"/>
        </w:rPr>
        <w:t xml:space="preserve">Latvia, </w:t>
      </w:r>
      <w:r w:rsidRPr="00FA1502" w:rsidR="00084306">
        <w:rPr>
          <w:rFonts w:ascii="Times New Roman" w:eastAsia="Times New Roman" w:hAnsi="Times New Roman" w:cs="Times New Roman"/>
          <w:sz w:val="24"/>
          <w:szCs w:val="24"/>
          <w:lang w:val="en-GB" w:eastAsia="cs-CZ"/>
        </w:rPr>
        <w:t xml:space="preserve">the Republic of </w:t>
      </w:r>
      <w:r w:rsidRPr="00FA1502">
        <w:rPr>
          <w:rFonts w:ascii="Times New Roman" w:eastAsia="Times New Roman" w:hAnsi="Times New Roman" w:cs="Times New Roman"/>
          <w:sz w:val="24"/>
          <w:szCs w:val="24"/>
          <w:lang w:val="en-GB" w:eastAsia="cs-CZ"/>
        </w:rPr>
        <w:t xml:space="preserve">Lithuania, Hungary, </w:t>
      </w:r>
      <w:r w:rsidRPr="00FA1502" w:rsidR="002340FC">
        <w:rPr>
          <w:rFonts w:ascii="Times New Roman" w:eastAsia="Times New Roman" w:hAnsi="Times New Roman" w:cs="Times New Roman"/>
          <w:sz w:val="24"/>
          <w:szCs w:val="24"/>
          <w:lang w:val="en-GB" w:eastAsia="cs-CZ"/>
        </w:rPr>
        <w:t>the Republic of Malta</w:t>
      </w:r>
      <w:r w:rsidRPr="00FA1502">
        <w:rPr>
          <w:rFonts w:ascii="Times New Roman" w:eastAsia="Times New Roman" w:hAnsi="Times New Roman" w:cs="Times New Roman"/>
          <w:sz w:val="24"/>
          <w:szCs w:val="24"/>
          <w:lang w:val="en-GB" w:eastAsia="cs-CZ"/>
        </w:rPr>
        <w:t xml:space="preserve">, </w:t>
      </w:r>
      <w:r w:rsidRPr="00FA1502" w:rsidR="002340FC">
        <w:rPr>
          <w:rFonts w:ascii="Times New Roman" w:eastAsia="Times New Roman" w:hAnsi="Times New Roman" w:cs="Times New Roman"/>
          <w:sz w:val="24"/>
          <w:szCs w:val="24"/>
          <w:lang w:val="en-GB" w:eastAsia="cs-CZ"/>
        </w:rPr>
        <w:t xml:space="preserve">the Republic of </w:t>
      </w:r>
      <w:r w:rsidRPr="00FA1502">
        <w:rPr>
          <w:rFonts w:ascii="Times New Roman" w:eastAsia="Times New Roman" w:hAnsi="Times New Roman" w:cs="Times New Roman"/>
          <w:sz w:val="24"/>
          <w:szCs w:val="24"/>
          <w:lang w:val="en-GB" w:eastAsia="cs-CZ"/>
        </w:rPr>
        <w:t xml:space="preserve">Poland, the Republic of Slovenia, the Slovak Republic on the accession of the Czech Republic, </w:t>
      </w:r>
      <w:r w:rsidRPr="00FA1502" w:rsidR="00084306">
        <w:rPr>
          <w:rFonts w:ascii="Times New Roman" w:eastAsia="Times New Roman" w:hAnsi="Times New Roman" w:cs="Times New Roman"/>
          <w:sz w:val="24"/>
          <w:szCs w:val="24"/>
          <w:lang w:val="en-GB" w:eastAsia="cs-CZ"/>
        </w:rPr>
        <w:t>t</w:t>
      </w:r>
      <w:r w:rsidRPr="00FA1502">
        <w:rPr>
          <w:rFonts w:ascii="Times New Roman" w:eastAsia="Times New Roman" w:hAnsi="Times New Roman" w:cs="Times New Roman"/>
          <w:sz w:val="24"/>
          <w:szCs w:val="24"/>
          <w:lang w:val="en-GB" w:eastAsia="cs-CZ"/>
        </w:rPr>
        <w:t xml:space="preserve">he Republic of Estonia, the Republic of Cyprus, the Republic of Latvia, the Republic of Lithuania, the Republic of Hungary, the Republic of Malta, the Republic of Poland, the Republic of Slovenia and the Slovak Republic </w:t>
      </w:r>
      <w:r w:rsidRPr="00FA1502" w:rsidR="002340FC">
        <w:rPr>
          <w:rFonts w:ascii="Times New Roman" w:eastAsia="Times New Roman" w:hAnsi="Times New Roman" w:cs="Times New Roman"/>
          <w:sz w:val="24"/>
          <w:szCs w:val="24"/>
          <w:lang w:val="en-GB" w:eastAsia="cs-CZ"/>
        </w:rPr>
        <w:t>to</w:t>
      </w:r>
      <w:r w:rsidRPr="00FA1502">
        <w:rPr>
          <w:rFonts w:ascii="Times New Roman" w:eastAsia="Times New Roman" w:hAnsi="Times New Roman" w:cs="Times New Roman"/>
          <w:sz w:val="24"/>
          <w:szCs w:val="24"/>
          <w:lang w:val="en-GB" w:eastAsia="cs-CZ"/>
        </w:rPr>
        <w:t xml:space="preserve"> the European Union, as published by the Ministry and Foreign Affairs in the Collection of International Treaties under No. 44/2004 Coll. </w:t>
      </w:r>
      <w:r w:rsidRPr="00FA1502" w:rsidR="00832C81">
        <w:rPr>
          <w:rFonts w:ascii="Times New Roman" w:eastAsia="Times New Roman" w:hAnsi="Times New Roman" w:cs="Times New Roman"/>
          <w:sz w:val="24"/>
          <w:szCs w:val="24"/>
          <w:lang w:val="en-GB" w:eastAsia="cs-CZ"/>
        </w:rPr>
        <w:t>i</w:t>
      </w:r>
      <w:r w:rsidRPr="00FA1502">
        <w:rPr>
          <w:rFonts w:ascii="Times New Roman" w:eastAsia="Times New Roman" w:hAnsi="Times New Roman" w:cs="Times New Roman"/>
          <w:sz w:val="24"/>
          <w:szCs w:val="24"/>
          <w:lang w:val="en-GB" w:eastAsia="cs-CZ"/>
        </w:rPr>
        <w:t xml:space="preserve">. </w:t>
      </w:r>
      <w:r w:rsidRPr="00FA1502" w:rsidR="00832C81">
        <w:rPr>
          <w:rFonts w:ascii="Times New Roman" w:eastAsia="Times New Roman" w:hAnsi="Times New Roman" w:cs="Times New Roman"/>
          <w:sz w:val="24"/>
          <w:szCs w:val="24"/>
          <w:lang w:val="en-GB" w:eastAsia="cs-CZ"/>
        </w:rPr>
        <w:t>t</w:t>
      </w:r>
      <w:r w:rsidRPr="00FA1502">
        <w:rPr>
          <w:rFonts w:ascii="Times New Roman" w:eastAsia="Times New Roman" w:hAnsi="Times New Roman" w:cs="Times New Roman"/>
          <w:sz w:val="24"/>
          <w:szCs w:val="24"/>
          <w:lang w:val="en-GB" w:eastAsia="cs-CZ"/>
        </w:rPr>
        <w:t xml:space="preserve">. The </w:t>
      </w:r>
      <w:r w:rsidRPr="00FA1502" w:rsidR="00832C81">
        <w:rPr>
          <w:rFonts w:ascii="Times New Roman" w:eastAsia="Times New Roman" w:hAnsi="Times New Roman" w:cs="Times New Roman"/>
          <w:sz w:val="24"/>
          <w:szCs w:val="24"/>
          <w:lang w:val="en-GB" w:eastAsia="cs-CZ"/>
        </w:rPr>
        <w:t>proposed act</w:t>
      </w:r>
      <w:r w:rsidRPr="00FA1502">
        <w:rPr>
          <w:rFonts w:ascii="Times New Roman" w:eastAsia="Times New Roman" w:hAnsi="Times New Roman" w:cs="Times New Roman"/>
          <w:sz w:val="24"/>
          <w:szCs w:val="24"/>
          <w:lang w:val="en-GB" w:eastAsia="cs-CZ"/>
        </w:rPr>
        <w:t xml:space="preserve"> is in line with the Agreement on the European Economic Area. </w:t>
      </w:r>
    </w:p>
    <w:p w:rsidR="00176359" w:rsidRPr="00FA1502" w:rsidP="00A7116F">
      <w:pPr>
        <w:keepNext/>
        <w:widowControl w:val="0"/>
        <w:numPr>
          <w:ilvl w:val="0"/>
          <w:numId w:val="9"/>
        </w:numPr>
        <w:spacing w:before="120" w:after="120" w:line="240" w:lineRule="auto"/>
        <w:ind w:left="709" w:hanging="441"/>
        <w:jc w:val="both"/>
        <w:rPr>
          <w:rFonts w:ascii="Times New Roman" w:eastAsia="Times New Roman" w:hAnsi="Times New Roman" w:cs="Times New Roman"/>
          <w:b/>
          <w:bCs/>
          <w:sz w:val="24"/>
          <w:szCs w:val="24"/>
          <w:lang w:val="en-GB" w:eastAsia="cs-CZ"/>
        </w:rPr>
      </w:pPr>
      <w:r w:rsidRPr="00FA1502">
        <w:rPr>
          <w:rFonts w:ascii="Times New Roman" w:eastAsia="Times New Roman" w:hAnsi="Times New Roman" w:cs="Times New Roman"/>
          <w:b/>
          <w:bCs/>
          <w:sz w:val="24"/>
          <w:szCs w:val="24"/>
          <w:lang w:val="en-GB" w:eastAsia="cs-CZ"/>
        </w:rPr>
        <w:t>Assessment of compliance of the proposed legislation with international treaties by which the Czech Republic is bound </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w:t>
      </w:r>
      <w:r w:rsidRPr="00FA1502" w:rsidR="00832C81">
        <w:rPr>
          <w:rFonts w:ascii="Times New Roman" w:eastAsia="Times New Roman" w:hAnsi="Times New Roman" w:cs="Times New Roman"/>
          <w:sz w:val="24"/>
          <w:szCs w:val="24"/>
          <w:lang w:val="en-GB" w:eastAsia="cs-CZ"/>
        </w:rPr>
        <w:t>proposed law</w:t>
      </w:r>
      <w:r w:rsidRPr="00FA1502">
        <w:rPr>
          <w:rFonts w:ascii="Times New Roman" w:eastAsia="Times New Roman" w:hAnsi="Times New Roman" w:cs="Times New Roman"/>
          <w:sz w:val="24"/>
          <w:szCs w:val="24"/>
          <w:lang w:val="en-GB" w:eastAsia="cs-CZ"/>
        </w:rPr>
        <w:t xml:space="preserve"> is in line with the Agreement on the European Economic Area, as well as with other primary and secondary law of the European Union.</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Possible human rights interventions are not foreseen by the amendment to the </w:t>
      </w:r>
      <w:r w:rsidRPr="00FA1502" w:rsidR="00832C81">
        <w:rPr>
          <w:rFonts w:ascii="Times New Roman" w:eastAsia="Times New Roman" w:hAnsi="Times New Roman" w:cs="Times New Roman"/>
          <w:sz w:val="24"/>
          <w:szCs w:val="24"/>
          <w:lang w:val="en-GB" w:eastAsia="cs-CZ"/>
        </w:rPr>
        <w:t>a</w:t>
      </w:r>
      <w:r w:rsidRPr="00FA1502" w:rsidR="00EC7F70">
        <w:rPr>
          <w:rFonts w:ascii="Times New Roman" w:eastAsia="Times New Roman" w:hAnsi="Times New Roman" w:cs="Times New Roman"/>
          <w:sz w:val="24"/>
          <w:szCs w:val="24"/>
          <w:lang w:val="en-GB" w:eastAsia="cs-CZ"/>
        </w:rPr>
        <w:t>ct.</w:t>
      </w:r>
    </w:p>
    <w:p w:rsidR="00176359" w:rsidRPr="00FA1502" w:rsidP="00A7116F">
      <w:pPr>
        <w:keepNext/>
        <w:widowControl w:val="0"/>
        <w:numPr>
          <w:ilvl w:val="0"/>
          <w:numId w:val="10"/>
        </w:numPr>
        <w:spacing w:before="120" w:after="120" w:line="240" w:lineRule="auto"/>
        <w:ind w:left="709" w:hanging="441"/>
        <w:jc w:val="both"/>
        <w:rPr>
          <w:rFonts w:ascii="Times New Roman" w:eastAsia="Times New Roman" w:hAnsi="Times New Roman" w:cs="Times New Roman"/>
          <w:b/>
          <w:bCs/>
          <w:sz w:val="24"/>
          <w:szCs w:val="24"/>
          <w:lang w:val="en-GB" w:eastAsia="cs-CZ"/>
        </w:rPr>
      </w:pPr>
      <w:r w:rsidRPr="00FA1502">
        <w:rPr>
          <w:rFonts w:ascii="Times New Roman" w:eastAsia="Times New Roman" w:hAnsi="Times New Roman" w:cs="Times New Roman"/>
          <w:b/>
          <w:bCs/>
          <w:sz w:val="24"/>
          <w:szCs w:val="24"/>
          <w:lang w:val="en-GB" w:eastAsia="cs-CZ"/>
        </w:rPr>
        <w:t>The expected economic and financial impact of the proposed legislation on the state budget, other public budgets and the business environment of the Czech Republic </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proposal to introduce a</w:t>
      </w:r>
      <w:r w:rsidRPr="00FA1502" w:rsidR="00EC7F70">
        <w:rPr>
          <w:rFonts w:ascii="Times New Roman" w:eastAsia="Times New Roman" w:hAnsi="Times New Roman" w:cs="Times New Roman"/>
          <w:sz w:val="24"/>
          <w:szCs w:val="24"/>
          <w:lang w:val="en-GB" w:eastAsia="cs-CZ"/>
        </w:rPr>
        <w:t>n</w:t>
      </w:r>
      <w:r w:rsidRPr="00FA1502">
        <w:rPr>
          <w:rFonts w:ascii="Times New Roman" w:eastAsia="Times New Roman" w:hAnsi="Times New Roman" w:cs="Times New Roman"/>
          <w:sz w:val="24"/>
          <w:szCs w:val="24"/>
          <w:lang w:val="en-GB" w:eastAsia="cs-CZ"/>
        </w:rPr>
        <w:t xml:space="preserve"> </w:t>
      </w:r>
      <w:r w:rsidRPr="00FA1502" w:rsidR="00EC7F70">
        <w:rPr>
          <w:rFonts w:ascii="Times New Roman" w:eastAsia="Times New Roman" w:hAnsi="Times New Roman" w:cs="Times New Roman"/>
          <w:sz w:val="24"/>
          <w:szCs w:val="24"/>
          <w:lang w:val="en-GB" w:eastAsia="cs-CZ"/>
        </w:rPr>
        <w:t>individual savings</w:t>
      </w:r>
      <w:r w:rsidRPr="00FA1502">
        <w:rPr>
          <w:rFonts w:ascii="Times New Roman" w:eastAsia="Times New Roman" w:hAnsi="Times New Roman" w:cs="Times New Roman"/>
          <w:sz w:val="24"/>
          <w:szCs w:val="24"/>
          <w:lang w:val="en-GB" w:eastAsia="cs-CZ"/>
        </w:rPr>
        <w:t xml:space="preserve"> account (and the resulting tax relief) may have a negative impact on public budgets. Basically, it is proposed to extend the possibilities of tax relief to a new product - </w:t>
      </w:r>
      <w:r w:rsidRPr="00FA1502" w:rsidR="00EC7F70">
        <w:rPr>
          <w:rFonts w:ascii="Times New Roman" w:eastAsia="Times New Roman" w:hAnsi="Times New Roman" w:cs="Times New Roman"/>
          <w:sz w:val="24"/>
          <w:szCs w:val="24"/>
          <w:lang w:val="en-GB" w:eastAsia="cs-CZ"/>
        </w:rPr>
        <w:t xml:space="preserve">individual savings </w:t>
      </w:r>
      <w:r w:rsidRPr="00FA1502">
        <w:rPr>
          <w:rFonts w:ascii="Times New Roman" w:eastAsia="Times New Roman" w:hAnsi="Times New Roman" w:cs="Times New Roman"/>
          <w:sz w:val="24"/>
          <w:szCs w:val="24"/>
          <w:lang w:val="en-GB" w:eastAsia="cs-CZ"/>
        </w:rPr>
        <w:t>account. Negative impacts can be generated in two ways, corresponding to forms of tax relief:</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i/>
          <w:iCs/>
          <w:sz w:val="24"/>
          <w:szCs w:val="24"/>
          <w:lang w:val="en-GB" w:eastAsia="cs-CZ"/>
        </w:rPr>
        <w:t xml:space="preserve">1. Payments by employers as income of an </w:t>
      </w:r>
      <w:r w:rsidRPr="00FA1502" w:rsidR="00EC7F70">
        <w:rPr>
          <w:rFonts w:ascii="Times New Roman" w:eastAsia="Times New Roman" w:hAnsi="Times New Roman" w:cs="Times New Roman"/>
          <w:b/>
          <w:bCs/>
          <w:i/>
          <w:iCs/>
          <w:sz w:val="24"/>
          <w:szCs w:val="24"/>
          <w:lang w:val="en-GB" w:eastAsia="cs-CZ"/>
        </w:rPr>
        <w:t>employee exempt from income tax</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In this case, the negative impact would be generated solely because of the extension of the titles to which the employer can contribute, while the employees would be exempt from income</w:t>
      </w:r>
      <w:r w:rsidRPr="00FA1502" w:rsidR="004627B7">
        <w:rPr>
          <w:rFonts w:ascii="Times New Roman" w:eastAsia="Times New Roman" w:hAnsi="Times New Roman" w:cs="Times New Roman"/>
          <w:sz w:val="24"/>
          <w:szCs w:val="24"/>
          <w:lang w:val="en-GB" w:eastAsia="cs-CZ"/>
        </w:rPr>
        <w:t xml:space="preserve"> tax</w:t>
      </w:r>
      <w:r w:rsidRPr="00FA1502">
        <w:rPr>
          <w:rFonts w:ascii="Times New Roman" w:eastAsia="Times New Roman" w:hAnsi="Times New Roman" w:cs="Times New Roman"/>
          <w:sz w:val="24"/>
          <w:szCs w:val="24"/>
          <w:lang w:val="en-GB" w:eastAsia="cs-CZ"/>
        </w:rPr>
        <w:t xml:space="preserve">. For the existing titles </w:t>
      </w:r>
      <w:r w:rsidRPr="00FA1502" w:rsidR="005D150E">
        <w:rPr>
          <w:rFonts w:ascii="Times New Roman" w:eastAsia="Times New Roman" w:hAnsi="Times New Roman" w:cs="Times New Roman"/>
          <w:sz w:val="24"/>
          <w:szCs w:val="24"/>
          <w:lang w:val="en-GB" w:eastAsia="cs-CZ"/>
        </w:rPr>
        <w:t xml:space="preserve">the limit is already unified </w:t>
      </w:r>
      <w:r w:rsidRPr="00FA1502">
        <w:rPr>
          <w:rFonts w:ascii="Times New Roman" w:eastAsia="Times New Roman" w:hAnsi="Times New Roman" w:cs="Times New Roman"/>
          <w:sz w:val="24"/>
          <w:szCs w:val="24"/>
          <w:lang w:val="en-GB" w:eastAsia="cs-CZ"/>
        </w:rPr>
        <w:t xml:space="preserve">to </w:t>
      </w:r>
      <w:r w:rsidRPr="00FA1502" w:rsidR="005D150E">
        <w:rPr>
          <w:rFonts w:ascii="Times New Roman" w:eastAsia="Times New Roman" w:hAnsi="Times New Roman" w:cs="Times New Roman"/>
          <w:sz w:val="24"/>
          <w:szCs w:val="24"/>
          <w:lang w:val="en-GB" w:eastAsia="cs-CZ"/>
        </w:rPr>
        <w:t xml:space="preserve">CZK </w:t>
      </w:r>
      <w:r w:rsidRPr="00FA1502">
        <w:rPr>
          <w:rFonts w:ascii="Times New Roman" w:eastAsia="Times New Roman" w:hAnsi="Times New Roman" w:cs="Times New Roman"/>
          <w:sz w:val="24"/>
          <w:szCs w:val="24"/>
          <w:lang w:val="en-GB" w:eastAsia="cs-CZ"/>
        </w:rPr>
        <w:t>50</w:t>
      </w:r>
      <w:r w:rsidRPr="00FA1502" w:rsidR="005D150E">
        <w:rPr>
          <w:rFonts w:ascii="Times New Roman" w:eastAsia="Times New Roman" w:hAnsi="Times New Roman" w:cs="Times New Roman"/>
          <w:sz w:val="24"/>
          <w:szCs w:val="24"/>
          <w:lang w:val="en-GB" w:eastAsia="cs-CZ"/>
        </w:rPr>
        <w:t>,000 and t</w:t>
      </w:r>
      <w:r w:rsidRPr="00FA1502">
        <w:rPr>
          <w:rFonts w:ascii="Times New Roman" w:eastAsia="Times New Roman" w:hAnsi="Times New Roman" w:cs="Times New Roman"/>
          <w:sz w:val="24"/>
          <w:szCs w:val="24"/>
          <w:lang w:val="en-GB" w:eastAsia="cs-CZ"/>
        </w:rPr>
        <w:t xml:space="preserve">he proposed </w:t>
      </w:r>
      <w:r w:rsidRPr="00FA1502" w:rsidR="005D150E">
        <w:rPr>
          <w:rFonts w:ascii="Times New Roman" w:eastAsia="Times New Roman" w:hAnsi="Times New Roman" w:cs="Times New Roman"/>
          <w:sz w:val="24"/>
          <w:szCs w:val="24"/>
          <w:lang w:val="en-GB" w:eastAsia="cs-CZ"/>
        </w:rPr>
        <w:t>act</w:t>
      </w:r>
      <w:r w:rsidRPr="00FA1502">
        <w:rPr>
          <w:rFonts w:ascii="Times New Roman" w:eastAsia="Times New Roman" w:hAnsi="Times New Roman" w:cs="Times New Roman"/>
          <w:sz w:val="24"/>
          <w:szCs w:val="24"/>
          <w:lang w:val="en-GB" w:eastAsia="cs-CZ"/>
        </w:rPr>
        <w:t xml:space="preserve"> does not change anything for them. </w:t>
      </w:r>
      <w:r w:rsidRPr="00FA1502" w:rsidR="005D150E">
        <w:rPr>
          <w:rFonts w:ascii="Times New Roman" w:eastAsia="Times New Roman" w:hAnsi="Times New Roman" w:cs="Times New Roman"/>
          <w:sz w:val="24"/>
          <w:szCs w:val="24"/>
          <w:lang w:val="en-GB" w:eastAsia="cs-CZ"/>
        </w:rPr>
        <w:t>The impact</w:t>
      </w:r>
      <w:r w:rsidRPr="00FA1502">
        <w:rPr>
          <w:rFonts w:ascii="Times New Roman" w:eastAsia="Times New Roman" w:hAnsi="Times New Roman" w:cs="Times New Roman"/>
          <w:sz w:val="24"/>
          <w:szCs w:val="24"/>
          <w:lang w:val="en-GB" w:eastAsia="cs-CZ"/>
        </w:rPr>
        <w:t xml:space="preserve"> could therefore be generated in cases where the </w:t>
      </w:r>
      <w:r w:rsidRPr="00FA1502" w:rsidR="005D150E">
        <w:rPr>
          <w:rFonts w:ascii="Times New Roman" w:eastAsia="Times New Roman" w:hAnsi="Times New Roman" w:cs="Times New Roman"/>
          <w:sz w:val="24"/>
          <w:szCs w:val="24"/>
          <w:lang w:val="en-GB" w:eastAsia="cs-CZ"/>
        </w:rPr>
        <w:t>following would apply</w:t>
      </w:r>
      <w:r w:rsidRPr="00FA1502">
        <w:rPr>
          <w:rFonts w:ascii="Times New Roman" w:eastAsia="Times New Roman" w:hAnsi="Times New Roman" w:cs="Times New Roman"/>
          <w:sz w:val="24"/>
          <w:szCs w:val="24"/>
          <w:lang w:val="en-GB" w:eastAsia="cs-CZ"/>
        </w:rPr>
        <w:t xml:space="preserve">: the employee will have an </w:t>
      </w:r>
      <w:r w:rsidRPr="00FA1502" w:rsidR="005D150E">
        <w:rPr>
          <w:rFonts w:ascii="Times New Roman" w:eastAsia="Times New Roman" w:hAnsi="Times New Roman" w:cs="Times New Roman"/>
          <w:sz w:val="24"/>
          <w:szCs w:val="24"/>
          <w:lang w:val="en-GB" w:eastAsia="cs-CZ"/>
        </w:rPr>
        <w:t>individual savings account</w:t>
      </w:r>
      <w:r w:rsidRPr="00FA1502">
        <w:rPr>
          <w:rFonts w:ascii="Times New Roman" w:eastAsia="Times New Roman" w:hAnsi="Times New Roman" w:cs="Times New Roman"/>
          <w:sz w:val="24"/>
          <w:szCs w:val="24"/>
          <w:lang w:val="en-GB" w:eastAsia="cs-CZ"/>
        </w:rPr>
        <w:t xml:space="preserve"> and the employer will be willing to </w:t>
      </w:r>
      <w:r w:rsidRPr="00FA1502" w:rsidR="005D150E">
        <w:rPr>
          <w:rFonts w:ascii="Times New Roman" w:eastAsia="Times New Roman" w:hAnsi="Times New Roman" w:cs="Times New Roman"/>
          <w:sz w:val="24"/>
          <w:szCs w:val="24"/>
          <w:lang w:val="en-GB" w:eastAsia="cs-CZ"/>
        </w:rPr>
        <w:t xml:space="preserve">newly </w:t>
      </w:r>
      <w:r w:rsidRPr="00FA1502">
        <w:rPr>
          <w:rFonts w:ascii="Times New Roman" w:eastAsia="Times New Roman" w:hAnsi="Times New Roman" w:cs="Times New Roman"/>
          <w:sz w:val="24"/>
          <w:szCs w:val="24"/>
          <w:lang w:val="en-GB" w:eastAsia="cs-CZ"/>
        </w:rPr>
        <w:t>contribute, i</w:t>
      </w:r>
      <w:r w:rsidRPr="00FA1502" w:rsidR="005D150E">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5D150E">
        <w:rPr>
          <w:rFonts w:ascii="Times New Roman" w:eastAsia="Times New Roman" w:hAnsi="Times New Roman" w:cs="Times New Roman"/>
          <w:sz w:val="24"/>
          <w:szCs w:val="24"/>
          <w:lang w:val="en-GB" w:eastAsia="cs-CZ"/>
        </w:rPr>
        <w:t>, b</w:t>
      </w:r>
      <w:r w:rsidRPr="00FA1502">
        <w:rPr>
          <w:rFonts w:ascii="Times New Roman" w:eastAsia="Times New Roman" w:hAnsi="Times New Roman" w:cs="Times New Roman"/>
          <w:sz w:val="24"/>
          <w:szCs w:val="24"/>
          <w:lang w:val="en-GB" w:eastAsia="cs-CZ"/>
        </w:rPr>
        <w:t>eyond the existing exempted contributions (in compliance with statutory conditions). The negative impact of titles</w:t>
      </w:r>
      <w:r w:rsidRPr="00FA1502" w:rsidR="00E75FB7">
        <w:rPr>
          <w:rFonts w:ascii="Times New Roman" w:eastAsia="Times New Roman" w:hAnsi="Times New Roman" w:cs="Times New Roman"/>
          <w:sz w:val="24"/>
          <w:szCs w:val="24"/>
          <w:lang w:val="en-GB" w:eastAsia="cs-CZ"/>
        </w:rPr>
        <w:t xml:space="preserve"> which can be contributed to</w:t>
      </w:r>
      <w:r w:rsidRPr="00FA1502">
        <w:rPr>
          <w:rFonts w:ascii="Times New Roman" w:eastAsia="Times New Roman" w:hAnsi="Times New Roman" w:cs="Times New Roman"/>
          <w:sz w:val="24"/>
          <w:szCs w:val="24"/>
          <w:lang w:val="en-GB" w:eastAsia="cs-CZ"/>
        </w:rPr>
        <w:t xml:space="preserve"> cannot be </w:t>
      </w:r>
      <w:r w:rsidRPr="00FA1502" w:rsidR="00E75FB7">
        <w:rPr>
          <w:rFonts w:ascii="Times New Roman" w:eastAsia="Times New Roman" w:hAnsi="Times New Roman" w:cs="Times New Roman"/>
          <w:sz w:val="24"/>
          <w:szCs w:val="24"/>
          <w:lang w:val="en-GB" w:eastAsia="cs-CZ"/>
        </w:rPr>
        <w:t>assessed</w:t>
      </w:r>
      <w:r w:rsidRPr="00FA1502">
        <w:rPr>
          <w:rFonts w:ascii="Times New Roman" w:eastAsia="Times New Roman" w:hAnsi="Times New Roman" w:cs="Times New Roman"/>
          <w:sz w:val="24"/>
          <w:szCs w:val="24"/>
          <w:lang w:val="en-GB" w:eastAsia="cs-CZ"/>
        </w:rPr>
        <w:t xml:space="preserve"> due to lack </w:t>
      </w:r>
      <w:r w:rsidRPr="00FA1502">
        <w:rPr>
          <w:rFonts w:ascii="Times New Roman" w:eastAsia="Times New Roman" w:hAnsi="Times New Roman" w:cs="Times New Roman"/>
          <w:sz w:val="24"/>
          <w:szCs w:val="24"/>
          <w:lang w:val="en-GB" w:eastAsia="cs-CZ"/>
        </w:rPr>
        <w:t xml:space="preserve">of data sources. In addition, other factors, such as the development of unemployment, wages or conjuncture or the recession of the Czech economy or real interest rates, may also </w:t>
      </w:r>
      <w:r w:rsidRPr="00FA1502" w:rsidR="00E75FB7">
        <w:rPr>
          <w:rFonts w:ascii="Times New Roman" w:eastAsia="Times New Roman" w:hAnsi="Times New Roman" w:cs="Times New Roman"/>
          <w:sz w:val="24"/>
          <w:szCs w:val="24"/>
          <w:lang w:val="en-GB" w:eastAsia="cs-CZ"/>
        </w:rPr>
        <w:t>affect</w:t>
      </w:r>
      <w:r w:rsidRPr="00FA1502">
        <w:rPr>
          <w:rFonts w:ascii="Times New Roman" w:eastAsia="Times New Roman" w:hAnsi="Times New Roman" w:cs="Times New Roman"/>
          <w:sz w:val="24"/>
          <w:szCs w:val="24"/>
          <w:lang w:val="en-GB" w:eastAsia="cs-CZ"/>
        </w:rPr>
        <w:t xml:space="preserve"> the impact. However, given</w:t>
      </w:r>
      <w:r w:rsidRPr="00FA1502" w:rsidR="00257D58">
        <w:rPr>
          <w:rFonts w:ascii="Times New Roman" w:eastAsia="Times New Roman" w:hAnsi="Times New Roman" w:cs="Times New Roman"/>
          <w:sz w:val="24"/>
          <w:szCs w:val="24"/>
          <w:lang w:val="en-GB" w:eastAsia="cs-CZ"/>
        </w:rPr>
        <w:t xml:space="preserve"> the current level of employers</w:t>
      </w:r>
      <w:r w:rsidRPr="00FA1502">
        <w:rPr>
          <w:rFonts w:ascii="Times New Roman" w:eastAsia="Times New Roman" w:hAnsi="Times New Roman" w:cs="Times New Roman"/>
          <w:sz w:val="24"/>
          <w:szCs w:val="24"/>
          <w:lang w:val="en-GB" w:eastAsia="cs-CZ"/>
        </w:rPr>
        <w:t>'</w:t>
      </w:r>
      <w:r w:rsidRPr="00FA1502" w:rsidR="00257D58">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 xml:space="preserve">contributions and the assumed </w:t>
      </w:r>
      <w:r w:rsidRPr="00FA1502" w:rsidR="00257D58">
        <w:rPr>
          <w:rFonts w:ascii="Times New Roman" w:eastAsia="Times New Roman" w:hAnsi="Times New Roman" w:cs="Times New Roman"/>
          <w:sz w:val="24"/>
          <w:szCs w:val="24"/>
          <w:lang w:val="en-GB" w:eastAsia="cs-CZ"/>
        </w:rPr>
        <w:t>individual savings</w:t>
      </w:r>
      <w:r w:rsidRPr="00FA1502">
        <w:rPr>
          <w:rFonts w:ascii="Times New Roman" w:eastAsia="Times New Roman" w:hAnsi="Times New Roman" w:cs="Times New Roman"/>
          <w:sz w:val="24"/>
          <w:szCs w:val="24"/>
          <w:lang w:val="en-GB" w:eastAsia="cs-CZ"/>
        </w:rPr>
        <w:t xml:space="preserve"> account parameters, which are similar to the existing supported products, we do not expect a massive increase in employers</w:t>
      </w:r>
      <w:r w:rsidRPr="00FA1502" w:rsidR="00257D58">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interest in contributing to this new product. </w:t>
      </w:r>
      <w:r w:rsidRPr="00FA1502" w:rsidR="00257D58">
        <w:rPr>
          <w:rFonts w:ascii="Times New Roman" w:eastAsia="Times New Roman" w:hAnsi="Times New Roman" w:cs="Times New Roman"/>
          <w:sz w:val="24"/>
          <w:szCs w:val="24"/>
          <w:lang w:val="en-GB" w:eastAsia="cs-CZ"/>
        </w:rPr>
        <w:t>W</w:t>
      </w:r>
      <w:r w:rsidRPr="00FA1502">
        <w:rPr>
          <w:rFonts w:ascii="Times New Roman" w:eastAsia="Times New Roman" w:hAnsi="Times New Roman" w:cs="Times New Roman"/>
          <w:sz w:val="24"/>
          <w:szCs w:val="24"/>
          <w:lang w:val="en-GB" w:eastAsia="cs-CZ"/>
        </w:rPr>
        <w:t xml:space="preserve">e would </w:t>
      </w:r>
      <w:r w:rsidRPr="00FA1502" w:rsidR="00257D58">
        <w:rPr>
          <w:rFonts w:ascii="Times New Roman" w:eastAsia="Times New Roman" w:hAnsi="Times New Roman" w:cs="Times New Roman"/>
          <w:sz w:val="24"/>
          <w:szCs w:val="24"/>
          <w:lang w:val="en-GB" w:eastAsia="cs-CZ"/>
        </w:rPr>
        <w:t xml:space="preserve">rather </w:t>
      </w:r>
      <w:r w:rsidRPr="00FA1502">
        <w:rPr>
          <w:rFonts w:ascii="Times New Roman" w:eastAsia="Times New Roman" w:hAnsi="Times New Roman" w:cs="Times New Roman"/>
          <w:sz w:val="24"/>
          <w:szCs w:val="24"/>
          <w:lang w:val="en-GB" w:eastAsia="cs-CZ"/>
        </w:rPr>
        <w:t>expect a change in structure. Based on this assumption, an impact on public budgets of hundreds of millions of CZK per year can be considered</w:t>
      </w:r>
      <w:r w:rsidRPr="00FA1502" w:rsidR="00257D58">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In this case, a negative impact would already occur during 2022, however, given that the </w:t>
      </w:r>
      <w:r w:rsidRPr="00FA1502" w:rsidR="00257D58">
        <w:rPr>
          <w:rFonts w:ascii="Times New Roman" w:eastAsia="Times New Roman" w:hAnsi="Times New Roman" w:cs="Times New Roman"/>
          <w:sz w:val="24"/>
          <w:szCs w:val="24"/>
          <w:lang w:val="en-GB" w:eastAsia="cs-CZ"/>
        </w:rPr>
        <w:t>individual savings</w:t>
      </w:r>
      <w:r w:rsidRPr="00FA1502">
        <w:rPr>
          <w:rFonts w:ascii="Times New Roman" w:eastAsia="Times New Roman" w:hAnsi="Times New Roman" w:cs="Times New Roman"/>
          <w:sz w:val="24"/>
          <w:szCs w:val="24"/>
          <w:lang w:val="en-GB" w:eastAsia="cs-CZ"/>
        </w:rPr>
        <w:t xml:space="preserve"> account </w:t>
      </w:r>
      <w:r w:rsidRPr="00FA1502" w:rsidR="00257D58">
        <w:rPr>
          <w:rFonts w:ascii="Times New Roman" w:eastAsia="Times New Roman" w:hAnsi="Times New Roman" w:cs="Times New Roman"/>
          <w:sz w:val="24"/>
          <w:szCs w:val="24"/>
          <w:lang w:val="en-GB" w:eastAsia="cs-CZ"/>
        </w:rPr>
        <w:t>does not currently exist</w:t>
      </w:r>
      <w:r w:rsidRPr="00FA1502">
        <w:rPr>
          <w:rFonts w:ascii="Times New Roman" w:eastAsia="Times New Roman" w:hAnsi="Times New Roman" w:cs="Times New Roman"/>
          <w:sz w:val="24"/>
          <w:szCs w:val="24"/>
          <w:lang w:val="en-GB" w:eastAsia="cs-CZ"/>
        </w:rPr>
        <w:t xml:space="preserve">, a </w:t>
      </w:r>
      <w:r w:rsidRPr="00FA1502" w:rsidR="00456C76">
        <w:rPr>
          <w:rFonts w:ascii="Times New Roman" w:eastAsia="Times New Roman" w:hAnsi="Times New Roman" w:cs="Times New Roman"/>
          <w:sz w:val="24"/>
          <w:szCs w:val="24"/>
          <w:lang w:val="en-GB" w:eastAsia="cs-CZ"/>
        </w:rPr>
        <w:t>potential</w:t>
      </w:r>
      <w:r w:rsidRPr="00FA1502" w:rsidR="00257D58">
        <w:rPr>
          <w:rFonts w:ascii="Times New Roman" w:eastAsia="Times New Roman" w:hAnsi="Times New Roman" w:cs="Times New Roman"/>
          <w:sz w:val="24"/>
          <w:szCs w:val="24"/>
          <w:lang w:val="en-GB" w:eastAsia="cs-CZ"/>
        </w:rPr>
        <w:t xml:space="preserve"> full-year impact can </w:t>
      </w:r>
      <w:r w:rsidRPr="00FA1502">
        <w:rPr>
          <w:rFonts w:ascii="Times New Roman" w:eastAsia="Times New Roman" w:hAnsi="Times New Roman" w:cs="Times New Roman"/>
          <w:sz w:val="24"/>
          <w:szCs w:val="24"/>
          <w:lang w:val="en-GB" w:eastAsia="cs-CZ"/>
        </w:rPr>
        <w:t>be expected in 2023.</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i/>
          <w:iCs/>
          <w:sz w:val="24"/>
          <w:szCs w:val="24"/>
          <w:lang w:val="en-GB" w:eastAsia="cs-CZ"/>
        </w:rPr>
        <w:t>2. Application of th</w:t>
      </w:r>
      <w:r w:rsidRPr="00FA1502" w:rsidR="005606E0">
        <w:rPr>
          <w:rFonts w:ascii="Times New Roman" w:eastAsia="Times New Roman" w:hAnsi="Times New Roman" w:cs="Times New Roman"/>
          <w:b/>
          <w:bCs/>
          <w:i/>
          <w:iCs/>
          <w:sz w:val="24"/>
          <w:szCs w:val="24"/>
          <w:lang w:val="en-GB" w:eastAsia="cs-CZ"/>
        </w:rPr>
        <w:t>e deduction from the tax base with</w:t>
      </w:r>
      <w:r w:rsidRPr="00FA1502">
        <w:rPr>
          <w:rFonts w:ascii="Times New Roman" w:eastAsia="Times New Roman" w:hAnsi="Times New Roman" w:cs="Times New Roman"/>
          <w:b/>
          <w:bCs/>
          <w:i/>
          <w:iCs/>
          <w:sz w:val="24"/>
          <w:szCs w:val="24"/>
          <w:lang w:val="en-GB" w:eastAsia="cs-CZ"/>
        </w:rPr>
        <w:t xml:space="preserve"> respect </w:t>
      </w:r>
      <w:r w:rsidRPr="00FA1502" w:rsidR="005606E0">
        <w:rPr>
          <w:rFonts w:ascii="Times New Roman" w:eastAsia="Times New Roman" w:hAnsi="Times New Roman" w:cs="Times New Roman"/>
          <w:b/>
          <w:bCs/>
          <w:i/>
          <w:iCs/>
          <w:sz w:val="24"/>
          <w:szCs w:val="24"/>
          <w:lang w:val="en-GB" w:eastAsia="cs-CZ"/>
        </w:rPr>
        <w:t>to</w:t>
      </w:r>
      <w:r w:rsidRPr="00FA1502">
        <w:rPr>
          <w:rFonts w:ascii="Times New Roman" w:eastAsia="Times New Roman" w:hAnsi="Times New Roman" w:cs="Times New Roman"/>
          <w:b/>
          <w:bCs/>
          <w:i/>
          <w:iCs/>
          <w:sz w:val="24"/>
          <w:szCs w:val="24"/>
          <w:lang w:val="en-GB" w:eastAsia="cs-CZ"/>
        </w:rPr>
        <w:t xml:space="preserve"> contributions paid by the taxpayer</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total maximum amount by which the tax base can be reduced is proposed in the amount of CZK 48</w:t>
      </w:r>
      <w:r w:rsidRPr="00FA1502" w:rsidR="005606E0">
        <w:rPr>
          <w:rFonts w:ascii="Times New Roman" w:eastAsia="Times New Roman" w:hAnsi="Times New Roman" w:cs="Times New Roman"/>
          <w:sz w:val="24"/>
          <w:szCs w:val="24"/>
          <w:lang w:val="en-GB" w:eastAsia="cs-CZ"/>
        </w:rPr>
        <w:t>,000</w:t>
      </w:r>
      <w:r w:rsidRPr="00FA1502">
        <w:rPr>
          <w:rFonts w:ascii="Times New Roman" w:eastAsia="Times New Roman" w:hAnsi="Times New Roman" w:cs="Times New Roman"/>
          <w:sz w:val="24"/>
          <w:szCs w:val="24"/>
          <w:lang w:val="en-GB" w:eastAsia="cs-CZ"/>
        </w:rPr>
        <w:t>, i</w:t>
      </w:r>
      <w:r w:rsidRPr="00FA1502" w:rsidR="005606E0">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5606E0">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corresponds to the sum of the existing limits. With regard to the proposed effect</w:t>
      </w:r>
      <w:r w:rsidRPr="00FA1502" w:rsidR="00456C76">
        <w:rPr>
          <w:rFonts w:ascii="Times New Roman" w:eastAsia="Times New Roman" w:hAnsi="Times New Roman" w:cs="Times New Roman"/>
          <w:sz w:val="24"/>
          <w:szCs w:val="24"/>
          <w:lang w:val="en-GB" w:eastAsia="cs-CZ"/>
        </w:rPr>
        <w:t xml:space="preserve">iveness </w:t>
      </w:r>
      <w:r w:rsidRPr="00FA1502">
        <w:rPr>
          <w:rFonts w:ascii="Times New Roman" w:eastAsia="Times New Roman" w:hAnsi="Times New Roman" w:cs="Times New Roman"/>
          <w:sz w:val="24"/>
          <w:szCs w:val="24"/>
          <w:lang w:val="en-GB" w:eastAsia="cs-CZ"/>
        </w:rPr>
        <w:t xml:space="preserve">of the </w:t>
      </w:r>
      <w:r w:rsidRPr="00FA1502" w:rsidR="00456C76">
        <w:rPr>
          <w:rFonts w:ascii="Times New Roman" w:eastAsia="Times New Roman" w:hAnsi="Times New Roman" w:cs="Times New Roman"/>
          <w:sz w:val="24"/>
          <w:szCs w:val="24"/>
          <w:lang w:val="en-GB" w:eastAsia="cs-CZ"/>
        </w:rPr>
        <w:t>a</w:t>
      </w:r>
      <w:r w:rsidRPr="00FA1502">
        <w:rPr>
          <w:rFonts w:ascii="Times New Roman" w:eastAsia="Times New Roman" w:hAnsi="Times New Roman" w:cs="Times New Roman"/>
          <w:sz w:val="24"/>
          <w:szCs w:val="24"/>
          <w:lang w:val="en-GB" w:eastAsia="cs-CZ"/>
        </w:rPr>
        <w:t xml:space="preserve">ct as of 1 January 2022, it is expected that the potential negative impact will occur in 2023 at the earliest </w:t>
      </w:r>
      <w:r w:rsidRPr="00FA1502" w:rsidR="00456C76">
        <w:rPr>
          <w:rFonts w:ascii="Times New Roman" w:eastAsia="Times New Roman" w:hAnsi="Times New Roman" w:cs="Times New Roman"/>
          <w:sz w:val="24"/>
          <w:szCs w:val="24"/>
          <w:lang w:val="en-GB" w:eastAsia="cs-CZ"/>
        </w:rPr>
        <w:t>(taxpayers will apply the non-taxable part according to the new rules only within the tax return), however with respect to the fact, that the individual savings account does not currently exist, a potential full-year impact can be expected in</w:t>
      </w:r>
      <w:r w:rsidRPr="00FA1502">
        <w:rPr>
          <w:rFonts w:ascii="Times New Roman" w:eastAsia="Times New Roman" w:hAnsi="Times New Roman" w:cs="Times New Roman"/>
          <w:sz w:val="24"/>
          <w:szCs w:val="24"/>
          <w:lang w:val="en-GB" w:eastAsia="cs-CZ"/>
        </w:rPr>
        <w:t xml:space="preserve"> 2024. </w:t>
      </w:r>
      <w:r w:rsidRPr="00FA1502" w:rsidR="005C5BEA">
        <w:rPr>
          <w:rFonts w:ascii="Times New Roman" w:eastAsia="Times New Roman" w:hAnsi="Times New Roman" w:cs="Times New Roman"/>
          <w:sz w:val="24"/>
          <w:szCs w:val="24"/>
          <w:lang w:val="en-GB" w:eastAsia="cs-CZ"/>
        </w:rPr>
        <w:t>In case of</w:t>
      </w:r>
      <w:r w:rsidRPr="00FA1502">
        <w:rPr>
          <w:rFonts w:ascii="Times New Roman" w:eastAsia="Times New Roman" w:hAnsi="Times New Roman" w:cs="Times New Roman"/>
          <w:sz w:val="24"/>
          <w:szCs w:val="24"/>
          <w:lang w:val="en-GB" w:eastAsia="cs-CZ"/>
        </w:rPr>
        <w:t xml:space="preserve"> applied deductions from the tax base</w:t>
      </w:r>
      <w:r w:rsidRPr="00FA1502" w:rsidR="005C5BEA">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t>
      </w:r>
      <w:r w:rsidRPr="00FA1502" w:rsidR="005C5BEA">
        <w:rPr>
          <w:rFonts w:ascii="Times New Roman" w:eastAsia="Times New Roman" w:hAnsi="Times New Roman" w:cs="Times New Roman"/>
          <w:sz w:val="24"/>
          <w:szCs w:val="24"/>
          <w:lang w:val="en-GB" w:eastAsia="cs-CZ"/>
        </w:rPr>
        <w:t xml:space="preserve">the negative impact may </w:t>
      </w:r>
      <w:r w:rsidRPr="00FA1502">
        <w:rPr>
          <w:rFonts w:ascii="Times New Roman" w:eastAsia="Times New Roman" w:hAnsi="Times New Roman" w:cs="Times New Roman"/>
          <w:sz w:val="24"/>
          <w:szCs w:val="24"/>
          <w:lang w:val="en-GB" w:eastAsia="cs-CZ"/>
        </w:rPr>
        <w:t xml:space="preserve">generate both unification </w:t>
      </w:r>
      <w:r w:rsidRPr="00FA1502" w:rsidR="005C5BEA">
        <w:rPr>
          <w:rFonts w:ascii="Times New Roman" w:eastAsia="Times New Roman" w:hAnsi="Times New Roman" w:cs="Times New Roman"/>
          <w:sz w:val="24"/>
          <w:szCs w:val="24"/>
          <w:lang w:val="en-GB" w:eastAsia="cs-CZ"/>
        </w:rPr>
        <w:t xml:space="preserve">of </w:t>
      </w:r>
      <w:r w:rsidRPr="00FA1502">
        <w:rPr>
          <w:rFonts w:ascii="Times New Roman" w:eastAsia="Times New Roman" w:hAnsi="Times New Roman" w:cs="Times New Roman"/>
          <w:sz w:val="24"/>
          <w:szCs w:val="24"/>
          <w:lang w:val="en-GB" w:eastAsia="cs-CZ"/>
        </w:rPr>
        <w:t xml:space="preserve">limits for claiming the deduction </w:t>
      </w:r>
      <w:r w:rsidRPr="00FA1502" w:rsidR="005C5BEA">
        <w:rPr>
          <w:rFonts w:ascii="Times New Roman" w:eastAsia="Times New Roman" w:hAnsi="Times New Roman" w:cs="Times New Roman"/>
          <w:sz w:val="24"/>
          <w:szCs w:val="24"/>
          <w:lang w:val="en-GB" w:eastAsia="cs-CZ"/>
        </w:rPr>
        <w:t xml:space="preserve">in case of </w:t>
      </w:r>
      <w:r w:rsidRPr="00FA1502">
        <w:rPr>
          <w:rFonts w:ascii="Times New Roman" w:eastAsia="Times New Roman" w:hAnsi="Times New Roman" w:cs="Times New Roman"/>
          <w:sz w:val="24"/>
          <w:szCs w:val="24"/>
          <w:lang w:val="en-GB" w:eastAsia="cs-CZ"/>
        </w:rPr>
        <w:t>already exist</w:t>
      </w:r>
      <w:r w:rsidRPr="00FA1502" w:rsidR="005C5BEA">
        <w:rPr>
          <w:rFonts w:ascii="Times New Roman" w:eastAsia="Times New Roman" w:hAnsi="Times New Roman" w:cs="Times New Roman"/>
          <w:sz w:val="24"/>
          <w:szCs w:val="24"/>
          <w:lang w:val="en-GB" w:eastAsia="cs-CZ"/>
        </w:rPr>
        <w:t>ing products (taxpayers who prefer one</w:t>
      </w:r>
      <w:r w:rsidRPr="00FA1502">
        <w:rPr>
          <w:rFonts w:ascii="Times New Roman" w:eastAsia="Times New Roman" w:hAnsi="Times New Roman" w:cs="Times New Roman"/>
          <w:sz w:val="24"/>
          <w:szCs w:val="24"/>
          <w:lang w:val="en-GB" w:eastAsia="cs-CZ"/>
        </w:rPr>
        <w:t xml:space="preserve"> product </w:t>
      </w:r>
      <w:r w:rsidRPr="00FA1502" w:rsidR="005C5BEA">
        <w:rPr>
          <w:rFonts w:ascii="Times New Roman" w:eastAsia="Times New Roman" w:hAnsi="Times New Roman" w:cs="Times New Roman"/>
          <w:sz w:val="24"/>
          <w:szCs w:val="24"/>
          <w:lang w:val="en-GB" w:eastAsia="cs-CZ"/>
        </w:rPr>
        <w:t xml:space="preserve">to which the maximum </w:t>
      </w:r>
      <w:r w:rsidRPr="00FA1502">
        <w:rPr>
          <w:rFonts w:ascii="Times New Roman" w:eastAsia="Times New Roman" w:hAnsi="Times New Roman" w:cs="Times New Roman"/>
          <w:sz w:val="24"/>
          <w:szCs w:val="24"/>
          <w:lang w:val="en-GB" w:eastAsia="cs-CZ"/>
        </w:rPr>
        <w:t>deduction</w:t>
      </w:r>
      <w:r w:rsidRPr="00FA1502" w:rsidR="005C5BEA">
        <w:rPr>
          <w:rFonts w:ascii="Times New Roman" w:eastAsia="Times New Roman" w:hAnsi="Times New Roman" w:cs="Times New Roman"/>
          <w:sz w:val="24"/>
          <w:szCs w:val="24"/>
          <w:lang w:val="en-GB" w:eastAsia="cs-CZ"/>
        </w:rPr>
        <w:t xml:space="preserve"> is applied</w:t>
      </w:r>
      <w:r w:rsidRPr="00FA1502">
        <w:rPr>
          <w:rFonts w:ascii="Times New Roman" w:eastAsia="Times New Roman" w:hAnsi="Times New Roman" w:cs="Times New Roman"/>
          <w:sz w:val="24"/>
          <w:szCs w:val="24"/>
          <w:lang w:val="en-GB" w:eastAsia="cs-CZ"/>
        </w:rPr>
        <w:t xml:space="preserve">, will </w:t>
      </w:r>
      <w:r w:rsidRPr="00FA1502" w:rsidR="005C5BEA">
        <w:rPr>
          <w:rFonts w:ascii="Times New Roman" w:eastAsia="Times New Roman" w:hAnsi="Times New Roman" w:cs="Times New Roman"/>
          <w:sz w:val="24"/>
          <w:szCs w:val="24"/>
          <w:lang w:val="en-GB" w:eastAsia="cs-CZ"/>
        </w:rPr>
        <w:t xml:space="preserve">now </w:t>
      </w:r>
      <w:r w:rsidRPr="00FA1502">
        <w:rPr>
          <w:rFonts w:ascii="Times New Roman" w:eastAsia="Times New Roman" w:hAnsi="Times New Roman" w:cs="Times New Roman"/>
          <w:sz w:val="24"/>
          <w:szCs w:val="24"/>
          <w:lang w:val="en-GB" w:eastAsia="cs-CZ"/>
        </w:rPr>
        <w:t xml:space="preserve">be able to apply a higher deduction), </w:t>
      </w:r>
      <w:r w:rsidRPr="00FA1502" w:rsidR="005C5BEA">
        <w:rPr>
          <w:rFonts w:ascii="Times New Roman" w:eastAsia="Times New Roman" w:hAnsi="Times New Roman" w:cs="Times New Roman"/>
          <w:sz w:val="24"/>
          <w:szCs w:val="24"/>
          <w:lang w:val="en-GB" w:eastAsia="cs-CZ"/>
        </w:rPr>
        <w:t xml:space="preserve">and also </w:t>
      </w:r>
      <w:r w:rsidRPr="00FA1502">
        <w:rPr>
          <w:rFonts w:ascii="Times New Roman" w:eastAsia="Times New Roman" w:hAnsi="Times New Roman" w:cs="Times New Roman"/>
          <w:sz w:val="24"/>
          <w:szCs w:val="24"/>
          <w:lang w:val="en-GB" w:eastAsia="cs-CZ"/>
        </w:rPr>
        <w:t xml:space="preserve">extending the possibilities for applying deductions to another product. </w:t>
      </w:r>
      <w:r w:rsidRPr="00FA1502" w:rsidR="00B26FE9">
        <w:rPr>
          <w:rFonts w:ascii="Times New Roman" w:eastAsia="Times New Roman" w:hAnsi="Times New Roman" w:cs="Times New Roman"/>
          <w:sz w:val="24"/>
          <w:szCs w:val="24"/>
          <w:lang w:val="en-GB" w:eastAsia="cs-CZ"/>
        </w:rPr>
        <w:t xml:space="preserve">Currently, </w:t>
      </w:r>
      <w:r w:rsidRPr="00FA1502">
        <w:rPr>
          <w:rFonts w:ascii="Times New Roman" w:eastAsia="Times New Roman" w:hAnsi="Times New Roman" w:cs="Times New Roman"/>
          <w:sz w:val="24"/>
          <w:szCs w:val="24"/>
          <w:lang w:val="en-GB" w:eastAsia="cs-CZ"/>
        </w:rPr>
        <w:t xml:space="preserve">the estimated tax relief from tax base deductions is CZK 2.6 billion. Considering the total amount of the estimated tax relief, we estimate the negative impact of the unification of the deduction limits to be </w:t>
      </w:r>
      <w:r w:rsidRPr="00FA1502" w:rsidR="00B26FE9">
        <w:rPr>
          <w:rFonts w:ascii="Times New Roman" w:eastAsia="Times New Roman" w:hAnsi="Times New Roman" w:cs="Times New Roman"/>
          <w:sz w:val="24"/>
          <w:szCs w:val="24"/>
          <w:lang w:val="en-GB" w:eastAsia="cs-CZ"/>
        </w:rPr>
        <w:t xml:space="preserve">maximum in lower </w:t>
      </w:r>
      <w:r w:rsidRPr="00FA1502">
        <w:rPr>
          <w:rFonts w:ascii="Times New Roman" w:eastAsia="Times New Roman" w:hAnsi="Times New Roman" w:cs="Times New Roman"/>
          <w:sz w:val="24"/>
          <w:szCs w:val="24"/>
          <w:lang w:val="en-GB" w:eastAsia="cs-CZ"/>
        </w:rPr>
        <w:t>hundreds of millions of CZK. The negative impact of extendi</w:t>
      </w:r>
      <w:r w:rsidRPr="00FA1502" w:rsidR="008840BD">
        <w:rPr>
          <w:rFonts w:ascii="Times New Roman" w:eastAsia="Times New Roman" w:hAnsi="Times New Roman" w:cs="Times New Roman"/>
          <w:sz w:val="24"/>
          <w:szCs w:val="24"/>
          <w:lang w:val="en-GB" w:eastAsia="cs-CZ"/>
        </w:rPr>
        <w:t xml:space="preserve">ng the possibility of deductions </w:t>
      </w:r>
      <w:r w:rsidRPr="00FA1502">
        <w:rPr>
          <w:rFonts w:ascii="Times New Roman" w:eastAsia="Times New Roman" w:hAnsi="Times New Roman" w:cs="Times New Roman"/>
          <w:sz w:val="24"/>
          <w:szCs w:val="24"/>
          <w:lang w:val="en-GB" w:eastAsia="cs-CZ"/>
        </w:rPr>
        <w:t xml:space="preserve">cannot be </w:t>
      </w:r>
      <w:r w:rsidRPr="00FA1502" w:rsidR="008840BD">
        <w:rPr>
          <w:rFonts w:ascii="Times New Roman" w:eastAsia="Times New Roman" w:hAnsi="Times New Roman" w:cs="Times New Roman"/>
          <w:sz w:val="24"/>
          <w:szCs w:val="24"/>
          <w:lang w:val="en-GB" w:eastAsia="cs-CZ"/>
        </w:rPr>
        <w:t>assessed</w:t>
      </w:r>
      <w:r w:rsidRPr="00FA1502">
        <w:rPr>
          <w:rFonts w:ascii="Times New Roman" w:eastAsia="Times New Roman" w:hAnsi="Times New Roman" w:cs="Times New Roman"/>
          <w:sz w:val="24"/>
          <w:szCs w:val="24"/>
          <w:lang w:val="en-GB" w:eastAsia="cs-CZ"/>
        </w:rPr>
        <w:t xml:space="preserve"> due to lack of data sources. In addition, other factors, such as the development of unemployment, wages or conjuncture or the recession of the Czech economy or real interest rates, may also </w:t>
      </w:r>
      <w:r w:rsidRPr="00FA1502" w:rsidR="008840BD">
        <w:rPr>
          <w:rFonts w:ascii="Times New Roman" w:eastAsia="Times New Roman" w:hAnsi="Times New Roman" w:cs="Times New Roman"/>
          <w:sz w:val="24"/>
          <w:szCs w:val="24"/>
          <w:lang w:val="en-GB" w:eastAsia="cs-CZ"/>
        </w:rPr>
        <w:t>affect</w:t>
      </w:r>
      <w:r w:rsidRPr="00FA1502">
        <w:rPr>
          <w:rFonts w:ascii="Times New Roman" w:eastAsia="Times New Roman" w:hAnsi="Times New Roman" w:cs="Times New Roman"/>
          <w:sz w:val="24"/>
          <w:szCs w:val="24"/>
          <w:lang w:val="en-GB" w:eastAsia="cs-CZ"/>
        </w:rPr>
        <w:t xml:space="preserve"> the impact. </w:t>
      </w:r>
      <w:r w:rsidRPr="00FA1502" w:rsidR="00C860B5">
        <w:rPr>
          <w:rFonts w:ascii="Times New Roman" w:eastAsia="Times New Roman" w:hAnsi="Times New Roman" w:cs="Times New Roman"/>
          <w:sz w:val="24"/>
          <w:szCs w:val="24"/>
          <w:lang w:val="en-GB" w:eastAsia="cs-CZ"/>
        </w:rPr>
        <w:t xml:space="preserve">If, for example, </w:t>
      </w:r>
      <w:r w:rsidRPr="00FA1502">
        <w:rPr>
          <w:rFonts w:ascii="Times New Roman" w:eastAsia="Times New Roman" w:hAnsi="Times New Roman" w:cs="Times New Roman"/>
          <w:sz w:val="24"/>
          <w:szCs w:val="24"/>
          <w:lang w:val="en-GB" w:eastAsia="cs-CZ"/>
        </w:rPr>
        <w:t>100</w:t>
      </w:r>
      <w:r w:rsidRPr="00FA1502" w:rsidR="00C860B5">
        <w:rPr>
          <w:rFonts w:ascii="Times New Roman" w:eastAsia="Times New Roman" w:hAnsi="Times New Roman" w:cs="Times New Roman"/>
          <w:sz w:val="24"/>
          <w:szCs w:val="24"/>
          <w:lang w:val="en-GB" w:eastAsia="cs-CZ"/>
        </w:rPr>
        <w:t>,000</w:t>
      </w:r>
      <w:r w:rsidRPr="00FA1502">
        <w:rPr>
          <w:rFonts w:ascii="Times New Roman" w:eastAsia="Times New Roman" w:hAnsi="Times New Roman" w:cs="Times New Roman"/>
          <w:sz w:val="24"/>
          <w:szCs w:val="24"/>
          <w:lang w:val="en-GB" w:eastAsia="cs-CZ"/>
        </w:rPr>
        <w:t xml:space="preserve"> taxpayers </w:t>
      </w:r>
      <w:r w:rsidRPr="00FA1502" w:rsidR="00C860B5">
        <w:rPr>
          <w:rFonts w:ascii="Times New Roman" w:eastAsia="Times New Roman" w:hAnsi="Times New Roman" w:cs="Times New Roman"/>
          <w:sz w:val="24"/>
          <w:szCs w:val="24"/>
          <w:lang w:val="en-GB" w:eastAsia="cs-CZ"/>
        </w:rPr>
        <w:t xml:space="preserve">would newly </w:t>
      </w:r>
      <w:r w:rsidRPr="00FA1502">
        <w:rPr>
          <w:rFonts w:ascii="Times New Roman" w:eastAsia="Times New Roman" w:hAnsi="Times New Roman" w:cs="Times New Roman"/>
          <w:sz w:val="24"/>
          <w:szCs w:val="24"/>
          <w:lang w:val="en-GB" w:eastAsia="cs-CZ"/>
        </w:rPr>
        <w:t>deduct</w:t>
      </w:r>
      <w:r w:rsidRPr="00FA1502" w:rsidR="00B63C1F">
        <w:rPr>
          <w:rFonts w:ascii="Times New Roman" w:eastAsia="Times New Roman" w:hAnsi="Times New Roman" w:cs="Times New Roman"/>
          <w:sz w:val="24"/>
          <w:szCs w:val="24"/>
          <w:lang w:val="en-GB" w:eastAsia="cs-CZ"/>
        </w:rPr>
        <w:t xml:space="preserve"> CZK 10,000 </w:t>
      </w:r>
      <w:r w:rsidRPr="00FA1502">
        <w:rPr>
          <w:rFonts w:ascii="Times New Roman" w:eastAsia="Times New Roman" w:hAnsi="Times New Roman" w:cs="Times New Roman"/>
          <w:sz w:val="24"/>
          <w:szCs w:val="24"/>
          <w:lang w:val="en-GB" w:eastAsia="cs-CZ"/>
        </w:rPr>
        <w:t xml:space="preserve">from </w:t>
      </w:r>
      <w:r w:rsidRPr="00FA1502" w:rsidR="00B63C1F">
        <w:rPr>
          <w:rFonts w:ascii="Times New Roman" w:eastAsia="Times New Roman" w:hAnsi="Times New Roman" w:cs="Times New Roman"/>
          <w:sz w:val="24"/>
          <w:szCs w:val="24"/>
          <w:lang w:val="en-GB" w:eastAsia="cs-CZ"/>
        </w:rPr>
        <w:t xml:space="preserve">tax base from </w:t>
      </w:r>
      <w:r w:rsidRPr="00FA1502">
        <w:rPr>
          <w:rFonts w:ascii="Times New Roman" w:eastAsia="Times New Roman" w:hAnsi="Times New Roman" w:cs="Times New Roman"/>
          <w:sz w:val="24"/>
          <w:szCs w:val="24"/>
          <w:lang w:val="en-GB" w:eastAsia="cs-CZ"/>
        </w:rPr>
        <w:t xml:space="preserve">paid contributions to the </w:t>
      </w:r>
      <w:r w:rsidRPr="00FA1502" w:rsidR="00C860B5">
        <w:rPr>
          <w:rFonts w:ascii="Times New Roman" w:eastAsia="Times New Roman" w:hAnsi="Times New Roman" w:cs="Times New Roman"/>
          <w:sz w:val="24"/>
          <w:szCs w:val="24"/>
          <w:lang w:val="en-GB" w:eastAsia="cs-CZ"/>
        </w:rPr>
        <w:t xml:space="preserve">individual savings </w:t>
      </w:r>
      <w:r w:rsidRPr="00FA1502">
        <w:rPr>
          <w:rFonts w:ascii="Times New Roman" w:eastAsia="Times New Roman" w:hAnsi="Times New Roman" w:cs="Times New Roman"/>
          <w:sz w:val="24"/>
          <w:szCs w:val="24"/>
          <w:lang w:val="en-GB" w:eastAsia="cs-CZ"/>
        </w:rPr>
        <w:t>account, this would have a negative impact of CZK 150 million per year on DPFO direct debit at the level of public budgets.</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With regard to the ext</w:t>
      </w:r>
      <w:r w:rsidRPr="00FA1502" w:rsidR="00B63C1F">
        <w:rPr>
          <w:rFonts w:ascii="Times New Roman" w:eastAsia="Times New Roman" w:hAnsi="Times New Roman" w:cs="Times New Roman"/>
          <w:sz w:val="24"/>
          <w:szCs w:val="24"/>
          <w:lang w:val="en-GB" w:eastAsia="cs-CZ"/>
        </w:rPr>
        <w:t>ension of the Financial Arbiter’</w:t>
      </w:r>
      <w:r w:rsidRPr="00FA1502">
        <w:rPr>
          <w:rFonts w:ascii="Times New Roman" w:eastAsia="Times New Roman" w:hAnsi="Times New Roman" w:cs="Times New Roman"/>
          <w:sz w:val="24"/>
          <w:szCs w:val="24"/>
          <w:lang w:val="en-GB" w:eastAsia="cs-CZ"/>
        </w:rPr>
        <w:t xml:space="preserve">s material scope in relation to the </w:t>
      </w:r>
      <w:r w:rsidRPr="00FA1502" w:rsidR="00B63C1F">
        <w:rPr>
          <w:rFonts w:ascii="Times New Roman" w:eastAsia="Times New Roman" w:hAnsi="Times New Roman" w:cs="Times New Roman"/>
          <w:sz w:val="24"/>
          <w:szCs w:val="24"/>
          <w:lang w:val="en-GB" w:eastAsia="cs-CZ"/>
        </w:rPr>
        <w:t>individual savings</w:t>
      </w:r>
      <w:r w:rsidRPr="00FA1502">
        <w:rPr>
          <w:rFonts w:ascii="Times New Roman" w:eastAsia="Times New Roman" w:hAnsi="Times New Roman" w:cs="Times New Roman"/>
          <w:sz w:val="24"/>
          <w:szCs w:val="24"/>
          <w:lang w:val="en-GB" w:eastAsia="cs-CZ"/>
        </w:rPr>
        <w:t xml:space="preserve"> account, the proposal to introduce this institute into the legal </w:t>
      </w:r>
      <w:r w:rsidRPr="00FA1502" w:rsidR="00B63C1F">
        <w:rPr>
          <w:rFonts w:ascii="Times New Roman" w:eastAsia="Times New Roman" w:hAnsi="Times New Roman" w:cs="Times New Roman"/>
          <w:sz w:val="24"/>
          <w:szCs w:val="24"/>
          <w:lang w:val="en-GB" w:eastAsia="cs-CZ"/>
        </w:rPr>
        <w:t>system</w:t>
      </w:r>
      <w:r w:rsidRPr="00FA1502">
        <w:rPr>
          <w:rFonts w:ascii="Times New Roman" w:eastAsia="Times New Roman" w:hAnsi="Times New Roman" w:cs="Times New Roman"/>
          <w:sz w:val="24"/>
          <w:szCs w:val="24"/>
          <w:lang w:val="en-GB" w:eastAsia="cs-CZ"/>
        </w:rPr>
        <w:t xml:space="preserve"> may entail negative costs for the Financial Arbiter, or public budgets. </w:t>
      </w:r>
    </w:p>
    <w:p w:rsidR="00176359" w:rsidRPr="00FA1502" w:rsidP="00A7116F">
      <w:pPr>
        <w:keepNext/>
        <w:widowControl w:val="0"/>
        <w:numPr>
          <w:ilvl w:val="0"/>
          <w:numId w:val="11"/>
        </w:numPr>
        <w:spacing w:before="120" w:after="120" w:line="240" w:lineRule="auto"/>
        <w:ind w:left="268" w:firstLine="0"/>
        <w:jc w:val="both"/>
        <w:rPr>
          <w:rFonts w:ascii="Times New Roman" w:eastAsia="Times New Roman" w:hAnsi="Times New Roman" w:cs="Times New Roman"/>
          <w:b/>
          <w:bCs/>
          <w:sz w:val="24"/>
          <w:szCs w:val="24"/>
          <w:lang w:val="en-GB" w:eastAsia="cs-CZ"/>
        </w:rPr>
      </w:pPr>
      <w:r w:rsidRPr="00FA1502">
        <w:rPr>
          <w:rFonts w:ascii="Times New Roman" w:eastAsia="Times New Roman" w:hAnsi="Times New Roman" w:cs="Times New Roman"/>
          <w:b/>
          <w:bCs/>
          <w:sz w:val="24"/>
          <w:szCs w:val="24"/>
          <w:lang w:val="en-GB" w:eastAsia="cs-CZ"/>
        </w:rPr>
        <w:t>Assessment of social impacts of the proposed legislation</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proposed adjustments to the </w:t>
      </w:r>
      <w:r w:rsidRPr="00FA1502" w:rsidR="00151B83">
        <w:rPr>
          <w:rFonts w:ascii="Times New Roman" w:eastAsia="Times New Roman" w:hAnsi="Times New Roman" w:cs="Times New Roman"/>
          <w:sz w:val="24"/>
          <w:szCs w:val="24"/>
          <w:lang w:val="en-GB" w:eastAsia="cs-CZ"/>
        </w:rPr>
        <w:t>individual savings</w:t>
      </w:r>
      <w:r w:rsidRPr="00FA1502">
        <w:rPr>
          <w:rFonts w:ascii="Times New Roman" w:eastAsia="Times New Roman" w:hAnsi="Times New Roman" w:cs="Times New Roman"/>
          <w:sz w:val="24"/>
          <w:szCs w:val="24"/>
          <w:lang w:val="en-GB" w:eastAsia="cs-CZ"/>
        </w:rPr>
        <w:t xml:space="preserve"> account and the adjustment of the new alternative fund should have a positive impact on the savings of Czech households.</w:t>
      </w:r>
    </w:p>
    <w:p w:rsidR="00176359" w:rsidRPr="00FA1502" w:rsidP="00A7116F">
      <w:pPr>
        <w:keepNext/>
        <w:widowControl w:val="0"/>
        <w:numPr>
          <w:ilvl w:val="0"/>
          <w:numId w:val="12"/>
        </w:numPr>
        <w:spacing w:before="120" w:after="120" w:line="240" w:lineRule="auto"/>
        <w:ind w:left="268" w:firstLine="0"/>
        <w:jc w:val="both"/>
        <w:rPr>
          <w:rFonts w:ascii="Times New Roman" w:eastAsia="Times New Roman" w:hAnsi="Times New Roman" w:cs="Times New Roman"/>
          <w:b/>
          <w:bCs/>
          <w:sz w:val="24"/>
          <w:szCs w:val="24"/>
          <w:lang w:val="en-GB" w:eastAsia="cs-CZ"/>
        </w:rPr>
      </w:pPr>
      <w:r w:rsidRPr="00FA1502">
        <w:rPr>
          <w:rFonts w:ascii="Times New Roman" w:eastAsia="Times New Roman" w:hAnsi="Times New Roman" w:cs="Times New Roman"/>
          <w:b/>
          <w:bCs/>
          <w:sz w:val="24"/>
          <w:szCs w:val="24"/>
          <w:lang w:val="en-GB" w:eastAsia="cs-CZ"/>
        </w:rPr>
        <w:t>Environmental impact assessment of the proposed legislation</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bill has no impact on the environment.</w:t>
      </w:r>
    </w:p>
    <w:p w:rsidR="00176359" w:rsidRPr="00FA1502" w:rsidP="00A7116F">
      <w:pPr>
        <w:keepNext/>
        <w:widowControl w:val="0"/>
        <w:numPr>
          <w:ilvl w:val="0"/>
          <w:numId w:val="12"/>
        </w:numPr>
        <w:spacing w:before="120" w:after="120" w:line="240" w:lineRule="auto"/>
        <w:ind w:left="709" w:hanging="441"/>
        <w:jc w:val="both"/>
        <w:rPr>
          <w:rFonts w:ascii="Times New Roman" w:eastAsia="Times New Roman" w:hAnsi="Times New Roman" w:cs="Times New Roman"/>
          <w:b/>
          <w:bCs/>
          <w:sz w:val="24"/>
          <w:szCs w:val="24"/>
          <w:lang w:val="en-GB" w:eastAsia="cs-CZ"/>
        </w:rPr>
      </w:pPr>
      <w:r w:rsidRPr="00FA1502">
        <w:rPr>
          <w:rFonts w:ascii="Times New Roman" w:eastAsia="Times New Roman" w:hAnsi="Times New Roman" w:cs="Times New Roman"/>
          <w:b/>
          <w:bCs/>
          <w:sz w:val="24"/>
          <w:szCs w:val="24"/>
          <w:lang w:val="en-GB" w:eastAsia="cs-CZ"/>
        </w:rPr>
        <w:t>Assessment of the current situation and impacts of the proposed solution in relation to non-discrimination </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w:t>
      </w:r>
      <w:r w:rsidRPr="00FA1502" w:rsidR="00151B83">
        <w:rPr>
          <w:rFonts w:ascii="Times New Roman" w:eastAsia="Times New Roman" w:hAnsi="Times New Roman" w:cs="Times New Roman"/>
          <w:sz w:val="24"/>
          <w:szCs w:val="24"/>
          <w:lang w:val="en-GB" w:eastAsia="cs-CZ"/>
        </w:rPr>
        <w:t>proposed act</w:t>
      </w:r>
      <w:r w:rsidRPr="00FA1502">
        <w:rPr>
          <w:rFonts w:ascii="Times New Roman" w:eastAsia="Times New Roman" w:hAnsi="Times New Roman" w:cs="Times New Roman"/>
          <w:sz w:val="24"/>
          <w:szCs w:val="24"/>
          <w:lang w:val="en-GB" w:eastAsia="cs-CZ"/>
        </w:rPr>
        <w:t xml:space="preserve"> is not contrary to the prohibition of discrimination, nor is it contrary to the principle of equality between men and women.</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numPr>
          <w:ilvl w:val="0"/>
          <w:numId w:val="12"/>
        </w:numPr>
        <w:spacing w:before="120" w:after="120" w:line="240" w:lineRule="auto"/>
        <w:ind w:left="709" w:hanging="441"/>
        <w:jc w:val="both"/>
        <w:rPr>
          <w:rFonts w:ascii="Times New Roman" w:eastAsia="Times New Roman" w:hAnsi="Times New Roman" w:cs="Times New Roman"/>
          <w:b/>
          <w:bCs/>
          <w:sz w:val="24"/>
          <w:szCs w:val="24"/>
          <w:lang w:val="en-GB" w:eastAsia="cs-CZ"/>
        </w:rPr>
      </w:pPr>
      <w:r w:rsidRPr="00FA1502">
        <w:rPr>
          <w:rFonts w:ascii="Times New Roman" w:eastAsia="Times New Roman" w:hAnsi="Times New Roman" w:cs="Times New Roman"/>
          <w:b/>
          <w:bCs/>
          <w:sz w:val="24"/>
          <w:szCs w:val="24"/>
          <w:lang w:val="en-GB" w:eastAsia="cs-CZ"/>
        </w:rPr>
        <w:t xml:space="preserve">Impact assessment of the proposed solution in relation to privacy and personal </w:t>
      </w:r>
      <w:r w:rsidRPr="00FA1502">
        <w:rPr>
          <w:rFonts w:ascii="Times New Roman" w:eastAsia="Times New Roman" w:hAnsi="Times New Roman" w:cs="Times New Roman"/>
          <w:b/>
          <w:bCs/>
          <w:sz w:val="24"/>
          <w:szCs w:val="24"/>
          <w:lang w:val="en-GB" w:eastAsia="cs-CZ"/>
        </w:rPr>
        <w:t>data protection (DPIA)</w:t>
      </w:r>
      <w:r w:rsidR="00A7116F">
        <w:rPr>
          <w:rFonts w:ascii="Times New Roman" w:eastAsia="Times New Roman" w:hAnsi="Times New Roman" w:cs="Times New Roman"/>
          <w:b/>
          <w:bCs/>
          <w:sz w:val="24"/>
          <w:szCs w:val="24"/>
          <w:lang w:val="en-GB" w:eastAsia="cs-CZ"/>
        </w:rPr>
        <w:t xml:space="preserve"> </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proposed amendment has no impact on the protecti</w:t>
      </w:r>
      <w:r w:rsidRPr="00FA1502" w:rsidR="00BF70DE">
        <w:rPr>
          <w:rFonts w:ascii="Times New Roman" w:eastAsia="Times New Roman" w:hAnsi="Times New Roman" w:cs="Times New Roman"/>
          <w:sz w:val="24"/>
          <w:szCs w:val="24"/>
          <w:lang w:val="en-GB" w:eastAsia="cs-CZ"/>
        </w:rPr>
        <w:t>on of privacy and personal data</w:t>
      </w:r>
      <w:r w:rsidRPr="00FA1502">
        <w:rPr>
          <w:rFonts w:ascii="Times New Roman" w:eastAsia="Times New Roman" w:hAnsi="Times New Roman" w:cs="Times New Roman"/>
          <w:sz w:val="24"/>
          <w:szCs w:val="24"/>
          <w:lang w:val="en-GB" w:eastAsia="cs-CZ"/>
        </w:rPr>
        <w:t>.</w:t>
      </w:r>
    </w:p>
    <w:p w:rsidR="00176359" w:rsidRPr="00FA1502" w:rsidP="00A7116F">
      <w:pPr>
        <w:keepNext/>
        <w:widowControl w:val="0"/>
        <w:spacing w:before="120" w:after="120" w:line="260" w:lineRule="atLeast"/>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decision-making of the administrative body is governed by the </w:t>
      </w:r>
      <w:r w:rsidRPr="00FA1502" w:rsidR="00BF70DE">
        <w:rPr>
          <w:rFonts w:ascii="Times New Roman" w:eastAsia="Times New Roman" w:hAnsi="Times New Roman" w:cs="Times New Roman"/>
          <w:sz w:val="24"/>
          <w:szCs w:val="24"/>
          <w:lang w:val="en-GB" w:eastAsia="cs-CZ"/>
        </w:rPr>
        <w:t>Act</w:t>
      </w:r>
      <w:r w:rsidRPr="00FA1502">
        <w:rPr>
          <w:rFonts w:ascii="Times New Roman" w:eastAsia="Times New Roman" w:hAnsi="Times New Roman" w:cs="Times New Roman"/>
          <w:sz w:val="24"/>
          <w:szCs w:val="24"/>
          <w:lang w:val="en-GB" w:eastAsia="cs-CZ"/>
        </w:rPr>
        <w:t xml:space="preserve"> o</w:t>
      </w:r>
      <w:r w:rsidRPr="00FA1502" w:rsidR="00BF70DE">
        <w:rPr>
          <w:rFonts w:ascii="Times New Roman" w:eastAsia="Times New Roman" w:hAnsi="Times New Roman" w:cs="Times New Roman"/>
          <w:sz w:val="24"/>
          <w:szCs w:val="24"/>
          <w:lang w:val="en-GB" w:eastAsia="cs-CZ"/>
        </w:rPr>
        <w:t>n</w:t>
      </w:r>
      <w:r w:rsidRPr="00FA1502">
        <w:rPr>
          <w:rFonts w:ascii="Times New Roman" w:eastAsia="Times New Roman" w:hAnsi="Times New Roman" w:cs="Times New Roman"/>
          <w:sz w:val="24"/>
          <w:szCs w:val="24"/>
          <w:lang w:val="en-GB" w:eastAsia="cs-CZ"/>
        </w:rPr>
        <w:t xml:space="preserve"> Administrative Procedure and special </w:t>
      </w:r>
      <w:r w:rsidRPr="00FA1502" w:rsidR="00BF70DE">
        <w:rPr>
          <w:rFonts w:ascii="Times New Roman" w:eastAsia="Times New Roman" w:hAnsi="Times New Roman" w:cs="Times New Roman"/>
          <w:sz w:val="24"/>
          <w:szCs w:val="24"/>
          <w:lang w:val="en-GB" w:eastAsia="cs-CZ"/>
        </w:rPr>
        <w:t>legal regulation</w:t>
      </w:r>
      <w:r w:rsidRPr="00FA1502">
        <w:rPr>
          <w:rFonts w:ascii="Times New Roman" w:eastAsia="Times New Roman" w:hAnsi="Times New Roman" w:cs="Times New Roman"/>
          <w:sz w:val="24"/>
          <w:szCs w:val="24"/>
          <w:lang w:val="en-GB" w:eastAsia="cs-CZ"/>
        </w:rPr>
        <w:t xml:space="preserve">, which </w:t>
      </w:r>
      <w:r w:rsidRPr="00FA1502" w:rsidR="00BF70DE">
        <w:rPr>
          <w:rFonts w:ascii="Times New Roman" w:eastAsia="Times New Roman" w:hAnsi="Times New Roman" w:cs="Times New Roman"/>
          <w:sz w:val="24"/>
          <w:szCs w:val="24"/>
          <w:lang w:val="en-GB" w:eastAsia="cs-CZ"/>
        </w:rPr>
        <w:t>this proposed act</w:t>
      </w:r>
      <w:r w:rsidRPr="00FA1502">
        <w:rPr>
          <w:rFonts w:ascii="Times New Roman" w:eastAsia="Times New Roman" w:hAnsi="Times New Roman" w:cs="Times New Roman"/>
          <w:sz w:val="24"/>
          <w:szCs w:val="24"/>
          <w:lang w:val="en-GB" w:eastAsia="cs-CZ"/>
        </w:rPr>
        <w:t xml:space="preserve"> does not change in any way. The decision-making system is formali</w:t>
      </w:r>
      <w:r w:rsidRPr="00FA1502" w:rsidR="00BF70DE">
        <w:rPr>
          <w:rFonts w:ascii="Times New Roman" w:eastAsia="Times New Roman" w:hAnsi="Times New Roman" w:cs="Times New Roman"/>
          <w:sz w:val="24"/>
          <w:szCs w:val="24"/>
          <w:lang w:val="en-GB" w:eastAsia="cs-CZ"/>
        </w:rPr>
        <w:t xml:space="preserve">zed and transparent at both </w:t>
      </w:r>
      <w:r w:rsidRPr="00FA1502">
        <w:rPr>
          <w:rFonts w:ascii="Times New Roman" w:eastAsia="Times New Roman" w:hAnsi="Times New Roman" w:cs="Times New Roman"/>
          <w:sz w:val="24"/>
          <w:szCs w:val="24"/>
          <w:lang w:val="en-GB" w:eastAsia="cs-CZ"/>
        </w:rPr>
        <w:t>private and public levels; it is always possible to unambiguously identify those</w:t>
      </w:r>
      <w:r w:rsidRPr="00FA1502" w:rsidR="00BF70DE">
        <w:rPr>
          <w:rFonts w:ascii="Times New Roman" w:eastAsia="Times New Roman" w:hAnsi="Times New Roman" w:cs="Times New Roman"/>
          <w:sz w:val="24"/>
          <w:szCs w:val="24"/>
          <w:lang w:val="en-GB" w:eastAsia="cs-CZ"/>
        </w:rPr>
        <w:t xml:space="preserve"> persons</w:t>
      </w:r>
      <w:r w:rsidRPr="00FA1502">
        <w:rPr>
          <w:rFonts w:ascii="Times New Roman" w:eastAsia="Times New Roman" w:hAnsi="Times New Roman" w:cs="Times New Roman"/>
          <w:sz w:val="24"/>
          <w:szCs w:val="24"/>
          <w:lang w:val="en-GB" w:eastAsia="cs-CZ"/>
        </w:rPr>
        <w:t xml:space="preserve"> responsible for a </w:t>
      </w:r>
      <w:r w:rsidRPr="00FA1502" w:rsidR="00BF70DE">
        <w:rPr>
          <w:rFonts w:ascii="Times New Roman" w:eastAsia="Times New Roman" w:hAnsi="Times New Roman" w:cs="Times New Roman"/>
          <w:sz w:val="24"/>
          <w:szCs w:val="24"/>
          <w:lang w:val="en-GB" w:eastAsia="cs-CZ"/>
        </w:rPr>
        <w:t>particular</w:t>
      </w:r>
      <w:r w:rsidRPr="00FA1502">
        <w:rPr>
          <w:rFonts w:ascii="Times New Roman" w:eastAsia="Times New Roman" w:hAnsi="Times New Roman" w:cs="Times New Roman"/>
          <w:sz w:val="24"/>
          <w:szCs w:val="24"/>
          <w:lang w:val="en-GB" w:eastAsia="cs-CZ"/>
        </w:rPr>
        <w:t xml:space="preserve"> decision. It also </w:t>
      </w:r>
      <w:r w:rsidRPr="00FA1502" w:rsidR="00497A0A">
        <w:rPr>
          <w:rFonts w:ascii="Times New Roman" w:eastAsia="Times New Roman" w:hAnsi="Times New Roman" w:cs="Times New Roman"/>
          <w:sz w:val="24"/>
          <w:szCs w:val="24"/>
          <w:lang w:val="en-GB" w:eastAsia="cs-CZ"/>
        </w:rPr>
        <w:t>anticipates</w:t>
      </w:r>
      <w:r w:rsidRPr="00FA1502">
        <w:rPr>
          <w:rFonts w:ascii="Times New Roman" w:eastAsia="Times New Roman" w:hAnsi="Times New Roman" w:cs="Times New Roman"/>
          <w:sz w:val="24"/>
          <w:szCs w:val="24"/>
          <w:lang w:val="en-GB" w:eastAsia="cs-CZ"/>
        </w:rPr>
        <w:t xml:space="preserve"> standard remedies. Each administrative act must contain both the identification of the authority which issued the decision and the signature of the official, </w:t>
      </w:r>
      <w:r w:rsidRPr="00FA1502" w:rsidR="00E959E6">
        <w:rPr>
          <w:rFonts w:ascii="Times New Roman" w:eastAsia="Times New Roman" w:hAnsi="Times New Roman" w:cs="Times New Roman"/>
          <w:sz w:val="24"/>
          <w:szCs w:val="24"/>
          <w:lang w:val="en-GB" w:eastAsia="cs-CZ"/>
        </w:rPr>
        <w:t>together with</w:t>
      </w:r>
      <w:r w:rsidRPr="00FA1502">
        <w:rPr>
          <w:rFonts w:ascii="Times New Roman" w:eastAsia="Times New Roman" w:hAnsi="Times New Roman" w:cs="Times New Roman"/>
          <w:sz w:val="24"/>
          <w:szCs w:val="24"/>
          <w:lang w:val="en-GB" w:eastAsia="cs-CZ"/>
        </w:rPr>
        <w:t xml:space="preserve"> name, surname and occupation, and the stamp of the official or, where appropriate, the recognized electronic signature of the official. In this way, the originator of the decision can always be clearly and personally identified. </w:t>
      </w:r>
    </w:p>
    <w:p w:rsidR="00176359" w:rsidRPr="00FA1502" w:rsidP="00A7116F">
      <w:pPr>
        <w:keepNext/>
        <w:widowControl w:val="0"/>
        <w:spacing w:before="120" w:after="120" w:line="260" w:lineRule="atLeast"/>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Moreover, the CNB a</w:t>
      </w:r>
      <w:r w:rsidRPr="00FA1502" w:rsidR="00B5732F">
        <w:rPr>
          <w:rFonts w:ascii="Times New Roman" w:eastAsia="Times New Roman" w:hAnsi="Times New Roman" w:cs="Times New Roman"/>
          <w:sz w:val="24"/>
          <w:szCs w:val="24"/>
          <w:lang w:val="en-GB" w:eastAsia="cs-CZ"/>
        </w:rPr>
        <w:t>dmits an appeal against the CNB’</w:t>
      </w:r>
      <w:r w:rsidRPr="00FA1502">
        <w:rPr>
          <w:rFonts w:ascii="Times New Roman" w:eastAsia="Times New Roman" w:hAnsi="Times New Roman" w:cs="Times New Roman"/>
          <w:sz w:val="24"/>
          <w:szCs w:val="24"/>
          <w:lang w:val="en-GB" w:eastAsia="cs-CZ"/>
        </w:rPr>
        <w:t xml:space="preserve">s decision in the form of an administrative action. The instruction on the remedy is part of the relevant decision and is fully in accordance with the legal </w:t>
      </w:r>
      <w:r w:rsidRPr="00FA1502" w:rsidR="00B5732F">
        <w:rPr>
          <w:rFonts w:ascii="Times New Roman" w:eastAsia="Times New Roman" w:hAnsi="Times New Roman" w:cs="Times New Roman"/>
          <w:sz w:val="24"/>
          <w:szCs w:val="24"/>
          <w:lang w:val="en-GB" w:eastAsia="cs-CZ"/>
        </w:rPr>
        <w:t>system</w:t>
      </w:r>
      <w:r w:rsidRPr="00FA1502">
        <w:rPr>
          <w:rFonts w:ascii="Times New Roman" w:eastAsia="Times New Roman" w:hAnsi="Times New Roman" w:cs="Times New Roman"/>
          <w:sz w:val="24"/>
          <w:szCs w:val="24"/>
          <w:lang w:val="en-GB" w:eastAsia="cs-CZ"/>
        </w:rPr>
        <w:t xml:space="preserve">, in particular </w:t>
      </w:r>
      <w:r w:rsidRPr="00FA1502" w:rsidR="00B5732F">
        <w:rPr>
          <w:rFonts w:ascii="Times New Roman" w:eastAsia="Times New Roman" w:hAnsi="Times New Roman" w:cs="Times New Roman"/>
          <w:sz w:val="24"/>
          <w:szCs w:val="24"/>
          <w:lang w:val="en-GB" w:eastAsia="cs-CZ"/>
        </w:rPr>
        <w:t>Act No. 500/2004 Coll., The Act</w:t>
      </w:r>
      <w:r w:rsidRPr="00FA1502">
        <w:rPr>
          <w:rFonts w:ascii="Times New Roman" w:eastAsia="Times New Roman" w:hAnsi="Times New Roman" w:cs="Times New Roman"/>
          <w:sz w:val="24"/>
          <w:szCs w:val="24"/>
          <w:lang w:val="en-GB" w:eastAsia="cs-CZ"/>
        </w:rPr>
        <w:t xml:space="preserve"> o</w:t>
      </w:r>
      <w:r w:rsidRPr="00FA1502" w:rsidR="00B5732F">
        <w:rPr>
          <w:rFonts w:ascii="Times New Roman" w:eastAsia="Times New Roman" w:hAnsi="Times New Roman" w:cs="Times New Roman"/>
          <w:sz w:val="24"/>
          <w:szCs w:val="24"/>
          <w:lang w:val="en-GB" w:eastAsia="cs-CZ"/>
        </w:rPr>
        <w:t>n</w:t>
      </w:r>
      <w:r w:rsidRPr="00FA1502">
        <w:rPr>
          <w:rFonts w:ascii="Times New Roman" w:eastAsia="Times New Roman" w:hAnsi="Times New Roman" w:cs="Times New Roman"/>
          <w:sz w:val="24"/>
          <w:szCs w:val="24"/>
          <w:lang w:val="en-GB" w:eastAsia="cs-CZ"/>
        </w:rPr>
        <w:t xml:space="preserve"> Administrative Procedure, as amended. From the point of view of remedies, there is also the</w:t>
      </w:r>
      <w:r w:rsidRPr="00FA1502" w:rsidR="00B5732F">
        <w:rPr>
          <w:rFonts w:ascii="Times New Roman" w:eastAsia="Times New Roman" w:hAnsi="Times New Roman" w:cs="Times New Roman"/>
          <w:sz w:val="24"/>
          <w:szCs w:val="24"/>
          <w:lang w:val="en-GB" w:eastAsia="cs-CZ"/>
        </w:rPr>
        <w:t xml:space="preserve"> possibility of effective defenc</w:t>
      </w:r>
      <w:r w:rsidRPr="00FA1502">
        <w:rPr>
          <w:rFonts w:ascii="Times New Roman" w:eastAsia="Times New Roman" w:hAnsi="Times New Roman" w:cs="Times New Roman"/>
          <w:sz w:val="24"/>
          <w:szCs w:val="24"/>
          <w:lang w:val="en-GB" w:eastAsia="cs-CZ"/>
        </w:rPr>
        <w:t xml:space="preserve">e against maladministration by the administration in the form of regular and extraordinary remedies. In addition to legal remedies, the </w:t>
      </w:r>
      <w:r w:rsidRPr="00FA1502" w:rsidR="00B5732F">
        <w:rPr>
          <w:rFonts w:ascii="Times New Roman" w:eastAsia="Times New Roman" w:hAnsi="Times New Roman" w:cs="Times New Roman"/>
          <w:sz w:val="24"/>
          <w:szCs w:val="24"/>
          <w:lang w:val="en-GB" w:eastAsia="cs-CZ"/>
        </w:rPr>
        <w:t xml:space="preserve">Act on </w:t>
      </w:r>
      <w:r w:rsidRPr="00FA1502">
        <w:rPr>
          <w:rFonts w:ascii="Times New Roman" w:eastAsia="Times New Roman" w:hAnsi="Times New Roman" w:cs="Times New Roman"/>
          <w:sz w:val="24"/>
          <w:szCs w:val="24"/>
          <w:lang w:val="en-GB" w:eastAsia="cs-CZ"/>
        </w:rPr>
        <w:t>Administrative Procedure also per</w:t>
      </w:r>
      <w:r w:rsidRPr="00FA1502" w:rsidR="00B5732F">
        <w:rPr>
          <w:rFonts w:ascii="Times New Roman" w:eastAsia="Times New Roman" w:hAnsi="Times New Roman" w:cs="Times New Roman"/>
          <w:sz w:val="24"/>
          <w:szCs w:val="24"/>
          <w:lang w:val="en-GB" w:eastAsia="cs-CZ"/>
        </w:rPr>
        <w:t>mits other means of protection</w:t>
      </w:r>
      <w:r w:rsidRPr="00FA1502">
        <w:rPr>
          <w:rFonts w:ascii="Times New Roman" w:eastAsia="Times New Roman" w:hAnsi="Times New Roman" w:cs="Times New Roman"/>
          <w:sz w:val="24"/>
          <w:szCs w:val="24"/>
          <w:lang w:val="en-GB" w:eastAsia="cs-CZ"/>
        </w:rPr>
        <w:t>, such as a complaint or a request for action against inaction.</w:t>
      </w:r>
    </w:p>
    <w:p w:rsidR="00176359" w:rsidRPr="00FA1502" w:rsidP="00A7116F">
      <w:pPr>
        <w:keepNext/>
        <w:widowControl w:val="0"/>
        <w:spacing w:before="120" w:after="120" w:line="260" w:lineRule="atLeast"/>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w:t>
      </w:r>
      <w:r w:rsidRPr="00FA1502" w:rsidR="00B5732F">
        <w:rPr>
          <w:rFonts w:ascii="Times New Roman" w:eastAsia="Times New Roman" w:hAnsi="Times New Roman" w:cs="Times New Roman"/>
          <w:sz w:val="24"/>
          <w:szCs w:val="24"/>
          <w:lang w:val="en-GB" w:eastAsia="cs-CZ"/>
        </w:rPr>
        <w:t xml:space="preserve">proposed act </w:t>
      </w:r>
      <w:r w:rsidRPr="00FA1502">
        <w:rPr>
          <w:rFonts w:ascii="Times New Roman" w:eastAsia="Times New Roman" w:hAnsi="Times New Roman" w:cs="Times New Roman"/>
          <w:sz w:val="24"/>
          <w:szCs w:val="24"/>
          <w:lang w:val="en-GB" w:eastAsia="cs-CZ"/>
        </w:rPr>
        <w:t xml:space="preserve">does not create any new organizational structure that would require the creation of new control mechanisms. The </w:t>
      </w:r>
      <w:r w:rsidRPr="00FA1502" w:rsidR="009250FB">
        <w:rPr>
          <w:rFonts w:ascii="Times New Roman" w:eastAsia="Times New Roman" w:hAnsi="Times New Roman" w:cs="Times New Roman"/>
          <w:sz w:val="24"/>
          <w:szCs w:val="24"/>
          <w:lang w:val="en-GB" w:eastAsia="cs-CZ"/>
        </w:rPr>
        <w:t>control</w:t>
      </w:r>
      <w:r w:rsidRPr="00FA1502">
        <w:rPr>
          <w:rFonts w:ascii="Times New Roman" w:eastAsia="Times New Roman" w:hAnsi="Times New Roman" w:cs="Times New Roman"/>
          <w:sz w:val="24"/>
          <w:szCs w:val="24"/>
          <w:lang w:val="en-GB" w:eastAsia="cs-CZ"/>
        </w:rPr>
        <w:t xml:space="preserve"> is ensured by a system of regular and extraordinary remedies and in the form of supervision by the CNB, central state administration bodies, the professional and </w:t>
      </w:r>
      <w:r w:rsidRPr="00FA1502" w:rsidR="009250FB">
        <w:rPr>
          <w:rFonts w:ascii="Times New Roman" w:eastAsia="Times New Roman" w:hAnsi="Times New Roman" w:cs="Times New Roman"/>
          <w:sz w:val="24"/>
          <w:szCs w:val="24"/>
          <w:lang w:val="en-GB" w:eastAsia="cs-CZ"/>
        </w:rPr>
        <w:t>general</w:t>
      </w:r>
      <w:r w:rsidRPr="00FA1502">
        <w:rPr>
          <w:rFonts w:ascii="Times New Roman" w:eastAsia="Times New Roman" w:hAnsi="Times New Roman" w:cs="Times New Roman"/>
          <w:sz w:val="24"/>
          <w:szCs w:val="24"/>
          <w:lang w:val="en-GB" w:eastAsia="cs-CZ"/>
        </w:rPr>
        <w:t xml:space="preserve"> public. In addition, where applicable, the principles of liability under administrative and criminal law also apply.</w:t>
      </w:r>
    </w:p>
    <w:p w:rsidR="00176359" w:rsidRPr="00FA1502" w:rsidP="00A7116F">
      <w:pPr>
        <w:keepNext/>
        <w:widowControl w:val="0"/>
        <w:numPr>
          <w:ilvl w:val="0"/>
          <w:numId w:val="12"/>
        </w:numPr>
        <w:spacing w:before="120" w:after="120" w:line="240" w:lineRule="auto"/>
        <w:ind w:left="709" w:hanging="441"/>
        <w:jc w:val="both"/>
        <w:rPr>
          <w:rFonts w:ascii="Times New Roman" w:eastAsia="Times New Roman" w:hAnsi="Times New Roman" w:cs="Times New Roman"/>
          <w:b/>
          <w:bCs/>
          <w:sz w:val="24"/>
          <w:szCs w:val="24"/>
          <w:lang w:val="en-GB" w:eastAsia="cs-CZ"/>
        </w:rPr>
      </w:pPr>
      <w:r w:rsidRPr="00FA1502">
        <w:rPr>
          <w:rFonts w:ascii="Times New Roman" w:eastAsia="Times New Roman" w:hAnsi="Times New Roman" w:cs="Times New Roman"/>
          <w:b/>
          <w:bCs/>
          <w:sz w:val="24"/>
          <w:szCs w:val="24"/>
          <w:lang w:val="en-GB" w:eastAsia="cs-CZ"/>
        </w:rPr>
        <w:t>Evaluation of corruption risks</w:t>
      </w:r>
    </w:p>
    <w:p w:rsidR="00176359" w:rsidRPr="00FA1502" w:rsidP="00A7116F">
      <w:pPr>
        <w:keepNext/>
        <w:widowControl w:val="0"/>
        <w:spacing w:after="0" w:line="260" w:lineRule="atLeast"/>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proposed legislation was assessed in accordance with the government's approved </w:t>
      </w:r>
      <w:r w:rsidRPr="00FA1502">
        <w:rPr>
          <w:rFonts w:ascii="Times New Roman" w:eastAsia="Times New Roman" w:hAnsi="Times New Roman" w:cs="Times New Roman"/>
          <w:i/>
          <w:iCs/>
          <w:sz w:val="24"/>
          <w:szCs w:val="24"/>
          <w:lang w:val="en-GB" w:eastAsia="cs-CZ"/>
        </w:rPr>
        <w:t xml:space="preserve">Corrupt Impact Assessment </w:t>
      </w:r>
      <w:r w:rsidRPr="00FA1502">
        <w:rPr>
          <w:rFonts w:ascii="Times New Roman" w:eastAsia="Times New Roman" w:hAnsi="Times New Roman" w:cs="Times New Roman"/>
          <w:sz w:val="24"/>
          <w:szCs w:val="24"/>
          <w:lang w:val="en-GB" w:eastAsia="cs-CZ"/>
        </w:rPr>
        <w:t>(CIA</w:t>
      </w:r>
      <w:r w:rsidRPr="00FA1502" w:rsidR="00A969A6">
        <w:rPr>
          <w:rFonts w:ascii="Times New Roman" w:eastAsia="Times New Roman" w:hAnsi="Times New Roman" w:cs="Times New Roman"/>
          <w:sz w:val="24"/>
          <w:szCs w:val="24"/>
          <w:lang w:val="en-GB" w:eastAsia="cs-CZ"/>
        </w:rPr>
        <w:t>) methodology.</w:t>
      </w:r>
      <w:r w:rsidRPr="00FA1502">
        <w:rPr>
          <w:rFonts w:ascii="Times New Roman" w:eastAsia="Times New Roman" w:hAnsi="Times New Roman" w:cs="Times New Roman"/>
          <w:sz w:val="24"/>
          <w:szCs w:val="24"/>
          <w:lang w:val="en-GB" w:eastAsia="cs-CZ"/>
        </w:rPr>
        <w:t xml:space="preserve"> As part of the CIA procedure (including their hidden forms), the authors of the proposal concluded that the legislation </w:t>
      </w:r>
      <w:r w:rsidRPr="00FA1502" w:rsidR="00A969A6">
        <w:rPr>
          <w:rFonts w:ascii="Times New Roman" w:eastAsia="Times New Roman" w:hAnsi="Times New Roman" w:cs="Times New Roman"/>
          <w:sz w:val="24"/>
          <w:szCs w:val="24"/>
          <w:lang w:val="en-GB" w:eastAsia="cs-CZ"/>
        </w:rPr>
        <w:t>does</w:t>
      </w:r>
      <w:r w:rsidRPr="00FA1502">
        <w:rPr>
          <w:rFonts w:ascii="Times New Roman" w:eastAsia="Times New Roman" w:hAnsi="Times New Roman" w:cs="Times New Roman"/>
          <w:sz w:val="24"/>
          <w:szCs w:val="24"/>
          <w:lang w:val="en-GB" w:eastAsia="cs-CZ"/>
        </w:rPr>
        <w:t xml:space="preserve"> not facilitate corruption in any way or make it more difficult to detect. </w:t>
      </w:r>
    </w:p>
    <w:p w:rsidR="00176359" w:rsidRPr="00FA1502" w:rsidP="00A7116F">
      <w:pPr>
        <w:keepNext/>
        <w:widowControl w:val="0"/>
        <w:spacing w:before="240" w:after="0" w:line="260" w:lineRule="atLeast"/>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proposed legislation does not anticipate the emergence of new or existing corruption risks. </w:t>
      </w:r>
    </w:p>
    <w:p w:rsidR="00176359" w:rsidRPr="00FA1502" w:rsidP="00A7116F">
      <w:pPr>
        <w:keepNext/>
        <w:widowControl w:val="0"/>
        <w:numPr>
          <w:ilvl w:val="0"/>
          <w:numId w:val="12"/>
        </w:numPr>
        <w:spacing w:before="120" w:after="120" w:line="240" w:lineRule="auto"/>
        <w:ind w:left="709" w:hanging="441"/>
        <w:jc w:val="both"/>
        <w:rPr>
          <w:rFonts w:ascii="Times New Roman" w:eastAsia="Times New Roman" w:hAnsi="Times New Roman" w:cs="Times New Roman"/>
          <w:b/>
          <w:bCs/>
          <w:sz w:val="24"/>
          <w:szCs w:val="24"/>
          <w:lang w:val="en-GB" w:eastAsia="cs-CZ"/>
        </w:rPr>
      </w:pPr>
      <w:r w:rsidRPr="00FA1502">
        <w:rPr>
          <w:rFonts w:ascii="Times New Roman" w:eastAsia="Times New Roman" w:hAnsi="Times New Roman" w:cs="Times New Roman"/>
          <w:b/>
          <w:bCs/>
          <w:sz w:val="24"/>
          <w:szCs w:val="24"/>
          <w:lang w:val="en-GB" w:eastAsia="cs-CZ"/>
        </w:rPr>
        <w:t>Assessment of impacts on national security or defen</w:t>
      </w:r>
      <w:r w:rsidRPr="00FA1502" w:rsidR="00A969A6">
        <w:rPr>
          <w:rFonts w:ascii="Times New Roman" w:eastAsia="Times New Roman" w:hAnsi="Times New Roman" w:cs="Times New Roman"/>
          <w:b/>
          <w:bCs/>
          <w:sz w:val="24"/>
          <w:szCs w:val="24"/>
          <w:lang w:val="en-GB" w:eastAsia="cs-CZ"/>
        </w:rPr>
        <w:t>c</w:t>
      </w:r>
      <w:r w:rsidRPr="00FA1502">
        <w:rPr>
          <w:rFonts w:ascii="Times New Roman" w:eastAsia="Times New Roman" w:hAnsi="Times New Roman" w:cs="Times New Roman"/>
          <w:b/>
          <w:bCs/>
          <w:sz w:val="24"/>
          <w:szCs w:val="24"/>
          <w:lang w:val="en-GB" w:eastAsia="cs-CZ"/>
        </w:rPr>
        <w:t>e</w:t>
      </w:r>
    </w:p>
    <w:p w:rsidR="00176359" w:rsidRPr="00FA1502" w:rsidP="00A7116F">
      <w:pPr>
        <w:keepNext/>
        <w:widowControl w:val="0"/>
        <w:spacing w:before="120" w:after="120" w:line="240" w:lineRule="auto"/>
        <w:ind w:left="72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bill has no </w:t>
      </w:r>
      <w:r w:rsidRPr="00FA1502" w:rsidR="00A969A6">
        <w:rPr>
          <w:rFonts w:ascii="Times New Roman" w:eastAsia="Times New Roman" w:hAnsi="Times New Roman" w:cs="Times New Roman"/>
          <w:sz w:val="24"/>
          <w:szCs w:val="24"/>
          <w:lang w:val="en-GB" w:eastAsia="cs-CZ"/>
        </w:rPr>
        <w:t>impact on the security or defenc</w:t>
      </w:r>
      <w:r w:rsidRPr="00FA1502">
        <w:rPr>
          <w:rFonts w:ascii="Times New Roman" w:eastAsia="Times New Roman" w:hAnsi="Times New Roman" w:cs="Times New Roman"/>
          <w:sz w:val="24"/>
          <w:szCs w:val="24"/>
          <w:lang w:val="en-GB" w:eastAsia="cs-CZ"/>
        </w:rPr>
        <w:t>e of the state.</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br w:type="page"/>
      </w:r>
    </w:p>
    <w:p w:rsidR="00176359" w:rsidRPr="00FA1502" w:rsidP="00A7116F">
      <w:pPr>
        <w:keepNext/>
        <w:spacing w:before="120" w:after="120" w:line="240" w:lineRule="auto"/>
        <w:ind w:left="425"/>
        <w:jc w:val="center"/>
        <w:outlineLvl w:val="0"/>
        <w:rPr>
          <w:rFonts w:ascii="Times New Roman" w:eastAsia="Times New Roman" w:hAnsi="Times New Roman" w:cs="Times New Roman"/>
          <w:b/>
          <w:bCs/>
          <w:kern w:val="36"/>
          <w:sz w:val="24"/>
          <w:szCs w:val="24"/>
          <w:lang w:val="en-GB" w:eastAsia="cs-CZ"/>
        </w:rPr>
      </w:pPr>
      <w:r w:rsidRPr="00FA1502">
        <w:rPr>
          <w:rFonts w:ascii="Times New Roman" w:eastAsia="Times New Roman" w:hAnsi="Times New Roman" w:cs="Times New Roman"/>
          <w:b/>
          <w:bCs/>
          <w:kern w:val="36"/>
          <w:sz w:val="24"/>
          <w:szCs w:val="24"/>
          <w:lang w:val="en-GB" w:eastAsia="cs-CZ"/>
        </w:rPr>
        <w:t>Abbreviations</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List of abbreviations of legislation</w:t>
      </w:r>
    </w:p>
    <w:tbl>
      <w:tblPr>
        <w:tblW w:w="0" w:type="auto"/>
        <w:tblCellMar>
          <w:left w:w="0" w:type="dxa"/>
          <w:right w:w="0" w:type="dxa"/>
        </w:tblCellMar>
        <w:tblLook w:val="04A0"/>
      </w:tblPr>
      <w:tblGrid>
        <w:gridCol w:w="3873"/>
        <w:gridCol w:w="5199"/>
      </w:tblGrid>
      <w:tr w:rsidTr="00176359">
        <w:tblPrEx>
          <w:tblW w:w="0" w:type="auto"/>
          <w:tblCellMar>
            <w:left w:w="0" w:type="dxa"/>
            <w:right w:w="0" w:type="dxa"/>
          </w:tblCellMar>
          <w:tblLook w:val="04A0"/>
        </w:tblPrEx>
        <w:tc>
          <w:tcPr>
            <w:tcW w:w="3936" w:type="dxa"/>
            <w:tcMar>
              <w:top w:w="0" w:type="dxa"/>
              <w:left w:w="108" w:type="dxa"/>
              <w:bottom w:w="0" w:type="dxa"/>
              <w:right w:w="108" w:type="dxa"/>
            </w:tcMar>
            <w:hideMark/>
          </w:tcPr>
          <w:p w:rsidR="00176359" w:rsidRPr="00FA1502" w:rsidP="00A7116F">
            <w:pPr>
              <w:keepNext/>
              <w:spacing w:before="120" w:after="120" w:line="240" w:lineRule="auto"/>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ER</w:t>
            </w:r>
          </w:p>
        </w:tc>
        <w:tc>
          <w:tcPr>
            <w:tcW w:w="5276"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Act No. 120/2001 Coll., on Court Executors and Enforcement Activities (Enforcement Code) and on Amendments to Other Acts, as amended </w:t>
            </w:r>
          </w:p>
        </w:tc>
      </w:tr>
      <w:tr w:rsidTr="00176359">
        <w:tblPrEx>
          <w:tblW w:w="0" w:type="auto"/>
          <w:tblCellMar>
            <w:left w:w="0" w:type="dxa"/>
            <w:right w:w="0" w:type="dxa"/>
          </w:tblCellMar>
          <w:tblLook w:val="04A0"/>
        </w:tblPrEx>
        <w:tc>
          <w:tcPr>
            <w:tcW w:w="3936"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InsZ</w:t>
            </w:r>
          </w:p>
        </w:tc>
        <w:tc>
          <w:tcPr>
            <w:tcW w:w="5276"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Act No. 182/2006 Coll., on Insolvency and Methods of its Resolution (Insolvency Act), as amended</w:t>
            </w:r>
          </w:p>
        </w:tc>
      </w:tr>
      <w:tr w:rsidTr="00176359">
        <w:tblPrEx>
          <w:tblW w:w="0" w:type="auto"/>
          <w:tblCellMar>
            <w:left w:w="0" w:type="dxa"/>
            <w:right w:w="0" w:type="dxa"/>
          </w:tblCellMar>
          <w:tblLook w:val="04A0"/>
        </w:tblPrEx>
        <w:tc>
          <w:tcPr>
            <w:tcW w:w="3936"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ZDP</w:t>
            </w:r>
          </w:p>
        </w:tc>
        <w:tc>
          <w:tcPr>
            <w:tcW w:w="5276"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Act no. 586</w:t>
            </w:r>
            <w:r w:rsidRPr="00FA1502" w:rsidR="00C95EFE">
              <w:rPr>
                <w:rFonts w:ascii="Times New Roman" w:eastAsia="Times New Roman" w:hAnsi="Times New Roman" w:cs="Times New Roman"/>
                <w:sz w:val="24"/>
                <w:szCs w:val="24"/>
                <w:lang w:val="en-GB" w:eastAsia="cs-CZ"/>
              </w:rPr>
              <w:t>/1992 Coll., on Income T</w:t>
            </w:r>
            <w:r w:rsidRPr="00FA1502">
              <w:rPr>
                <w:rFonts w:ascii="Times New Roman" w:eastAsia="Times New Roman" w:hAnsi="Times New Roman" w:cs="Times New Roman"/>
                <w:sz w:val="24"/>
                <w:szCs w:val="24"/>
                <w:lang w:val="en-GB" w:eastAsia="cs-CZ"/>
              </w:rPr>
              <w:t>axes, as amended</w:t>
            </w:r>
          </w:p>
        </w:tc>
      </w:tr>
      <w:tr w:rsidTr="00176359">
        <w:tblPrEx>
          <w:tblW w:w="0" w:type="auto"/>
          <w:tblCellMar>
            <w:left w:w="0" w:type="dxa"/>
            <w:right w:w="0" w:type="dxa"/>
          </w:tblCellMar>
          <w:tblLook w:val="04A0"/>
        </w:tblPrEx>
        <w:tc>
          <w:tcPr>
            <w:tcW w:w="3936"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ZDPS</w:t>
            </w:r>
          </w:p>
        </w:tc>
        <w:tc>
          <w:tcPr>
            <w:tcW w:w="5276"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Act No. 427/2011 Coll., on Supplementary Pension S</w:t>
            </w:r>
            <w:r w:rsidRPr="00FA1502">
              <w:rPr>
                <w:rFonts w:ascii="Times New Roman" w:eastAsia="Times New Roman" w:hAnsi="Times New Roman" w:cs="Times New Roman"/>
                <w:sz w:val="24"/>
                <w:szCs w:val="24"/>
                <w:lang w:val="en-GB" w:eastAsia="cs-CZ"/>
              </w:rPr>
              <w:t>avings, as amended</w:t>
            </w:r>
          </w:p>
        </w:tc>
      </w:tr>
      <w:tr w:rsidTr="00176359">
        <w:tblPrEx>
          <w:tblW w:w="0" w:type="auto"/>
          <w:tblCellMar>
            <w:left w:w="0" w:type="dxa"/>
            <w:right w:w="0" w:type="dxa"/>
          </w:tblCellMar>
          <w:tblLook w:val="04A0"/>
        </w:tblPrEx>
        <w:tc>
          <w:tcPr>
            <w:tcW w:w="3936"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ZISIF</w:t>
            </w:r>
          </w:p>
        </w:tc>
        <w:tc>
          <w:tcPr>
            <w:tcW w:w="5276"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Act N</w:t>
            </w:r>
            <w:r w:rsidRPr="00FA1502" w:rsidR="00C95EFE">
              <w:rPr>
                <w:rFonts w:ascii="Times New Roman" w:eastAsia="Times New Roman" w:hAnsi="Times New Roman" w:cs="Times New Roman"/>
                <w:sz w:val="24"/>
                <w:szCs w:val="24"/>
                <w:lang w:val="en-GB" w:eastAsia="cs-CZ"/>
              </w:rPr>
              <w:t>o. 240/2013 Coll., on Management</w:t>
            </w:r>
            <w:r w:rsidRPr="00FA1502">
              <w:rPr>
                <w:rFonts w:ascii="Times New Roman" w:eastAsia="Times New Roman" w:hAnsi="Times New Roman" w:cs="Times New Roman"/>
                <w:sz w:val="24"/>
                <w:szCs w:val="24"/>
                <w:lang w:val="en-GB" w:eastAsia="cs-CZ"/>
              </w:rPr>
              <w:t xml:space="preserve"> Companies and Investment Funds, as amended</w:t>
            </w:r>
          </w:p>
        </w:tc>
      </w:tr>
      <w:tr w:rsidTr="00176359">
        <w:tblPrEx>
          <w:tblW w:w="0" w:type="auto"/>
          <w:tblCellMar>
            <w:left w:w="0" w:type="dxa"/>
            <w:right w:w="0" w:type="dxa"/>
          </w:tblCellMar>
          <w:tblLook w:val="04A0"/>
        </w:tblPrEx>
        <w:tc>
          <w:tcPr>
            <w:tcW w:w="3936"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ZoDluh</w:t>
            </w:r>
          </w:p>
        </w:tc>
        <w:tc>
          <w:tcPr>
            <w:tcW w:w="5276"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Act No. 190/2004 Coll., on Bonds, as amended</w:t>
            </w:r>
          </w:p>
        </w:tc>
      </w:tr>
      <w:tr w:rsidTr="00176359">
        <w:tblPrEx>
          <w:tblW w:w="0" w:type="auto"/>
          <w:tblCellMar>
            <w:left w:w="0" w:type="dxa"/>
            <w:right w:w="0" w:type="dxa"/>
          </w:tblCellMar>
          <w:tblLook w:val="04A0"/>
        </w:tblPrEx>
        <w:tc>
          <w:tcPr>
            <w:tcW w:w="3936"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ZoFA</w:t>
            </w:r>
          </w:p>
        </w:tc>
        <w:tc>
          <w:tcPr>
            <w:tcW w:w="5276"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Act No. 229/2002 Coll., on the Financial Arbiter, as amended </w:t>
            </w:r>
          </w:p>
        </w:tc>
      </w:tr>
      <w:tr w:rsidTr="00176359">
        <w:tblPrEx>
          <w:tblW w:w="0" w:type="auto"/>
          <w:tblCellMar>
            <w:left w:w="0" w:type="dxa"/>
            <w:right w:w="0" w:type="dxa"/>
          </w:tblCellMar>
          <w:tblLook w:val="04A0"/>
        </w:tblPrEx>
        <w:tc>
          <w:tcPr>
            <w:tcW w:w="3936"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ZoKB</w:t>
            </w:r>
          </w:p>
        </w:tc>
        <w:tc>
          <w:tcPr>
            <w:tcW w:w="5276"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Act No. 229/1992 Coll., on Commodity E</w:t>
            </w:r>
            <w:r w:rsidRPr="00FA1502">
              <w:rPr>
                <w:rFonts w:ascii="Times New Roman" w:eastAsia="Times New Roman" w:hAnsi="Times New Roman" w:cs="Times New Roman"/>
                <w:sz w:val="24"/>
                <w:szCs w:val="24"/>
                <w:lang w:val="en-GB" w:eastAsia="cs-CZ"/>
              </w:rPr>
              <w:t>xchanges, as amended </w:t>
            </w:r>
          </w:p>
        </w:tc>
      </w:tr>
      <w:tr w:rsidTr="00176359">
        <w:tblPrEx>
          <w:tblW w:w="0" w:type="auto"/>
          <w:tblCellMar>
            <w:left w:w="0" w:type="dxa"/>
            <w:right w:w="0" w:type="dxa"/>
          </w:tblCellMar>
          <w:tblLook w:val="04A0"/>
        </w:tblPrEx>
        <w:tc>
          <w:tcPr>
            <w:tcW w:w="3936"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ZoRekl</w:t>
            </w:r>
          </w:p>
        </w:tc>
        <w:tc>
          <w:tcPr>
            <w:tcW w:w="5276"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Act No. 40/1995 Coll., On regulation of advertising and amending Act no. 468/1991 Coll., On radio and television broadcasting</w:t>
            </w:r>
            <w:r w:rsidRPr="00FA1502">
              <w:rPr>
                <w:rFonts w:ascii="Times New Roman" w:eastAsia="Times New Roman" w:hAnsi="Times New Roman" w:cs="Times New Roman"/>
                <w:sz w:val="24"/>
                <w:szCs w:val="24"/>
                <w:lang w:val="en-GB" w:eastAsia="cs-CZ"/>
              </w:rPr>
              <w:t>, as amended, as amended</w:t>
            </w:r>
          </w:p>
        </w:tc>
      </w:tr>
      <w:tr w:rsidTr="00176359">
        <w:tblPrEx>
          <w:tblW w:w="0" w:type="auto"/>
          <w:tblCellMar>
            <w:left w:w="0" w:type="dxa"/>
            <w:right w:w="0" w:type="dxa"/>
          </w:tblCellMar>
          <w:tblLook w:val="04A0"/>
        </w:tblPrEx>
        <w:tc>
          <w:tcPr>
            <w:tcW w:w="3936"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Zo</w:t>
            </w:r>
            <w:r w:rsidRPr="00FA1502">
              <w:rPr>
                <w:rFonts w:ascii="Times New Roman" w:eastAsia="Times New Roman" w:hAnsi="Times New Roman" w:cs="Times New Roman"/>
                <w:b/>
                <w:bCs/>
                <w:sz w:val="24"/>
                <w:szCs w:val="24"/>
                <w:lang w:val="en-GB" w:eastAsia="cs-CZ"/>
              </w:rPr>
              <w:t>SP</w:t>
            </w:r>
          </w:p>
        </w:tc>
        <w:tc>
          <w:tcPr>
            <w:tcW w:w="5276"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Act no. 634/2004 Coll., on Administrative F</w:t>
            </w:r>
            <w:r w:rsidRPr="00FA1502">
              <w:rPr>
                <w:rFonts w:ascii="Times New Roman" w:eastAsia="Times New Roman" w:hAnsi="Times New Roman" w:cs="Times New Roman"/>
                <w:sz w:val="24"/>
                <w:szCs w:val="24"/>
                <w:lang w:val="en-GB" w:eastAsia="cs-CZ"/>
              </w:rPr>
              <w:t>ees, as a</w:t>
            </w:r>
            <w:r w:rsidRPr="00FA1502">
              <w:rPr>
                <w:rFonts w:ascii="Times New Roman" w:eastAsia="Times New Roman" w:hAnsi="Times New Roman" w:cs="Times New Roman"/>
                <w:sz w:val="24"/>
                <w:szCs w:val="24"/>
                <w:lang w:val="en-GB" w:eastAsia="cs-CZ"/>
              </w:rPr>
              <w:t>mended</w:t>
            </w:r>
            <w:r w:rsidRPr="00FA1502">
              <w:rPr>
                <w:rFonts w:ascii="Times New Roman" w:eastAsia="Times New Roman" w:hAnsi="Times New Roman" w:cs="Times New Roman"/>
                <w:sz w:val="24"/>
                <w:szCs w:val="24"/>
                <w:lang w:val="en-GB" w:eastAsia="cs-CZ"/>
              </w:rPr>
              <w:t> </w:t>
            </w:r>
          </w:p>
        </w:tc>
      </w:tr>
      <w:tr w:rsidTr="00176359">
        <w:tblPrEx>
          <w:tblW w:w="0" w:type="auto"/>
          <w:tblCellMar>
            <w:left w:w="0" w:type="dxa"/>
            <w:right w:w="0" w:type="dxa"/>
          </w:tblCellMar>
          <w:tblLook w:val="04A0"/>
        </w:tblPrEx>
        <w:tc>
          <w:tcPr>
            <w:tcW w:w="3936"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ZPKT</w:t>
            </w:r>
          </w:p>
        </w:tc>
        <w:tc>
          <w:tcPr>
            <w:tcW w:w="5276"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Act No. 256/2004 Coll.</w:t>
            </w:r>
            <w:r w:rsidRPr="00FA1502" w:rsidR="00E43A33">
              <w:rPr>
                <w:rFonts w:ascii="Times New Roman" w:eastAsia="Times New Roman" w:hAnsi="Times New Roman" w:cs="Times New Roman"/>
                <w:sz w:val="24"/>
                <w:szCs w:val="24"/>
                <w:lang w:val="en-GB" w:eastAsia="cs-CZ"/>
              </w:rPr>
              <w:t>, on Capital Market Business</w:t>
            </w:r>
            <w:r w:rsidRPr="00FA1502">
              <w:rPr>
                <w:rFonts w:ascii="Times New Roman" w:eastAsia="Times New Roman" w:hAnsi="Times New Roman" w:cs="Times New Roman"/>
                <w:sz w:val="24"/>
                <w:szCs w:val="24"/>
                <w:lang w:val="en-GB" w:eastAsia="cs-CZ"/>
              </w:rPr>
              <w:t>, as amended</w:t>
            </w:r>
          </w:p>
        </w:tc>
      </w:tr>
    </w:tbl>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 </w:t>
      </w:r>
    </w:p>
    <w:p w:rsidR="00176359" w:rsidRPr="00FA1502" w:rsidP="00A7116F">
      <w:pPr>
        <w:keepNext/>
        <w:spacing w:after="200" w:line="276"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br w:type="page"/>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List of other abbreviations</w:t>
      </w:r>
    </w:p>
    <w:tbl>
      <w:tblPr>
        <w:tblW w:w="0" w:type="auto"/>
        <w:tblCellMar>
          <w:left w:w="0" w:type="dxa"/>
          <w:right w:w="0" w:type="dxa"/>
        </w:tblCellMar>
        <w:tblLook w:val="04A0"/>
      </w:tblPr>
      <w:tblGrid>
        <w:gridCol w:w="2484"/>
        <w:gridCol w:w="6588"/>
      </w:tblGrid>
      <w:tr w:rsidTr="00176359">
        <w:tblPrEx>
          <w:tblW w:w="0" w:type="auto"/>
          <w:tblCellMar>
            <w:left w:w="0" w:type="dxa"/>
            <w:right w:w="0" w:type="dxa"/>
          </w:tblCellMar>
          <w:tblLook w:val="04A0"/>
        </w:tblPrEx>
        <w:tc>
          <w:tcPr>
            <w:tcW w:w="2518"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CNB</w:t>
            </w:r>
          </w:p>
        </w:tc>
        <w:tc>
          <w:tcPr>
            <w:tcW w:w="6694" w:type="dxa"/>
            <w:tcMar>
              <w:top w:w="0" w:type="dxa"/>
              <w:left w:w="108" w:type="dxa"/>
              <w:bottom w:w="0" w:type="dxa"/>
              <w:right w:w="108" w:type="dxa"/>
            </w:tcMar>
            <w:hideMark/>
          </w:tcPr>
          <w:p w:rsidR="00176359" w:rsidRPr="00FA1502" w:rsidP="00A7116F">
            <w:pPr>
              <w:keepNext/>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Czech National Bank</w:t>
            </w:r>
          </w:p>
        </w:tc>
      </w:tr>
      <w:tr w:rsidTr="00176359">
        <w:tblPrEx>
          <w:tblW w:w="0" w:type="auto"/>
          <w:tblCellMar>
            <w:left w:w="0" w:type="dxa"/>
            <w:right w:w="0" w:type="dxa"/>
          </w:tblCellMar>
          <w:tblLook w:val="04A0"/>
        </w:tblPrEx>
        <w:tc>
          <w:tcPr>
            <w:tcW w:w="2518"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C</w:t>
            </w:r>
            <w:r w:rsidRPr="00FA1502">
              <w:rPr>
                <w:rFonts w:ascii="Times New Roman" w:eastAsia="Times New Roman" w:hAnsi="Times New Roman" w:cs="Times New Roman"/>
                <w:b/>
                <w:bCs/>
                <w:sz w:val="24"/>
                <w:szCs w:val="24"/>
                <w:lang w:val="en-GB" w:eastAsia="cs-CZ"/>
              </w:rPr>
              <w:t>R</w:t>
            </w:r>
          </w:p>
        </w:tc>
        <w:tc>
          <w:tcPr>
            <w:tcW w:w="6694" w:type="dxa"/>
            <w:tcMar>
              <w:top w:w="0" w:type="dxa"/>
              <w:left w:w="108" w:type="dxa"/>
              <w:bottom w:w="0" w:type="dxa"/>
              <w:right w:w="108" w:type="dxa"/>
            </w:tcMar>
            <w:hideMark/>
          </w:tcPr>
          <w:p w:rsidR="00176359" w:rsidRPr="00FA1502" w:rsidP="00A7116F">
            <w:pPr>
              <w:keepNext/>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Czech Republic</w:t>
            </w:r>
          </w:p>
        </w:tc>
      </w:tr>
      <w:tr w:rsidTr="00176359">
        <w:tblPrEx>
          <w:tblW w:w="0" w:type="auto"/>
          <w:tblCellMar>
            <w:left w:w="0" w:type="dxa"/>
            <w:right w:w="0" w:type="dxa"/>
          </w:tblCellMar>
          <w:tblLook w:val="04A0"/>
        </w:tblPrEx>
        <w:tc>
          <w:tcPr>
            <w:tcW w:w="2518"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EU</w:t>
            </w:r>
          </w:p>
        </w:tc>
        <w:tc>
          <w:tcPr>
            <w:tcW w:w="6694" w:type="dxa"/>
            <w:tcMar>
              <w:top w:w="0" w:type="dxa"/>
              <w:left w:w="108" w:type="dxa"/>
              <w:bottom w:w="0" w:type="dxa"/>
              <w:right w:w="108" w:type="dxa"/>
            </w:tcMar>
            <w:hideMark/>
          </w:tcPr>
          <w:p w:rsidR="00176359" w:rsidRPr="00FA1502" w:rsidP="00A7116F">
            <w:pPr>
              <w:keepNext/>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European Union</w:t>
            </w:r>
          </w:p>
        </w:tc>
      </w:tr>
      <w:tr w:rsidTr="00176359">
        <w:tblPrEx>
          <w:tblW w:w="0" w:type="auto"/>
          <w:tblCellMar>
            <w:left w:w="0" w:type="dxa"/>
            <w:right w:w="0" w:type="dxa"/>
          </w:tblCellMar>
          <w:tblLook w:val="04A0"/>
        </w:tblPrEx>
        <w:tc>
          <w:tcPr>
            <w:tcW w:w="2518"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CZK</w:t>
            </w:r>
          </w:p>
        </w:tc>
        <w:tc>
          <w:tcPr>
            <w:tcW w:w="6694" w:type="dxa"/>
            <w:tcMar>
              <w:top w:w="0" w:type="dxa"/>
              <w:left w:w="108" w:type="dxa"/>
              <w:bottom w:w="0" w:type="dxa"/>
              <w:right w:w="108" w:type="dxa"/>
            </w:tcMar>
            <w:hideMark/>
          </w:tcPr>
          <w:p w:rsidR="00176359" w:rsidRPr="00FA1502" w:rsidP="00A7116F">
            <w:pPr>
              <w:keepNext/>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Czech crown</w:t>
            </w:r>
          </w:p>
        </w:tc>
      </w:tr>
      <w:tr w:rsidTr="00176359">
        <w:tblPrEx>
          <w:tblW w:w="0" w:type="auto"/>
          <w:tblCellMar>
            <w:left w:w="0" w:type="dxa"/>
            <w:right w:w="0" w:type="dxa"/>
          </w:tblCellMar>
          <w:tblLook w:val="04A0"/>
        </w:tblPrEx>
        <w:tc>
          <w:tcPr>
            <w:tcW w:w="2518"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MFC</w:t>
            </w:r>
            <w:r w:rsidRPr="00FA1502">
              <w:rPr>
                <w:rFonts w:ascii="Times New Roman" w:eastAsia="Times New Roman" w:hAnsi="Times New Roman" w:cs="Times New Roman"/>
                <w:b/>
                <w:bCs/>
                <w:sz w:val="24"/>
                <w:szCs w:val="24"/>
                <w:lang w:val="en-GB" w:eastAsia="cs-CZ"/>
              </w:rPr>
              <w:t>R</w:t>
            </w:r>
          </w:p>
        </w:tc>
        <w:tc>
          <w:tcPr>
            <w:tcW w:w="6694" w:type="dxa"/>
            <w:tcMar>
              <w:top w:w="0" w:type="dxa"/>
              <w:left w:w="108" w:type="dxa"/>
              <w:bottom w:w="0" w:type="dxa"/>
              <w:right w:w="108" w:type="dxa"/>
            </w:tcMar>
            <w:hideMark/>
          </w:tcPr>
          <w:p w:rsidR="00176359" w:rsidRPr="00FA1502" w:rsidP="00A7116F">
            <w:pPr>
              <w:keepNext/>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Ministry of Finance of the Czech Republic</w:t>
            </w:r>
          </w:p>
        </w:tc>
      </w:tr>
      <w:tr w:rsidTr="00176359">
        <w:tblPrEx>
          <w:tblW w:w="0" w:type="auto"/>
          <w:tblCellMar>
            <w:left w:w="0" w:type="dxa"/>
            <w:right w:w="0" w:type="dxa"/>
          </w:tblCellMar>
          <w:tblLook w:val="04A0"/>
        </w:tblPrEx>
        <w:tc>
          <w:tcPr>
            <w:tcW w:w="2518"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NAV</w:t>
            </w:r>
          </w:p>
        </w:tc>
        <w:tc>
          <w:tcPr>
            <w:tcW w:w="6694" w:type="dxa"/>
            <w:tcMar>
              <w:top w:w="0" w:type="dxa"/>
              <w:left w:w="108" w:type="dxa"/>
              <w:bottom w:w="0" w:type="dxa"/>
              <w:right w:w="108" w:type="dxa"/>
            </w:tcMar>
            <w:hideMark/>
          </w:tcPr>
          <w:p w:rsidR="00176359" w:rsidRPr="00FA1502" w:rsidP="00A7116F">
            <w:pPr>
              <w:keepNext/>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fund capital (</w:t>
            </w:r>
            <w:r w:rsidRPr="00FA1502">
              <w:rPr>
                <w:rFonts w:ascii="Times New Roman" w:eastAsia="Times New Roman" w:hAnsi="Times New Roman" w:cs="Times New Roman"/>
                <w:i/>
                <w:iCs/>
                <w:sz w:val="24"/>
                <w:szCs w:val="24"/>
                <w:lang w:val="en-GB" w:eastAsia="cs-CZ"/>
              </w:rPr>
              <w:t>net asset value</w:t>
            </w:r>
            <w:r w:rsidRPr="00FA1502">
              <w:rPr>
                <w:rFonts w:ascii="Times New Roman" w:eastAsia="Times New Roman" w:hAnsi="Times New Roman" w:cs="Times New Roman"/>
                <w:sz w:val="24"/>
                <w:szCs w:val="24"/>
                <w:lang w:val="en-GB" w:eastAsia="cs-CZ"/>
              </w:rPr>
              <w:t>)</w:t>
            </w:r>
          </w:p>
        </w:tc>
      </w:tr>
      <w:tr w:rsidTr="00176359">
        <w:tblPrEx>
          <w:tblW w:w="0" w:type="auto"/>
          <w:tblCellMar>
            <w:left w:w="0" w:type="dxa"/>
            <w:right w:w="0" w:type="dxa"/>
          </w:tblCellMar>
          <w:tblLook w:val="04A0"/>
        </w:tblPrEx>
        <w:tc>
          <w:tcPr>
            <w:tcW w:w="2518"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SICAV</w:t>
            </w:r>
          </w:p>
        </w:tc>
        <w:tc>
          <w:tcPr>
            <w:tcW w:w="6694" w:type="dxa"/>
            <w:tcMar>
              <w:top w:w="0" w:type="dxa"/>
              <w:left w:w="108" w:type="dxa"/>
              <w:bottom w:w="0" w:type="dxa"/>
              <w:right w:w="108" w:type="dxa"/>
            </w:tcMar>
            <w:hideMark/>
          </w:tcPr>
          <w:p w:rsidR="00176359" w:rsidRPr="00FA1502" w:rsidP="00A7116F">
            <w:pPr>
              <w:keepNext/>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joint-stock compan</w:t>
            </w:r>
            <w:r w:rsidRPr="00FA1502" w:rsidR="00E43A33">
              <w:rPr>
                <w:rFonts w:ascii="Times New Roman" w:eastAsia="Times New Roman" w:hAnsi="Times New Roman" w:cs="Times New Roman"/>
                <w:sz w:val="24"/>
                <w:szCs w:val="24"/>
                <w:lang w:val="en-GB" w:eastAsia="cs-CZ"/>
              </w:rPr>
              <w:t>y with variable registered capital (</w:t>
            </w:r>
            <w:r w:rsidRPr="00FA1502">
              <w:rPr>
                <w:rFonts w:ascii="Times New Roman" w:eastAsia="Times New Roman" w:hAnsi="Times New Roman" w:cs="Times New Roman"/>
                <w:i/>
                <w:iCs/>
                <w:sz w:val="24"/>
                <w:szCs w:val="24"/>
                <w:lang w:val="en-GB" w:eastAsia="cs-CZ"/>
              </w:rPr>
              <w:t>société</w:t>
            </w:r>
            <w:r w:rsidRPr="00FA1502">
              <w:rPr>
                <w:rFonts w:ascii="Times New Roman" w:eastAsia="Times New Roman" w:hAnsi="Times New Roman" w:cs="Times New Roman"/>
                <w:i/>
                <w:iCs/>
                <w:sz w:val="24"/>
                <w:szCs w:val="24"/>
                <w:lang w:val="en-GB" w:eastAsia="cs-CZ"/>
              </w:rPr>
              <w:t xml:space="preserve"> </w:t>
            </w:r>
            <w:r w:rsidRPr="00FA1502">
              <w:rPr>
                <w:rFonts w:ascii="Times New Roman" w:eastAsia="Times New Roman" w:hAnsi="Times New Roman" w:cs="Times New Roman"/>
                <w:i/>
                <w:iCs/>
                <w:sz w:val="24"/>
                <w:szCs w:val="24"/>
                <w:lang w:val="en-GB" w:eastAsia="cs-CZ"/>
              </w:rPr>
              <w:t>d'in</w:t>
            </w:r>
            <w:r w:rsidRPr="00FA1502" w:rsidR="00E43A33">
              <w:rPr>
                <w:rFonts w:ascii="Times New Roman" w:eastAsia="Times New Roman" w:hAnsi="Times New Roman" w:cs="Times New Roman"/>
                <w:i/>
                <w:iCs/>
                <w:sz w:val="24"/>
                <w:szCs w:val="24"/>
                <w:lang w:val="en-GB" w:eastAsia="cs-CZ"/>
              </w:rPr>
              <w:t>vestissement</w:t>
            </w:r>
            <w:r w:rsidRPr="00FA1502" w:rsidR="00E43A33">
              <w:rPr>
                <w:rFonts w:ascii="Times New Roman" w:eastAsia="Times New Roman" w:hAnsi="Times New Roman" w:cs="Times New Roman"/>
                <w:i/>
                <w:iCs/>
                <w:sz w:val="24"/>
                <w:szCs w:val="24"/>
                <w:lang w:val="en-GB" w:eastAsia="cs-CZ"/>
              </w:rPr>
              <w:t xml:space="preserve"> à capital variable</w:t>
            </w:r>
            <w:r w:rsidRPr="00FA1502">
              <w:rPr>
                <w:rFonts w:ascii="Times New Roman" w:eastAsia="Times New Roman" w:hAnsi="Times New Roman" w:cs="Times New Roman"/>
                <w:sz w:val="24"/>
                <w:szCs w:val="24"/>
                <w:lang w:val="en-GB" w:eastAsia="cs-CZ"/>
              </w:rPr>
              <w:t>)</w:t>
            </w:r>
          </w:p>
        </w:tc>
      </w:tr>
      <w:tr w:rsidTr="00176359">
        <w:tblPrEx>
          <w:tblW w:w="0" w:type="auto"/>
          <w:tblCellMar>
            <w:left w:w="0" w:type="dxa"/>
            <w:right w:w="0" w:type="dxa"/>
          </w:tblCellMar>
          <w:tblLook w:val="04A0"/>
        </w:tblPrEx>
        <w:tc>
          <w:tcPr>
            <w:tcW w:w="2518" w:type="dxa"/>
            <w:tcMar>
              <w:top w:w="0" w:type="dxa"/>
              <w:left w:w="108" w:type="dxa"/>
              <w:bottom w:w="0" w:type="dxa"/>
              <w:right w:w="108" w:type="dxa"/>
            </w:tcMar>
            <w:hideMark/>
          </w:tcPr>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XML</w:t>
            </w:r>
          </w:p>
        </w:tc>
        <w:tc>
          <w:tcPr>
            <w:tcW w:w="6694" w:type="dxa"/>
            <w:tcMar>
              <w:top w:w="0" w:type="dxa"/>
              <w:left w:w="108" w:type="dxa"/>
              <w:bottom w:w="0" w:type="dxa"/>
              <w:right w:w="108" w:type="dxa"/>
            </w:tcMar>
            <w:hideMark/>
          </w:tcPr>
          <w:p w:rsidR="00176359" w:rsidRPr="00FA1502" w:rsidP="00A7116F">
            <w:pPr>
              <w:keepNext/>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eXtensible</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Markup</w:t>
            </w:r>
            <w:r w:rsidRPr="00FA1502">
              <w:rPr>
                <w:rFonts w:ascii="Times New Roman" w:eastAsia="Times New Roman" w:hAnsi="Times New Roman" w:cs="Times New Roman"/>
                <w:sz w:val="24"/>
                <w:szCs w:val="24"/>
                <w:lang w:val="en-GB" w:eastAsia="cs-CZ"/>
              </w:rPr>
              <w:t xml:space="preserve"> Language</w:t>
            </w:r>
          </w:p>
        </w:tc>
      </w:tr>
    </w:tbl>
    <w:p w:rsidR="00176359" w:rsidRPr="00FA1502" w:rsidP="00A7116F">
      <w:pPr>
        <w:keepNext/>
        <w:widowControl w:val="0"/>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br w:type="page"/>
      </w:r>
      <w:r w:rsidRPr="00FA1502">
        <w:rPr>
          <w:rFonts w:ascii="Times New Roman" w:eastAsia="Times New Roman" w:hAnsi="Times New Roman" w:cs="Times New Roman"/>
          <w:b/>
          <w:bCs/>
          <w:sz w:val="28"/>
          <w:szCs w:val="28"/>
          <w:lang w:val="en-GB" w:eastAsia="cs-CZ"/>
        </w:rPr>
        <w:t>SPECIAL PART</w:t>
      </w:r>
    </w:p>
    <w:p w:rsidR="00176359" w:rsidRPr="00FA1502" w:rsidP="00A7116F">
      <w:pPr>
        <w:keepNext/>
        <w:widowControl w:val="0"/>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The first part, Article I </w:t>
      </w:r>
    </w:p>
    <w:p w:rsidR="00176359" w:rsidRPr="00FA1502" w:rsidP="00A7116F">
      <w:pPr>
        <w:keepNext/>
        <w:widowControl w:val="0"/>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Amendment of the Act on commodity exchanges</w:t>
      </w:r>
    </w:p>
    <w:p w:rsidR="00176359" w:rsidRPr="00FA1502" w:rsidP="00A7116F">
      <w:pPr>
        <w:keepNext/>
        <w:widowControl w:val="0"/>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points 1 to 3 (Section 28</w:t>
      </w:r>
      <w:r w:rsidRPr="00FA1502">
        <w:rPr>
          <w:rFonts w:ascii="Times New Roman" w:eastAsia="Times New Roman" w:hAnsi="Times New Roman" w:cs="Times New Roman"/>
          <w:b/>
          <w:bCs/>
          <w:sz w:val="24"/>
          <w:szCs w:val="24"/>
          <w:u w:val="single"/>
          <w:lang w:val="en-GB" w:eastAsia="cs-CZ"/>
        </w:rPr>
        <w:t>, including the heading</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With regard to equal access, when </w:t>
      </w:r>
      <w:r w:rsidRPr="00FA1502" w:rsidR="00306D0B">
        <w:rPr>
          <w:rFonts w:ascii="Times New Roman" w:eastAsia="Times New Roman" w:hAnsi="Times New Roman" w:cs="Times New Roman"/>
          <w:sz w:val="24"/>
          <w:szCs w:val="24"/>
          <w:lang w:val="en-GB" w:eastAsia="cs-CZ"/>
        </w:rPr>
        <w:t xml:space="preserve">it is </w:t>
      </w:r>
      <w:r w:rsidRPr="00FA1502">
        <w:rPr>
          <w:rFonts w:ascii="Times New Roman" w:eastAsia="Times New Roman" w:hAnsi="Times New Roman" w:cs="Times New Roman"/>
          <w:sz w:val="24"/>
          <w:szCs w:val="24"/>
          <w:lang w:val="en-GB" w:eastAsia="cs-CZ"/>
        </w:rPr>
        <w:t xml:space="preserve">possible </w:t>
      </w:r>
      <w:r w:rsidRPr="00FA1502" w:rsidR="00306D0B">
        <w:rPr>
          <w:rFonts w:ascii="Times New Roman" w:eastAsia="Times New Roman" w:hAnsi="Times New Roman" w:cs="Times New Roman"/>
          <w:sz w:val="24"/>
          <w:szCs w:val="24"/>
          <w:lang w:val="en-GB" w:eastAsia="cs-CZ"/>
        </w:rPr>
        <w:t xml:space="preserve">that a </w:t>
      </w:r>
      <w:r w:rsidRPr="00FA1502">
        <w:rPr>
          <w:rFonts w:ascii="Times New Roman" w:eastAsia="Times New Roman" w:hAnsi="Times New Roman" w:cs="Times New Roman"/>
          <w:sz w:val="24"/>
          <w:szCs w:val="24"/>
          <w:lang w:val="en-GB" w:eastAsia="cs-CZ"/>
        </w:rPr>
        <w:t xml:space="preserve">permanent arbitration court of the regulated market </w:t>
      </w:r>
      <w:r w:rsidRPr="00FA1502" w:rsidR="00973E91">
        <w:rPr>
          <w:rFonts w:ascii="Times New Roman" w:eastAsia="Times New Roman" w:hAnsi="Times New Roman" w:cs="Times New Roman"/>
          <w:sz w:val="24"/>
          <w:szCs w:val="24"/>
          <w:lang w:val="en-GB" w:eastAsia="cs-CZ"/>
        </w:rPr>
        <w:t xml:space="preserve">operator </w:t>
      </w:r>
      <w:r w:rsidRPr="00FA1502">
        <w:rPr>
          <w:rFonts w:ascii="Times New Roman" w:eastAsia="Times New Roman" w:hAnsi="Times New Roman" w:cs="Times New Roman"/>
          <w:sz w:val="24"/>
          <w:szCs w:val="24"/>
          <w:lang w:val="en-GB" w:eastAsia="cs-CZ"/>
        </w:rPr>
        <w:t>(i</w:t>
      </w:r>
      <w:r w:rsidRPr="00FA1502" w:rsidR="00973E91">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973E91">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Exchange Arbitration Court) </w:t>
      </w:r>
      <w:r w:rsidRPr="00FA1502" w:rsidR="00973E91">
        <w:rPr>
          <w:rFonts w:ascii="Times New Roman" w:eastAsia="Times New Roman" w:hAnsi="Times New Roman" w:cs="Times New Roman"/>
          <w:sz w:val="24"/>
          <w:szCs w:val="24"/>
          <w:lang w:val="en-GB" w:eastAsia="cs-CZ"/>
        </w:rPr>
        <w:t>would be</w:t>
      </w:r>
      <w:r w:rsidRPr="00FA1502">
        <w:rPr>
          <w:rFonts w:ascii="Times New Roman" w:eastAsia="Times New Roman" w:hAnsi="Times New Roman" w:cs="Times New Roman"/>
          <w:sz w:val="24"/>
          <w:szCs w:val="24"/>
          <w:lang w:val="en-GB" w:eastAsia="cs-CZ"/>
        </w:rPr>
        <w:t xml:space="preserve"> </w:t>
      </w:r>
      <w:r w:rsidRPr="00FA1502" w:rsidR="00C1229B">
        <w:rPr>
          <w:rFonts w:ascii="Times New Roman" w:eastAsia="Times New Roman" w:hAnsi="Times New Roman" w:cs="Times New Roman"/>
          <w:sz w:val="24"/>
          <w:szCs w:val="24"/>
          <w:lang w:val="en-GB" w:eastAsia="cs-CZ"/>
        </w:rPr>
        <w:t>substantially</w:t>
      </w:r>
      <w:r w:rsidRPr="00FA1502">
        <w:rPr>
          <w:rFonts w:ascii="Times New Roman" w:eastAsia="Times New Roman" w:hAnsi="Times New Roman" w:cs="Times New Roman"/>
          <w:sz w:val="24"/>
          <w:szCs w:val="24"/>
          <w:lang w:val="en-GB" w:eastAsia="cs-CZ"/>
        </w:rPr>
        <w:t xml:space="preserve"> unlimited and could decide property disputes in general, it is proposed that this extended material scope should also </w:t>
      </w:r>
      <w:r w:rsidRPr="00FA1502" w:rsidR="00973E91">
        <w:rPr>
          <w:rFonts w:ascii="Times New Roman" w:eastAsia="Times New Roman" w:hAnsi="Times New Roman" w:cs="Times New Roman"/>
          <w:sz w:val="24"/>
          <w:szCs w:val="24"/>
          <w:lang w:val="en-GB" w:eastAsia="cs-CZ"/>
        </w:rPr>
        <w:t>be held by the permanent</w:t>
      </w:r>
      <w:r w:rsidRPr="00FA1502">
        <w:rPr>
          <w:rFonts w:ascii="Times New Roman" w:eastAsia="Times New Roman" w:hAnsi="Times New Roman" w:cs="Times New Roman"/>
          <w:sz w:val="24"/>
          <w:szCs w:val="24"/>
          <w:lang w:val="en-GB" w:eastAsia="cs-CZ"/>
        </w:rPr>
        <w:t xml:space="preserve"> exchange arb</w:t>
      </w:r>
      <w:r w:rsidRPr="00FA1502" w:rsidR="00973E91">
        <w:rPr>
          <w:rFonts w:ascii="Times New Roman" w:eastAsia="Times New Roman" w:hAnsi="Times New Roman" w:cs="Times New Roman"/>
          <w:sz w:val="24"/>
          <w:szCs w:val="24"/>
          <w:lang w:val="en-GB" w:eastAsia="cs-CZ"/>
        </w:rPr>
        <w:t xml:space="preserve">itration court establishment by the </w:t>
      </w:r>
      <w:r w:rsidRPr="00FA1502">
        <w:rPr>
          <w:rFonts w:ascii="Times New Roman" w:eastAsia="Times New Roman" w:hAnsi="Times New Roman" w:cs="Times New Roman"/>
          <w:sz w:val="24"/>
          <w:szCs w:val="24"/>
          <w:lang w:val="en-GB" w:eastAsia="cs-CZ"/>
        </w:rPr>
        <w:t>com</w:t>
      </w:r>
      <w:r w:rsidRPr="00FA1502" w:rsidR="00973E91">
        <w:rPr>
          <w:rFonts w:ascii="Times New Roman" w:eastAsia="Times New Roman" w:hAnsi="Times New Roman" w:cs="Times New Roman"/>
          <w:sz w:val="24"/>
          <w:szCs w:val="24"/>
          <w:lang w:val="en-GB" w:eastAsia="cs-CZ"/>
        </w:rPr>
        <w:t>modity exchange (</w:t>
      </w:r>
      <w:r w:rsidRPr="00FA1502">
        <w:rPr>
          <w:rFonts w:ascii="Times New Roman" w:eastAsia="Times New Roman" w:hAnsi="Times New Roman" w:cs="Times New Roman"/>
          <w:sz w:val="24"/>
          <w:szCs w:val="24"/>
          <w:lang w:val="en-GB" w:eastAsia="cs-CZ"/>
        </w:rPr>
        <w:t>International Arbitration Court attached to the Czech-Mora</w:t>
      </w:r>
      <w:r w:rsidRPr="00FA1502" w:rsidR="00973E91">
        <w:rPr>
          <w:rFonts w:ascii="Times New Roman" w:eastAsia="Times New Roman" w:hAnsi="Times New Roman" w:cs="Times New Roman"/>
          <w:sz w:val="24"/>
          <w:szCs w:val="24"/>
          <w:lang w:val="en-GB" w:eastAsia="cs-CZ"/>
        </w:rPr>
        <w:t xml:space="preserve">vian Commodity Exchange </w:t>
      </w:r>
      <w:r w:rsidRPr="00FA1502" w:rsidR="00973E91">
        <w:rPr>
          <w:rFonts w:ascii="Times New Roman" w:eastAsia="Times New Roman" w:hAnsi="Times New Roman" w:cs="Times New Roman"/>
          <w:sz w:val="24"/>
          <w:szCs w:val="24"/>
          <w:lang w:val="en-GB" w:eastAsia="cs-CZ"/>
        </w:rPr>
        <w:t>Kladno</w:t>
      </w:r>
      <w:r w:rsidRPr="00FA1502" w:rsidR="00973E91">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The newly unlimited substantive</w:t>
      </w:r>
      <w:r w:rsidRPr="00FA1502" w:rsidR="00C1229B">
        <w:rPr>
          <w:rFonts w:ascii="Times New Roman" w:eastAsia="Times New Roman" w:hAnsi="Times New Roman" w:cs="Times New Roman"/>
          <w:sz w:val="24"/>
          <w:szCs w:val="24"/>
          <w:lang w:val="en-GB" w:eastAsia="cs-CZ"/>
        </w:rPr>
        <w:t xml:space="preserve"> and local jurisdiction of the p</w:t>
      </w:r>
      <w:r w:rsidRPr="00FA1502">
        <w:rPr>
          <w:rFonts w:ascii="Times New Roman" w:eastAsia="Times New Roman" w:hAnsi="Times New Roman" w:cs="Times New Roman"/>
          <w:sz w:val="24"/>
          <w:szCs w:val="24"/>
          <w:lang w:val="en-GB" w:eastAsia="cs-CZ"/>
        </w:rPr>
        <w:t xml:space="preserve">ermanent </w:t>
      </w:r>
      <w:r w:rsidRPr="00FA1502" w:rsidR="00C1229B">
        <w:rPr>
          <w:rFonts w:ascii="Times New Roman" w:eastAsia="Times New Roman" w:hAnsi="Times New Roman" w:cs="Times New Roman"/>
          <w:sz w:val="24"/>
          <w:szCs w:val="24"/>
          <w:lang w:val="en-GB" w:eastAsia="cs-CZ"/>
        </w:rPr>
        <w:t>e</w:t>
      </w:r>
      <w:r w:rsidRPr="00FA1502">
        <w:rPr>
          <w:rFonts w:ascii="Times New Roman" w:eastAsia="Times New Roman" w:hAnsi="Times New Roman" w:cs="Times New Roman"/>
          <w:sz w:val="24"/>
          <w:szCs w:val="24"/>
          <w:lang w:val="en-GB" w:eastAsia="cs-CZ"/>
        </w:rPr>
        <w:t xml:space="preserve">xchange </w:t>
      </w:r>
      <w:r w:rsidRPr="00FA1502" w:rsidR="00C1229B">
        <w:rPr>
          <w:rFonts w:ascii="Times New Roman" w:eastAsia="Times New Roman" w:hAnsi="Times New Roman" w:cs="Times New Roman"/>
          <w:sz w:val="24"/>
          <w:szCs w:val="24"/>
          <w:lang w:val="en-GB" w:eastAsia="cs-CZ"/>
        </w:rPr>
        <w:t>arbitration c</w:t>
      </w:r>
      <w:r w:rsidRPr="00FA1502">
        <w:rPr>
          <w:rFonts w:ascii="Times New Roman" w:eastAsia="Times New Roman" w:hAnsi="Times New Roman" w:cs="Times New Roman"/>
          <w:sz w:val="24"/>
          <w:szCs w:val="24"/>
          <w:lang w:val="en-GB" w:eastAsia="cs-CZ"/>
        </w:rPr>
        <w:t>ourt is proposed for the resolution of property disputes between natural and legal persons. In the current legal situation, where, for example, consumer disputes have been excluded from arbitration, it seems appropriate to establish competition between institutions operating permanent arbitration courts. Thus, a competition which, given the sophistication of the parties to the dispute (and their legal representative</w:t>
      </w:r>
      <w:r w:rsidRPr="00FA1502" w:rsidR="00A61A46">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 can be expected to increase the quality and integrity of arbitration rather than the opposite. Such development</w:t>
      </w:r>
      <w:r w:rsidRPr="00FA1502" w:rsidR="00A61A46">
        <w:rPr>
          <w:rFonts w:ascii="Times New Roman" w:eastAsia="Times New Roman" w:hAnsi="Times New Roman" w:cs="Times New Roman"/>
          <w:sz w:val="24"/>
          <w:szCs w:val="24"/>
          <w:lang w:val="en-GB" w:eastAsia="cs-CZ"/>
        </w:rPr>
        <w:t xml:space="preserve"> can be expected</w:t>
      </w:r>
      <w:r w:rsidRPr="00FA1502">
        <w:rPr>
          <w:rFonts w:ascii="Times New Roman" w:eastAsia="Times New Roman" w:hAnsi="Times New Roman" w:cs="Times New Roman"/>
          <w:sz w:val="24"/>
          <w:szCs w:val="24"/>
          <w:lang w:val="en-GB" w:eastAsia="cs-CZ"/>
        </w:rPr>
        <w:t xml:space="preserve"> in </w:t>
      </w:r>
      <w:r w:rsidRPr="00FA1502" w:rsidR="00A61A46">
        <w:rPr>
          <w:rFonts w:ascii="Times New Roman" w:eastAsia="Times New Roman" w:hAnsi="Times New Roman" w:cs="Times New Roman"/>
          <w:sz w:val="24"/>
          <w:szCs w:val="24"/>
          <w:lang w:val="en-GB" w:eastAsia="cs-CZ"/>
        </w:rPr>
        <w:t xml:space="preserve">particular in cases </w:t>
      </w:r>
      <w:r w:rsidRPr="00FA1502">
        <w:rPr>
          <w:rFonts w:ascii="Times New Roman" w:eastAsia="Times New Roman" w:hAnsi="Times New Roman" w:cs="Times New Roman"/>
          <w:sz w:val="24"/>
          <w:szCs w:val="24"/>
          <w:lang w:val="en-GB" w:eastAsia="cs-CZ"/>
        </w:rPr>
        <w:t xml:space="preserve">where the </w:t>
      </w:r>
      <w:r w:rsidRPr="00FA1502" w:rsidR="00A61A46">
        <w:rPr>
          <w:rFonts w:ascii="Times New Roman" w:eastAsia="Times New Roman" w:hAnsi="Times New Roman" w:cs="Times New Roman"/>
          <w:sz w:val="24"/>
          <w:szCs w:val="24"/>
          <w:lang w:val="en-GB" w:eastAsia="cs-CZ"/>
        </w:rPr>
        <w:t>p</w:t>
      </w:r>
      <w:r w:rsidRPr="00FA1502">
        <w:rPr>
          <w:rFonts w:ascii="Times New Roman" w:eastAsia="Times New Roman" w:hAnsi="Times New Roman" w:cs="Times New Roman"/>
          <w:sz w:val="24"/>
          <w:szCs w:val="24"/>
          <w:lang w:val="en-GB" w:eastAsia="cs-CZ"/>
        </w:rPr>
        <w:t xml:space="preserve">ermanent </w:t>
      </w:r>
      <w:r w:rsidRPr="00FA1502" w:rsidR="00A61A46">
        <w:rPr>
          <w:rFonts w:ascii="Times New Roman" w:eastAsia="Times New Roman" w:hAnsi="Times New Roman" w:cs="Times New Roman"/>
          <w:sz w:val="24"/>
          <w:szCs w:val="24"/>
          <w:lang w:val="en-GB" w:eastAsia="cs-CZ"/>
        </w:rPr>
        <w:t>a</w:t>
      </w:r>
      <w:r w:rsidRPr="00FA1502">
        <w:rPr>
          <w:rFonts w:ascii="Times New Roman" w:eastAsia="Times New Roman" w:hAnsi="Times New Roman" w:cs="Times New Roman"/>
          <w:sz w:val="24"/>
          <w:szCs w:val="24"/>
          <w:lang w:val="en-GB" w:eastAsia="cs-CZ"/>
        </w:rPr>
        <w:t xml:space="preserve">rbitration </w:t>
      </w:r>
      <w:r w:rsidRPr="00FA1502" w:rsidR="00A61A46">
        <w:rPr>
          <w:rFonts w:ascii="Times New Roman" w:eastAsia="Times New Roman" w:hAnsi="Times New Roman" w:cs="Times New Roman"/>
          <w:sz w:val="24"/>
          <w:szCs w:val="24"/>
          <w:lang w:val="en-GB" w:eastAsia="cs-CZ"/>
        </w:rPr>
        <w:t xml:space="preserve">court </w:t>
      </w:r>
      <w:r w:rsidRPr="00FA1502">
        <w:rPr>
          <w:rFonts w:ascii="Times New Roman" w:eastAsia="Times New Roman" w:hAnsi="Times New Roman" w:cs="Times New Roman"/>
          <w:sz w:val="24"/>
          <w:szCs w:val="24"/>
          <w:lang w:val="en-GB" w:eastAsia="cs-CZ"/>
        </w:rPr>
        <w:t xml:space="preserve">is operated by an institution for which the credibility of the business is crucial, and </w:t>
      </w:r>
      <w:r w:rsidRPr="00FA1502" w:rsidR="00A61A46">
        <w:rPr>
          <w:rFonts w:ascii="Times New Roman" w:eastAsia="Times New Roman" w:hAnsi="Times New Roman" w:cs="Times New Roman"/>
          <w:sz w:val="24"/>
          <w:szCs w:val="24"/>
          <w:lang w:val="en-GB" w:eastAsia="cs-CZ"/>
        </w:rPr>
        <w:t>thus</w:t>
      </w:r>
      <w:r w:rsidRPr="00FA1502">
        <w:rPr>
          <w:rFonts w:ascii="Times New Roman" w:eastAsia="Times New Roman" w:hAnsi="Times New Roman" w:cs="Times New Roman"/>
          <w:sz w:val="24"/>
          <w:szCs w:val="24"/>
          <w:lang w:val="en-GB" w:eastAsia="cs-CZ"/>
        </w:rPr>
        <w:t xml:space="preserve"> it can be assumed that the quality and integrity of the </w:t>
      </w:r>
      <w:r w:rsidRPr="00FA1502" w:rsidR="00A61A46">
        <w:rPr>
          <w:rFonts w:ascii="Times New Roman" w:eastAsia="Times New Roman" w:hAnsi="Times New Roman" w:cs="Times New Roman"/>
          <w:sz w:val="24"/>
          <w:szCs w:val="24"/>
          <w:lang w:val="en-GB" w:eastAsia="cs-CZ"/>
        </w:rPr>
        <w:t>operated p</w:t>
      </w:r>
      <w:r w:rsidRPr="00FA1502">
        <w:rPr>
          <w:rFonts w:ascii="Times New Roman" w:eastAsia="Times New Roman" w:hAnsi="Times New Roman" w:cs="Times New Roman"/>
          <w:sz w:val="24"/>
          <w:szCs w:val="24"/>
          <w:lang w:val="en-GB" w:eastAsia="cs-CZ"/>
        </w:rPr>
        <w:t xml:space="preserve">ermanent </w:t>
      </w:r>
      <w:r w:rsidRPr="00FA1502" w:rsidR="00A61A46">
        <w:rPr>
          <w:rFonts w:ascii="Times New Roman" w:eastAsia="Times New Roman" w:hAnsi="Times New Roman" w:cs="Times New Roman"/>
          <w:sz w:val="24"/>
          <w:szCs w:val="24"/>
          <w:lang w:val="en-GB" w:eastAsia="cs-CZ"/>
        </w:rPr>
        <w:t>court of a</w:t>
      </w:r>
      <w:r w:rsidRPr="00FA1502">
        <w:rPr>
          <w:rFonts w:ascii="Times New Roman" w:eastAsia="Times New Roman" w:hAnsi="Times New Roman" w:cs="Times New Roman"/>
          <w:sz w:val="24"/>
          <w:szCs w:val="24"/>
          <w:lang w:val="en-GB" w:eastAsia="cs-CZ"/>
        </w:rPr>
        <w:t xml:space="preserve">rbitration </w:t>
      </w:r>
      <w:r w:rsidRPr="00FA1502" w:rsidR="00A61A46">
        <w:rPr>
          <w:rFonts w:ascii="Times New Roman" w:eastAsia="Times New Roman" w:hAnsi="Times New Roman" w:cs="Times New Roman"/>
          <w:sz w:val="24"/>
          <w:szCs w:val="24"/>
          <w:lang w:val="en-GB" w:eastAsia="cs-CZ"/>
        </w:rPr>
        <w:t>will be paid special attention</w:t>
      </w:r>
      <w:r w:rsidRPr="00FA1502" w:rsidR="005C7B94">
        <w:rPr>
          <w:rFonts w:ascii="Times New Roman" w:eastAsia="Times New Roman" w:hAnsi="Times New Roman" w:cs="Times New Roman"/>
          <w:sz w:val="24"/>
          <w:szCs w:val="24"/>
          <w:lang w:val="en-GB" w:eastAsia="cs-CZ"/>
        </w:rPr>
        <w:t xml:space="preserve"> to</w:t>
      </w:r>
      <w:r w:rsidRPr="00FA1502" w:rsidR="00A05494">
        <w:rPr>
          <w:rFonts w:ascii="Times New Roman" w:eastAsia="Times New Roman" w:hAnsi="Times New Roman" w:cs="Times New Roman"/>
          <w:sz w:val="24"/>
          <w:szCs w:val="24"/>
          <w:lang w:val="en-GB" w:eastAsia="cs-CZ"/>
        </w:rPr>
        <w:t xml:space="preserve"> in order to preserve is trustworthiness</w:t>
      </w:r>
      <w:r w:rsidRPr="00FA1502">
        <w:rPr>
          <w:rFonts w:ascii="Times New Roman" w:eastAsia="Times New Roman" w:hAnsi="Times New Roman" w:cs="Times New Roman"/>
          <w:sz w:val="24"/>
          <w:szCs w:val="24"/>
          <w:lang w:val="en-GB" w:eastAsia="cs-CZ"/>
        </w:rPr>
        <w:t xml:space="preserve">. The </w:t>
      </w:r>
      <w:r w:rsidRPr="00FA1502" w:rsidR="00D34C9E">
        <w:rPr>
          <w:rFonts w:ascii="Times New Roman" w:eastAsia="Times New Roman" w:hAnsi="Times New Roman" w:cs="Times New Roman"/>
          <w:sz w:val="24"/>
          <w:szCs w:val="24"/>
          <w:lang w:val="en-GB" w:eastAsia="cs-CZ"/>
        </w:rPr>
        <w:t xml:space="preserve">operator of commodity exchange is a person for which </w:t>
      </w:r>
      <w:r w:rsidRPr="00FA1502">
        <w:rPr>
          <w:rFonts w:ascii="Times New Roman" w:eastAsia="Times New Roman" w:hAnsi="Times New Roman" w:cs="Times New Roman"/>
          <w:sz w:val="24"/>
          <w:szCs w:val="24"/>
          <w:lang w:val="en-GB" w:eastAsia="cs-CZ"/>
        </w:rPr>
        <w:t xml:space="preserve">credibility plays a crucial role and can therefore be </w:t>
      </w:r>
      <w:r w:rsidRPr="00FA1502" w:rsidR="00D34C9E">
        <w:rPr>
          <w:rFonts w:ascii="Times New Roman" w:eastAsia="Times New Roman" w:hAnsi="Times New Roman" w:cs="Times New Roman"/>
          <w:sz w:val="24"/>
          <w:szCs w:val="24"/>
          <w:lang w:val="en-GB" w:eastAsia="cs-CZ"/>
        </w:rPr>
        <w:t>reasonably assumed</w:t>
      </w:r>
      <w:r w:rsidRPr="00FA1502">
        <w:rPr>
          <w:rFonts w:ascii="Times New Roman" w:eastAsia="Times New Roman" w:hAnsi="Times New Roman" w:cs="Times New Roman"/>
          <w:sz w:val="24"/>
          <w:szCs w:val="24"/>
          <w:lang w:val="en-GB" w:eastAsia="cs-CZ"/>
        </w:rPr>
        <w:t xml:space="preserve"> that</w:t>
      </w:r>
      <w:r w:rsidRPr="00FA1502" w:rsidR="00D34C9E">
        <w:rPr>
          <w:rFonts w:ascii="Times New Roman" w:eastAsia="Times New Roman" w:hAnsi="Times New Roman" w:cs="Times New Roman"/>
          <w:sz w:val="24"/>
          <w:szCs w:val="24"/>
          <w:lang w:val="en-GB" w:eastAsia="cs-CZ"/>
        </w:rPr>
        <w:t xml:space="preserve"> if such person </w:t>
      </w:r>
      <w:r w:rsidRPr="00FA1502">
        <w:rPr>
          <w:rFonts w:ascii="Times New Roman" w:eastAsia="Times New Roman" w:hAnsi="Times New Roman" w:cs="Times New Roman"/>
          <w:sz w:val="24"/>
          <w:szCs w:val="24"/>
          <w:lang w:val="en-GB" w:eastAsia="cs-CZ"/>
        </w:rPr>
        <w:t>operate</w:t>
      </w:r>
      <w:r w:rsidRPr="00FA1502" w:rsidR="00D34C9E">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 xml:space="preserve"> permanent arbitration court, the principles of quality and integrity of its decision-making, regardless of whether the subject of dispute </w:t>
      </w:r>
      <w:r w:rsidRPr="00FA1502" w:rsidR="00D34C9E">
        <w:rPr>
          <w:rFonts w:ascii="Times New Roman" w:eastAsia="Times New Roman" w:hAnsi="Times New Roman" w:cs="Times New Roman"/>
          <w:sz w:val="24"/>
          <w:szCs w:val="24"/>
          <w:lang w:val="en-GB" w:eastAsia="cs-CZ"/>
        </w:rPr>
        <w:t>are</w:t>
      </w:r>
      <w:r w:rsidRPr="00FA1502">
        <w:rPr>
          <w:rFonts w:ascii="Times New Roman" w:eastAsia="Times New Roman" w:hAnsi="Times New Roman" w:cs="Times New Roman"/>
          <w:sz w:val="24"/>
          <w:szCs w:val="24"/>
          <w:lang w:val="en-GB" w:eastAsia="cs-CZ"/>
        </w:rPr>
        <w:t xml:space="preserve"> securities or commodities traded on the relevant regulated market or whether the dispute arose from other trades. The current limitation of the legal jurisdiction of these permanent arbitration courts limits the number of cases entrusted to these courts, making it difficult to operate economically. The proposed legislation would put the activities of these permanent arbitration courts on a more rational commercial basis. At the same time, it can be </w:t>
      </w:r>
      <w:r w:rsidRPr="00FA1502" w:rsidR="00E06373">
        <w:rPr>
          <w:rFonts w:ascii="Times New Roman" w:eastAsia="Times New Roman" w:hAnsi="Times New Roman" w:cs="Times New Roman"/>
          <w:sz w:val="24"/>
          <w:szCs w:val="24"/>
          <w:lang w:val="en-GB" w:eastAsia="cs-CZ"/>
        </w:rPr>
        <w:t xml:space="preserve">reasonably </w:t>
      </w:r>
      <w:r w:rsidRPr="00FA1502">
        <w:rPr>
          <w:rFonts w:ascii="Times New Roman" w:eastAsia="Times New Roman" w:hAnsi="Times New Roman" w:cs="Times New Roman"/>
          <w:sz w:val="24"/>
          <w:szCs w:val="24"/>
          <w:lang w:val="en-GB" w:eastAsia="cs-CZ"/>
        </w:rPr>
        <w:t xml:space="preserve">expected that the proposed amendment to the legislation will benefit domestic entrepreneurs who are looking for a court to which they could entrust the resolution of their business disputes without fear of lack of management integrity or quality of decision-making. Last but not least, the proposed change could also benefit domestic civil </w:t>
      </w:r>
      <w:r w:rsidRPr="00FA1502" w:rsidR="008562A3">
        <w:rPr>
          <w:rFonts w:ascii="Times New Roman" w:eastAsia="Times New Roman" w:hAnsi="Times New Roman" w:cs="Times New Roman"/>
          <w:sz w:val="24"/>
          <w:szCs w:val="24"/>
          <w:lang w:val="en-GB" w:eastAsia="cs-CZ"/>
        </w:rPr>
        <w:t>courts, which could reduce the volume</w:t>
      </w:r>
      <w:r w:rsidRPr="00FA1502">
        <w:rPr>
          <w:rFonts w:ascii="Times New Roman" w:eastAsia="Times New Roman" w:hAnsi="Times New Roman" w:cs="Times New Roman"/>
          <w:sz w:val="24"/>
          <w:szCs w:val="24"/>
          <w:lang w:val="en-GB" w:eastAsia="cs-CZ"/>
        </w:rPr>
        <w:t xml:space="preserve"> of ​​major commercial disputes and, ultimately, other parties to civil proceedings before domestic civil courts; </w:t>
      </w:r>
      <w:r w:rsidRPr="00FA1502" w:rsidR="008562A3">
        <w:rPr>
          <w:rFonts w:ascii="Times New Roman" w:eastAsia="Times New Roman" w:hAnsi="Times New Roman" w:cs="Times New Roman"/>
          <w:sz w:val="24"/>
          <w:szCs w:val="24"/>
          <w:lang w:val="en-GB" w:eastAsia="cs-CZ"/>
        </w:rPr>
        <w:t>free</w:t>
      </w:r>
      <w:r w:rsidRPr="00FA1502">
        <w:rPr>
          <w:rFonts w:ascii="Times New Roman" w:eastAsia="Times New Roman" w:hAnsi="Times New Roman" w:cs="Times New Roman"/>
          <w:sz w:val="24"/>
          <w:szCs w:val="24"/>
          <w:lang w:val="en-GB" w:eastAsia="cs-CZ"/>
        </w:rPr>
        <w:t xml:space="preserve"> judicial capacit</w:t>
      </w:r>
      <w:r w:rsidRPr="00FA1502" w:rsidR="008562A3">
        <w:rPr>
          <w:rFonts w:ascii="Times New Roman" w:eastAsia="Times New Roman" w:hAnsi="Times New Roman" w:cs="Times New Roman"/>
          <w:sz w:val="24"/>
          <w:szCs w:val="24"/>
          <w:lang w:val="en-GB" w:eastAsia="cs-CZ"/>
        </w:rPr>
        <w:t>y</w:t>
      </w:r>
      <w:r w:rsidRPr="00FA1502">
        <w:rPr>
          <w:rFonts w:ascii="Times New Roman" w:eastAsia="Times New Roman" w:hAnsi="Times New Roman" w:cs="Times New Roman"/>
          <w:sz w:val="24"/>
          <w:szCs w:val="24"/>
          <w:lang w:val="en-GB" w:eastAsia="cs-CZ"/>
        </w:rPr>
        <w:t xml:space="preserve"> would be available for faster decision-making on other judicial agendas.</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w:t>
      </w:r>
    </w:p>
    <w:p w:rsidR="00176359" w:rsidRPr="00FA1502" w:rsidP="00A7116F">
      <w:pPr>
        <w:keepNext/>
        <w:widowControl w:val="0"/>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 xml:space="preserve">The </w:t>
      </w:r>
      <w:r w:rsidRPr="00FA1502" w:rsidR="00276C8D">
        <w:rPr>
          <w:rFonts w:ascii="Times New Roman" w:eastAsia="Times New Roman" w:hAnsi="Times New Roman" w:cs="Times New Roman"/>
          <w:b/>
          <w:bCs/>
          <w:sz w:val="24"/>
          <w:szCs w:val="24"/>
          <w:lang w:val="en-GB" w:eastAsia="cs-CZ"/>
        </w:rPr>
        <w:t xml:space="preserve">second </w:t>
      </w:r>
      <w:r w:rsidRPr="00FA1502">
        <w:rPr>
          <w:rFonts w:ascii="Times New Roman" w:eastAsia="Times New Roman" w:hAnsi="Times New Roman" w:cs="Times New Roman"/>
          <w:b/>
          <w:bCs/>
          <w:sz w:val="24"/>
          <w:szCs w:val="24"/>
          <w:lang w:val="en-GB" w:eastAsia="cs-CZ"/>
        </w:rPr>
        <w:t>part, Art. II and I</w:t>
      </w:r>
      <w:r w:rsidRPr="00FA1502" w:rsidR="00276C8D">
        <w:rPr>
          <w:rFonts w:ascii="Times New Roman" w:eastAsia="Times New Roman" w:hAnsi="Times New Roman" w:cs="Times New Roman"/>
          <w:b/>
          <w:bCs/>
          <w:sz w:val="24"/>
          <w:szCs w:val="24"/>
          <w:lang w:val="en-GB" w:eastAsia="cs-CZ"/>
        </w:rPr>
        <w:t>I</w:t>
      </w:r>
      <w:r w:rsidRPr="00FA1502" w:rsidR="00281B23">
        <w:rPr>
          <w:rFonts w:ascii="Times New Roman" w:eastAsia="Times New Roman" w:hAnsi="Times New Roman" w:cs="Times New Roman"/>
          <w:b/>
          <w:bCs/>
          <w:sz w:val="24"/>
          <w:szCs w:val="24"/>
          <w:lang w:val="en-GB" w:eastAsia="cs-CZ"/>
        </w:rPr>
        <w:t>I</w:t>
      </w:r>
    </w:p>
    <w:p w:rsidR="00176359" w:rsidRPr="00FA1502" w:rsidP="00A7116F">
      <w:pPr>
        <w:keepNext/>
        <w:widowControl w:val="0"/>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 xml:space="preserve">Changing the </w:t>
      </w:r>
      <w:r w:rsidRPr="00FA1502" w:rsidR="00276C8D">
        <w:rPr>
          <w:rFonts w:ascii="Times New Roman" w:eastAsia="Times New Roman" w:hAnsi="Times New Roman" w:cs="Times New Roman"/>
          <w:b/>
          <w:bCs/>
          <w:sz w:val="24"/>
          <w:szCs w:val="24"/>
          <w:lang w:val="en-GB" w:eastAsia="cs-CZ"/>
        </w:rPr>
        <w:t>act on i</w:t>
      </w:r>
      <w:r w:rsidRPr="00FA1502">
        <w:rPr>
          <w:rFonts w:ascii="Times New Roman" w:eastAsia="Times New Roman" w:hAnsi="Times New Roman" w:cs="Times New Roman"/>
          <w:b/>
          <w:bCs/>
          <w:sz w:val="24"/>
          <w:szCs w:val="24"/>
          <w:lang w:val="en-GB" w:eastAsia="cs-CZ"/>
        </w:rPr>
        <w:t xml:space="preserve">ncome </w:t>
      </w:r>
      <w:r w:rsidRPr="00FA1502" w:rsidR="00276C8D">
        <w:rPr>
          <w:rFonts w:ascii="Times New Roman" w:eastAsia="Times New Roman" w:hAnsi="Times New Roman" w:cs="Times New Roman"/>
          <w:b/>
          <w:bCs/>
          <w:sz w:val="24"/>
          <w:szCs w:val="24"/>
          <w:lang w:val="en-GB" w:eastAsia="cs-CZ"/>
        </w:rPr>
        <w:t>tax</w:t>
      </w:r>
    </w:p>
    <w:p w:rsidR="00176359" w:rsidRPr="00FA1502" w:rsidP="00A7116F">
      <w:pPr>
        <w:keepNext/>
        <w:widowControl w:val="0"/>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1 [Section</w:t>
      </w:r>
      <w:r w:rsidRPr="00FA1502">
        <w:rPr>
          <w:rFonts w:ascii="Times New Roman" w:eastAsia="Times New Roman" w:hAnsi="Times New Roman" w:cs="Times New Roman"/>
          <w:b/>
          <w:bCs/>
          <w:sz w:val="24"/>
          <w:szCs w:val="24"/>
          <w:u w:val="single"/>
          <w:lang w:val="en-GB" w:eastAsia="cs-CZ"/>
        </w:rPr>
        <w:t xml:space="preserve"> 4 </w:t>
      </w:r>
      <w:r w:rsidRPr="00FA1502">
        <w:rPr>
          <w:rFonts w:ascii="Times New Roman" w:eastAsia="Times New Roman" w:hAnsi="Times New Roman" w:cs="Times New Roman"/>
          <w:b/>
          <w:bCs/>
          <w:sz w:val="24"/>
          <w:szCs w:val="24"/>
          <w:u w:val="single"/>
          <w:lang w:val="en-GB" w:eastAsia="cs-CZ"/>
        </w:rPr>
        <w:t>(1)</w:t>
      </w:r>
      <w:r w:rsidRPr="00FA1502">
        <w:rPr>
          <w:rFonts w:ascii="Times New Roman" w:eastAsia="Times New Roman" w:hAnsi="Times New Roman" w:cs="Times New Roman"/>
          <w:b/>
          <w:bCs/>
          <w:sz w:val="24"/>
          <w:szCs w:val="24"/>
          <w:u w:val="single"/>
          <w:lang w:val="en-GB" w:eastAsia="cs-CZ"/>
        </w:rPr>
        <w:t xml:space="preserve"> (</w:t>
      </w:r>
      <w:r w:rsidRPr="00FA1502">
        <w:rPr>
          <w:rFonts w:ascii="Times New Roman" w:eastAsia="Times New Roman" w:hAnsi="Times New Roman" w:cs="Times New Roman"/>
          <w:b/>
          <w:bCs/>
          <w:sz w:val="24"/>
          <w:szCs w:val="24"/>
          <w:u w:val="single"/>
          <w:lang w:val="en-GB" w:eastAsia="cs-CZ"/>
        </w:rPr>
        <w:t>l</w:t>
      </w:r>
      <w:r w:rsidRPr="00FA1502">
        <w:rPr>
          <w:rFonts w:ascii="Times New Roman" w:eastAsia="Times New Roman" w:hAnsi="Times New Roman" w:cs="Times New Roman"/>
          <w:b/>
          <w:bCs/>
          <w:sz w:val="24"/>
          <w:szCs w:val="24"/>
          <w:u w:val="single"/>
          <w:lang w:val="en-GB" w:eastAsia="cs-CZ"/>
        </w:rPr>
        <w:t>) point 1]:</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Legislative-technical modification of the </w:t>
      </w:r>
      <w:r w:rsidRPr="00FA1502" w:rsidR="003A6EA1">
        <w:rPr>
          <w:rFonts w:ascii="Times New Roman" w:eastAsia="Times New Roman" w:hAnsi="Times New Roman" w:cs="Times New Roman"/>
          <w:sz w:val="24"/>
          <w:szCs w:val="24"/>
          <w:lang w:val="en-GB" w:eastAsia="cs-CZ"/>
        </w:rPr>
        <w:t xml:space="preserve">designation of the insurance </w:t>
      </w:r>
      <w:r w:rsidRPr="00FA1502">
        <w:rPr>
          <w:rFonts w:ascii="Times New Roman" w:eastAsia="Times New Roman" w:hAnsi="Times New Roman" w:cs="Times New Roman"/>
          <w:sz w:val="24"/>
          <w:szCs w:val="24"/>
          <w:lang w:val="en-GB" w:eastAsia="cs-CZ"/>
        </w:rPr>
        <w:t>type</w:t>
      </w:r>
      <w:r w:rsidRPr="00FA1502" w:rsidR="003A6EA1">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is proposed so that it is in accordance with the definition of individual branches of insurance in Act No. 277/2009</w:t>
      </w:r>
      <w:r w:rsidRPr="00FA1502" w:rsidR="003A6EA1">
        <w:rPr>
          <w:rFonts w:ascii="Times New Roman" w:eastAsia="Times New Roman" w:hAnsi="Times New Roman" w:cs="Times New Roman"/>
          <w:sz w:val="24"/>
          <w:szCs w:val="24"/>
          <w:lang w:val="en-GB" w:eastAsia="cs-CZ"/>
        </w:rPr>
        <w:t xml:space="preserve"> Coll., on insurance, as amended</w:t>
      </w:r>
      <w:r w:rsidRPr="00FA1502">
        <w:rPr>
          <w:rFonts w:ascii="Times New Roman" w:eastAsia="Times New Roman" w:hAnsi="Times New Roman" w:cs="Times New Roman"/>
          <w:sz w:val="24"/>
          <w:szCs w:val="24"/>
          <w:lang w:val="en-GB" w:eastAsia="cs-CZ"/>
        </w:rPr>
        <w:t>, specifically in its Annex No. 1.</w:t>
      </w:r>
      <w:r w:rsidRPr="00FA1502" w:rsidR="003A6EA1">
        <w:rPr>
          <w:rFonts w:ascii="Times New Roman" w:eastAsia="Times New Roman" w:hAnsi="Times New Roman" w:cs="Times New Roman"/>
          <w:sz w:val="24"/>
          <w:szCs w:val="24"/>
          <w:lang w:val="en-GB" w:eastAsia="cs-CZ"/>
        </w:rPr>
        <w:t xml:space="preserve"> Death </w:t>
      </w:r>
      <w:r w:rsidRPr="00FA1502">
        <w:rPr>
          <w:rFonts w:ascii="Times New Roman" w:eastAsia="Times New Roman" w:hAnsi="Times New Roman" w:cs="Times New Roman"/>
          <w:sz w:val="24"/>
          <w:szCs w:val="24"/>
          <w:lang w:val="en-GB" w:eastAsia="cs-CZ"/>
        </w:rPr>
        <w:t xml:space="preserve">insurance or survival </w:t>
      </w:r>
      <w:r w:rsidRPr="00FA1502" w:rsidR="003A6EA1">
        <w:rPr>
          <w:rFonts w:ascii="Times New Roman" w:eastAsia="Times New Roman" w:hAnsi="Times New Roman" w:cs="Times New Roman"/>
          <w:sz w:val="24"/>
          <w:szCs w:val="24"/>
          <w:lang w:val="en-GB" w:eastAsia="cs-CZ"/>
        </w:rPr>
        <w:t xml:space="preserve">insurance </w:t>
      </w:r>
      <w:r w:rsidRPr="00FA1502">
        <w:rPr>
          <w:rFonts w:ascii="Times New Roman" w:eastAsia="Times New Roman" w:hAnsi="Times New Roman" w:cs="Times New Roman"/>
          <w:sz w:val="24"/>
          <w:szCs w:val="24"/>
          <w:lang w:val="en-GB" w:eastAsia="cs-CZ"/>
        </w:rPr>
        <w:t>is thus replaced by insurance on survival to a specified age or earlier death. At the same time, the mention of pension insurance is removed, as pension insurance is a term designating public insu</w:t>
      </w:r>
      <w:r w:rsidRPr="00FA1502" w:rsidR="00281B23">
        <w:rPr>
          <w:rFonts w:ascii="Times New Roman" w:eastAsia="Times New Roman" w:hAnsi="Times New Roman" w:cs="Times New Roman"/>
          <w:sz w:val="24"/>
          <w:szCs w:val="24"/>
          <w:lang w:val="en-GB" w:eastAsia="cs-CZ"/>
        </w:rPr>
        <w:t>rance premiums under Act No. 15</w:t>
      </w:r>
      <w:r w:rsidRPr="00FA1502">
        <w:rPr>
          <w:rFonts w:ascii="Times New Roman" w:eastAsia="Times New Roman" w:hAnsi="Times New Roman" w:cs="Times New Roman"/>
          <w:sz w:val="24"/>
          <w:szCs w:val="24"/>
          <w:lang w:val="en-GB" w:eastAsia="cs-CZ"/>
        </w:rPr>
        <w:t xml:space="preserve">5/1995 Coll., </w:t>
      </w:r>
      <w:r w:rsidRPr="00FA1502" w:rsidR="00722519">
        <w:rPr>
          <w:rFonts w:ascii="Times New Roman" w:eastAsia="Times New Roman" w:hAnsi="Times New Roman" w:cs="Times New Roman"/>
          <w:sz w:val="24"/>
          <w:szCs w:val="24"/>
          <w:lang w:val="en-GB" w:eastAsia="cs-CZ"/>
        </w:rPr>
        <w:t>o</w:t>
      </w:r>
      <w:r w:rsidRPr="00FA1502">
        <w:rPr>
          <w:rFonts w:ascii="Times New Roman" w:eastAsia="Times New Roman" w:hAnsi="Times New Roman" w:cs="Times New Roman"/>
          <w:sz w:val="24"/>
          <w:szCs w:val="24"/>
          <w:lang w:val="en-GB" w:eastAsia="cs-CZ"/>
        </w:rPr>
        <w:t xml:space="preserve">n </w:t>
      </w:r>
      <w:r w:rsidRPr="00FA1502" w:rsidR="00722519">
        <w:rPr>
          <w:rFonts w:ascii="Times New Roman" w:eastAsia="Times New Roman" w:hAnsi="Times New Roman" w:cs="Times New Roman"/>
          <w:sz w:val="24"/>
          <w:szCs w:val="24"/>
          <w:lang w:val="en-GB" w:eastAsia="cs-CZ"/>
        </w:rPr>
        <w:t>p</w:t>
      </w:r>
      <w:r w:rsidRPr="00FA1502">
        <w:rPr>
          <w:rFonts w:ascii="Times New Roman" w:eastAsia="Times New Roman" w:hAnsi="Times New Roman" w:cs="Times New Roman"/>
          <w:sz w:val="24"/>
          <w:szCs w:val="24"/>
          <w:lang w:val="en-GB" w:eastAsia="cs-CZ"/>
        </w:rPr>
        <w:t xml:space="preserve">ension </w:t>
      </w:r>
      <w:r w:rsidRPr="00FA1502" w:rsidR="00722519">
        <w:rPr>
          <w:rFonts w:ascii="Times New Roman" w:eastAsia="Times New Roman" w:hAnsi="Times New Roman" w:cs="Times New Roman"/>
          <w:sz w:val="24"/>
          <w:szCs w:val="24"/>
          <w:lang w:val="en-GB" w:eastAsia="cs-CZ"/>
        </w:rPr>
        <w:t>i</w:t>
      </w:r>
      <w:r w:rsidRPr="00FA1502">
        <w:rPr>
          <w:rFonts w:ascii="Times New Roman" w:eastAsia="Times New Roman" w:hAnsi="Times New Roman" w:cs="Times New Roman"/>
          <w:sz w:val="24"/>
          <w:szCs w:val="24"/>
          <w:lang w:val="en-GB" w:eastAsia="cs-CZ"/>
        </w:rPr>
        <w:t xml:space="preserve">nsurance, as </w:t>
      </w:r>
      <w:r w:rsidRPr="00FA1502">
        <w:rPr>
          <w:rFonts w:ascii="Times New Roman" w:eastAsia="Times New Roman" w:hAnsi="Times New Roman" w:cs="Times New Roman"/>
          <w:sz w:val="24"/>
          <w:szCs w:val="24"/>
          <w:lang w:val="en-GB" w:eastAsia="cs-CZ"/>
        </w:rPr>
        <w:t>amended.</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2 [Section</w:t>
      </w:r>
      <w:r w:rsidRPr="00FA1502">
        <w:rPr>
          <w:rFonts w:ascii="Times New Roman" w:eastAsia="Times New Roman" w:hAnsi="Times New Roman" w:cs="Times New Roman"/>
          <w:b/>
          <w:bCs/>
          <w:sz w:val="24"/>
          <w:szCs w:val="24"/>
          <w:u w:val="single"/>
          <w:lang w:val="en-GB" w:eastAsia="cs-CZ"/>
        </w:rPr>
        <w:t xml:space="preserve"> 4 </w:t>
      </w:r>
      <w:r w:rsidRPr="00FA1502">
        <w:rPr>
          <w:rFonts w:ascii="Times New Roman" w:eastAsia="Times New Roman" w:hAnsi="Times New Roman" w:cs="Times New Roman"/>
          <w:b/>
          <w:bCs/>
          <w:sz w:val="24"/>
          <w:szCs w:val="24"/>
          <w:u w:val="single"/>
          <w:lang w:val="en-GB" w:eastAsia="cs-CZ"/>
        </w:rPr>
        <w:t>(1)</w:t>
      </w:r>
      <w:r w:rsidRPr="00FA1502">
        <w:rPr>
          <w:rFonts w:ascii="Times New Roman" w:eastAsia="Times New Roman" w:hAnsi="Times New Roman" w:cs="Times New Roman"/>
          <w:b/>
          <w:bCs/>
          <w:sz w:val="24"/>
          <w:szCs w:val="24"/>
          <w:u w:val="single"/>
          <w:lang w:val="en-GB" w:eastAsia="cs-CZ"/>
        </w:rPr>
        <w:t xml:space="preserve"> (l) point 4]:</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A similar legislative-technical regulation of the designation </w:t>
      </w:r>
      <w:r w:rsidRPr="00FA1502" w:rsidR="00912F41">
        <w:rPr>
          <w:rFonts w:ascii="Times New Roman" w:eastAsia="Times New Roman" w:hAnsi="Times New Roman" w:cs="Times New Roman"/>
          <w:sz w:val="24"/>
          <w:szCs w:val="24"/>
          <w:lang w:val="en-GB" w:eastAsia="cs-CZ"/>
        </w:rPr>
        <w:t>of the type of insurance as in Section</w:t>
      </w:r>
      <w:r w:rsidRPr="00FA1502">
        <w:rPr>
          <w:rFonts w:ascii="Times New Roman" w:eastAsia="Times New Roman" w:hAnsi="Times New Roman" w:cs="Times New Roman"/>
          <w:sz w:val="24"/>
          <w:szCs w:val="24"/>
          <w:lang w:val="en-GB" w:eastAsia="cs-CZ"/>
        </w:rPr>
        <w:t xml:space="preserve"> 4 </w:t>
      </w:r>
      <w:r w:rsidRPr="00FA1502" w:rsidR="00912F41">
        <w:rPr>
          <w:rFonts w:ascii="Times New Roman" w:eastAsia="Times New Roman" w:hAnsi="Times New Roman" w:cs="Times New Roman"/>
          <w:sz w:val="24"/>
          <w:szCs w:val="24"/>
          <w:lang w:val="en-GB" w:eastAsia="cs-CZ"/>
        </w:rPr>
        <w:t>(1)</w:t>
      </w:r>
      <w:r w:rsidRPr="00FA1502">
        <w:rPr>
          <w:rFonts w:ascii="Times New Roman" w:eastAsia="Times New Roman" w:hAnsi="Times New Roman" w:cs="Times New Roman"/>
          <w:sz w:val="24"/>
          <w:szCs w:val="24"/>
          <w:lang w:val="en-GB" w:eastAsia="cs-CZ"/>
        </w:rPr>
        <w:t xml:space="preserve"> </w:t>
      </w:r>
      <w:r w:rsidRPr="00FA1502" w:rsidR="00912F41">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l) point 1 of </w:t>
      </w:r>
      <w:r w:rsidRPr="00FA1502" w:rsidR="00426031">
        <w:rPr>
          <w:rFonts w:ascii="Times New Roman" w:eastAsia="Times New Roman" w:hAnsi="Times New Roman" w:cs="Times New Roman"/>
          <w:sz w:val="24"/>
          <w:szCs w:val="24"/>
          <w:lang w:val="en-GB" w:eastAsia="cs-CZ"/>
        </w:rPr>
        <w:t>ZDP</w:t>
      </w:r>
      <w:r w:rsidRPr="00FA1502">
        <w:rPr>
          <w:rFonts w:ascii="Times New Roman" w:eastAsia="Times New Roman" w:hAnsi="Times New Roman" w:cs="Times New Roman"/>
          <w:sz w:val="24"/>
          <w:szCs w:val="24"/>
          <w:lang w:val="en-GB" w:eastAsia="cs-CZ"/>
        </w:rPr>
        <w:t xml:space="preserve">, see </w:t>
      </w:r>
      <w:r w:rsidRPr="00FA1502" w:rsidR="00912F41">
        <w:rPr>
          <w:rFonts w:ascii="Times New Roman" w:eastAsia="Times New Roman" w:hAnsi="Times New Roman" w:cs="Times New Roman"/>
          <w:sz w:val="24"/>
          <w:szCs w:val="24"/>
          <w:lang w:val="en-GB" w:eastAsia="cs-CZ"/>
        </w:rPr>
        <w:t>explanation to the previous amendment point.</w:t>
      </w:r>
    </w:p>
    <w:p w:rsidR="00176359" w:rsidRPr="00FA1502" w:rsidP="00A7116F">
      <w:pPr>
        <w:keepNext/>
        <w:widowControl w:val="0"/>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3 [</w:t>
      </w:r>
      <w:r w:rsidRPr="00FA1502" w:rsidR="00426031">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6 </w:t>
      </w:r>
      <w:r w:rsidRPr="00FA1502" w:rsidR="00426031">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p)]:</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amendment of the provisions is linked to a change in the legislative approach to the support of taxpayer savings f</w:t>
      </w:r>
      <w:r w:rsidRPr="00FA1502" w:rsidR="00426031">
        <w:rPr>
          <w:rFonts w:ascii="Times New Roman" w:eastAsia="Times New Roman" w:hAnsi="Times New Roman" w:cs="Times New Roman"/>
          <w:sz w:val="24"/>
          <w:szCs w:val="24"/>
          <w:lang w:val="en-GB" w:eastAsia="cs-CZ"/>
        </w:rPr>
        <w:t>or old age. The newly inserted Section</w:t>
      </w:r>
      <w:r w:rsidRPr="00FA1502">
        <w:rPr>
          <w:rFonts w:ascii="Times New Roman" w:eastAsia="Times New Roman" w:hAnsi="Times New Roman" w:cs="Times New Roman"/>
          <w:sz w:val="24"/>
          <w:szCs w:val="24"/>
          <w:lang w:val="en-GB" w:eastAsia="cs-CZ"/>
        </w:rPr>
        <w:t xml:space="preserve"> 15a and 15b of </w:t>
      </w:r>
      <w:r w:rsidRPr="00FA1502" w:rsidR="00426031">
        <w:rPr>
          <w:rFonts w:ascii="Times New Roman" w:eastAsia="Times New Roman" w:hAnsi="Times New Roman" w:cs="Times New Roman"/>
          <w:sz w:val="24"/>
          <w:szCs w:val="24"/>
          <w:lang w:val="en-GB" w:eastAsia="cs-CZ"/>
        </w:rPr>
        <w:t xml:space="preserve">ZDP </w:t>
      </w:r>
      <w:r w:rsidRPr="00FA1502">
        <w:rPr>
          <w:rFonts w:ascii="Times New Roman" w:eastAsia="Times New Roman" w:hAnsi="Times New Roman" w:cs="Times New Roman"/>
          <w:sz w:val="24"/>
          <w:szCs w:val="24"/>
          <w:lang w:val="en-GB" w:eastAsia="cs-CZ"/>
        </w:rPr>
        <w:t xml:space="preserve">defines the products of old-age savings that are tax-supported, including all the conditions that these products must meet in order to </w:t>
      </w:r>
      <w:r w:rsidRPr="00FA1502" w:rsidR="00426031">
        <w:rPr>
          <w:rFonts w:ascii="Times New Roman" w:eastAsia="Times New Roman" w:hAnsi="Times New Roman" w:cs="Times New Roman"/>
          <w:sz w:val="24"/>
          <w:szCs w:val="24"/>
          <w:lang w:val="en-GB" w:eastAsia="cs-CZ"/>
        </w:rPr>
        <w:t xml:space="preserve">use </w:t>
      </w:r>
      <w:r w:rsidRPr="00FA1502">
        <w:rPr>
          <w:rFonts w:ascii="Times New Roman" w:eastAsia="Times New Roman" w:hAnsi="Times New Roman" w:cs="Times New Roman"/>
          <w:sz w:val="24"/>
          <w:szCs w:val="24"/>
          <w:lang w:val="en-GB" w:eastAsia="cs-CZ"/>
        </w:rPr>
        <w:t xml:space="preserve">the tax benefits. These conditions then </w:t>
      </w:r>
      <w:r w:rsidRPr="00FA1502" w:rsidR="00426031">
        <w:rPr>
          <w:rFonts w:ascii="Times New Roman" w:eastAsia="Times New Roman" w:hAnsi="Times New Roman" w:cs="Times New Roman"/>
          <w:sz w:val="24"/>
          <w:szCs w:val="24"/>
          <w:lang w:val="en-GB" w:eastAsia="cs-CZ"/>
        </w:rPr>
        <w:t xml:space="preserve">do not </w:t>
      </w:r>
      <w:r w:rsidRPr="00FA1502">
        <w:rPr>
          <w:rFonts w:ascii="Times New Roman" w:eastAsia="Times New Roman" w:hAnsi="Times New Roman" w:cs="Times New Roman"/>
          <w:sz w:val="24"/>
          <w:szCs w:val="24"/>
          <w:lang w:val="en-GB" w:eastAsia="cs-CZ"/>
        </w:rPr>
        <w:t>need</w:t>
      </w:r>
      <w:r w:rsidRPr="00FA1502" w:rsidR="00426031">
        <w:rPr>
          <w:rFonts w:ascii="Times New Roman" w:eastAsia="Times New Roman" w:hAnsi="Times New Roman" w:cs="Times New Roman"/>
          <w:sz w:val="24"/>
          <w:szCs w:val="24"/>
          <w:lang w:val="en-GB" w:eastAsia="cs-CZ"/>
        </w:rPr>
        <w:t xml:space="preserve"> to</w:t>
      </w:r>
      <w:r w:rsidRPr="00FA1502">
        <w:rPr>
          <w:rFonts w:ascii="Times New Roman" w:eastAsia="Times New Roman" w:hAnsi="Times New Roman" w:cs="Times New Roman"/>
          <w:sz w:val="24"/>
          <w:szCs w:val="24"/>
          <w:lang w:val="en-GB" w:eastAsia="cs-CZ"/>
        </w:rPr>
        <w:t xml:space="preserve"> be repeated in individual provisions stipulating the specific form of tax support, i</w:t>
      </w:r>
      <w:r w:rsidRPr="00FA1502" w:rsidR="00426031">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426031">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in </w:t>
      </w:r>
      <w:r w:rsidRPr="00FA1502" w:rsidR="00426031">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6 </w:t>
      </w:r>
      <w:r w:rsidRPr="00FA1502" w:rsidR="00426031">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9</w:t>
      </w:r>
      <w:r w:rsidRPr="00FA1502" w:rsidR="00426031">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t>
      </w:r>
      <w:r w:rsidRPr="00FA1502" w:rsidR="00426031">
        <w:rPr>
          <w:rFonts w:ascii="Times New Roman" w:eastAsia="Times New Roman" w:hAnsi="Times New Roman" w:cs="Times New Roman"/>
          <w:sz w:val="24"/>
          <w:szCs w:val="24"/>
          <w:lang w:val="en-GB" w:eastAsia="cs-CZ"/>
        </w:rPr>
        <w:t>(p)</w:t>
      </w:r>
      <w:r w:rsidRPr="00FA1502">
        <w:rPr>
          <w:rFonts w:ascii="Times New Roman" w:eastAsia="Times New Roman" w:hAnsi="Times New Roman" w:cs="Times New Roman"/>
          <w:sz w:val="24"/>
          <w:szCs w:val="24"/>
          <w:lang w:val="en-GB" w:eastAsia="cs-CZ"/>
        </w:rPr>
        <w:t xml:space="preserve"> </w:t>
      </w:r>
      <w:r w:rsidRPr="00FA1502" w:rsidR="00426031">
        <w:rPr>
          <w:rFonts w:ascii="Times New Roman" w:eastAsia="Times New Roman" w:hAnsi="Times New Roman" w:cs="Times New Roman"/>
          <w:sz w:val="24"/>
          <w:szCs w:val="24"/>
          <w:lang w:val="en-GB" w:eastAsia="cs-CZ"/>
        </w:rPr>
        <w:t xml:space="preserve">and Section </w:t>
      </w:r>
      <w:r w:rsidRPr="00FA1502">
        <w:rPr>
          <w:rFonts w:ascii="Times New Roman" w:eastAsia="Times New Roman" w:hAnsi="Times New Roman" w:cs="Times New Roman"/>
          <w:sz w:val="24"/>
          <w:szCs w:val="24"/>
          <w:lang w:val="en-GB" w:eastAsia="cs-CZ"/>
        </w:rPr>
        <w:t xml:space="preserve">15 (5) of </w:t>
      </w:r>
      <w:r w:rsidRPr="00FA1502" w:rsidR="00426031">
        <w:rPr>
          <w:rFonts w:ascii="Times New Roman" w:eastAsia="Times New Roman" w:hAnsi="Times New Roman" w:cs="Times New Roman"/>
          <w:sz w:val="24"/>
          <w:szCs w:val="24"/>
          <w:lang w:val="en-GB" w:eastAsia="cs-CZ"/>
        </w:rPr>
        <w:t>ZDP</w:t>
      </w:r>
      <w:r w:rsidRPr="00FA1502">
        <w:rPr>
          <w:rFonts w:ascii="Times New Roman" w:eastAsia="Times New Roman" w:hAnsi="Times New Roman" w:cs="Times New Roman"/>
          <w:sz w:val="24"/>
          <w:szCs w:val="24"/>
          <w:lang w:val="en-GB" w:eastAsia="cs-CZ"/>
        </w:rPr>
        <w:t>.</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According to </w:t>
      </w:r>
      <w:r w:rsidRPr="00FA1502" w:rsidR="00A970BB">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6 </w:t>
      </w:r>
      <w:r w:rsidRPr="00FA1502" w:rsidR="00A970BB">
        <w:rPr>
          <w:rFonts w:ascii="Times New Roman" w:eastAsia="Times New Roman" w:hAnsi="Times New Roman" w:cs="Times New Roman"/>
          <w:sz w:val="24"/>
          <w:szCs w:val="24"/>
          <w:lang w:val="en-GB" w:eastAsia="cs-CZ"/>
        </w:rPr>
        <w:t>(9) (</w:t>
      </w:r>
      <w:r w:rsidRPr="00FA1502">
        <w:rPr>
          <w:rFonts w:ascii="Times New Roman" w:eastAsia="Times New Roman" w:hAnsi="Times New Roman" w:cs="Times New Roman"/>
          <w:sz w:val="24"/>
          <w:szCs w:val="24"/>
          <w:lang w:val="en-GB" w:eastAsia="cs-CZ"/>
        </w:rPr>
        <w:t>p)</w:t>
      </w:r>
      <w:r w:rsidRPr="00FA1502" w:rsidR="00A970BB">
        <w:rPr>
          <w:rFonts w:ascii="Times New Roman" w:eastAsia="Times New Roman" w:hAnsi="Times New Roman" w:cs="Times New Roman"/>
          <w:sz w:val="24"/>
          <w:szCs w:val="24"/>
          <w:lang w:val="en-GB" w:eastAsia="cs-CZ"/>
        </w:rPr>
        <w:t xml:space="preserve"> of ZDP,</w:t>
      </w:r>
      <w:r w:rsidRPr="00FA1502">
        <w:rPr>
          <w:rFonts w:ascii="Times New Roman" w:eastAsia="Times New Roman" w:hAnsi="Times New Roman" w:cs="Times New Roman"/>
          <w:sz w:val="24"/>
          <w:szCs w:val="24"/>
          <w:lang w:val="en-GB" w:eastAsia="cs-CZ"/>
        </w:rPr>
        <w:t xml:space="preserve"> the employer</w:t>
      </w:r>
      <w:r w:rsidRPr="00FA1502" w:rsidR="00A970BB">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s contribution to the employee</w:t>
      </w:r>
      <w:r w:rsidRPr="00FA1502" w:rsidR="00A970BB">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s old - age savings product will continue to be exempt from the tax on the part of the taxpayer with income from employment. The concept of product saving for retirement will be under the newly proposed </w:t>
      </w:r>
      <w:r w:rsidRPr="00FA1502" w:rsidR="00A970BB">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15a </w:t>
      </w:r>
      <w:r w:rsidRPr="00FA1502" w:rsidR="00A970BB">
        <w:rPr>
          <w:rFonts w:ascii="Times New Roman" w:eastAsia="Times New Roman" w:hAnsi="Times New Roman" w:cs="Times New Roman"/>
          <w:sz w:val="24"/>
          <w:szCs w:val="24"/>
          <w:lang w:val="en-GB" w:eastAsia="cs-CZ"/>
        </w:rPr>
        <w:t xml:space="preserve">(1) of ZDP and will </w:t>
      </w:r>
      <w:r w:rsidRPr="00FA1502">
        <w:rPr>
          <w:rFonts w:ascii="Times New Roman" w:eastAsia="Times New Roman" w:hAnsi="Times New Roman" w:cs="Times New Roman"/>
          <w:sz w:val="24"/>
          <w:szCs w:val="24"/>
          <w:lang w:val="en-GB" w:eastAsia="cs-CZ"/>
        </w:rPr>
        <w:t>continue to include pension schemes with state contributions, additional pension savings, pension insurance and private life insurance, as has been the case</w:t>
      </w:r>
      <w:r w:rsidRPr="00FA1502" w:rsidR="00A970BB">
        <w:rPr>
          <w:rFonts w:ascii="Times New Roman" w:eastAsia="Times New Roman" w:hAnsi="Times New Roman" w:cs="Times New Roman"/>
          <w:sz w:val="24"/>
          <w:szCs w:val="24"/>
          <w:lang w:val="en-GB" w:eastAsia="cs-CZ"/>
        </w:rPr>
        <w:t xml:space="preserve"> until now</w:t>
      </w:r>
      <w:r w:rsidRPr="00FA1502">
        <w:rPr>
          <w:rFonts w:ascii="Times New Roman" w:eastAsia="Times New Roman" w:hAnsi="Times New Roman" w:cs="Times New Roman"/>
          <w:sz w:val="24"/>
          <w:szCs w:val="24"/>
          <w:lang w:val="en-GB" w:eastAsia="cs-CZ"/>
        </w:rPr>
        <w:t xml:space="preserve">, </w:t>
      </w:r>
      <w:r w:rsidRPr="00FA1502" w:rsidR="00A970BB">
        <w:rPr>
          <w:rFonts w:ascii="Times New Roman" w:eastAsia="Times New Roman" w:hAnsi="Times New Roman" w:cs="Times New Roman"/>
          <w:sz w:val="24"/>
          <w:szCs w:val="24"/>
          <w:lang w:val="en-GB" w:eastAsia="cs-CZ"/>
        </w:rPr>
        <w:t>and in addition</w:t>
      </w:r>
      <w:r w:rsidRPr="00FA1502">
        <w:rPr>
          <w:rFonts w:ascii="Times New Roman" w:eastAsia="Times New Roman" w:hAnsi="Times New Roman" w:cs="Times New Roman"/>
          <w:sz w:val="24"/>
          <w:szCs w:val="24"/>
          <w:lang w:val="en-GB" w:eastAsia="cs-CZ"/>
        </w:rPr>
        <w:t xml:space="preserve"> includes an </w:t>
      </w:r>
      <w:r w:rsidRPr="00FA1502" w:rsidR="00A970BB">
        <w:rPr>
          <w:rFonts w:ascii="Times New Roman" w:eastAsia="Times New Roman" w:hAnsi="Times New Roman" w:cs="Times New Roman"/>
          <w:sz w:val="24"/>
          <w:szCs w:val="24"/>
          <w:lang w:val="en-GB" w:eastAsia="cs-CZ"/>
        </w:rPr>
        <w:t xml:space="preserve">individual savings </w:t>
      </w:r>
      <w:r w:rsidRPr="00FA1502">
        <w:rPr>
          <w:rFonts w:ascii="Times New Roman" w:eastAsia="Times New Roman" w:hAnsi="Times New Roman" w:cs="Times New Roman"/>
          <w:sz w:val="24"/>
          <w:szCs w:val="24"/>
          <w:lang w:val="en-GB" w:eastAsia="cs-CZ"/>
        </w:rPr>
        <w:t xml:space="preserve">account newly introduced </w:t>
      </w:r>
      <w:r w:rsidRPr="00FA1502" w:rsidR="00A970BB">
        <w:rPr>
          <w:rFonts w:ascii="Times New Roman" w:eastAsia="Times New Roman" w:hAnsi="Times New Roman" w:cs="Times New Roman"/>
          <w:sz w:val="24"/>
          <w:szCs w:val="24"/>
          <w:lang w:val="en-GB" w:eastAsia="cs-CZ"/>
        </w:rPr>
        <w:t xml:space="preserve">by the amendment of </w:t>
      </w:r>
      <w:r w:rsidRPr="00FA1502">
        <w:rPr>
          <w:rFonts w:ascii="Times New Roman" w:eastAsia="Times New Roman" w:hAnsi="Times New Roman" w:cs="Times New Roman"/>
          <w:sz w:val="24"/>
          <w:szCs w:val="24"/>
          <w:lang w:val="en-GB" w:eastAsia="cs-CZ"/>
        </w:rPr>
        <w:t>ZPKT. Therefore, there are no substantial changes in the scope of the exemption of employer</w:t>
      </w:r>
      <w:r w:rsidRPr="00FA1502" w:rsidR="00AC72C2">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s contributions; for more details see the</w:t>
      </w:r>
      <w:r w:rsidRPr="00FA1502" w:rsidR="000E068E">
        <w:rPr>
          <w:rFonts w:ascii="Times New Roman" w:eastAsia="Times New Roman" w:hAnsi="Times New Roman" w:cs="Times New Roman"/>
          <w:sz w:val="24"/>
          <w:szCs w:val="24"/>
          <w:lang w:val="en-GB" w:eastAsia="cs-CZ"/>
        </w:rPr>
        <w:t xml:space="preserve"> explanation </w:t>
      </w:r>
      <w:r w:rsidRPr="00FA1502">
        <w:rPr>
          <w:rFonts w:ascii="Times New Roman" w:eastAsia="Times New Roman" w:hAnsi="Times New Roman" w:cs="Times New Roman"/>
          <w:sz w:val="24"/>
          <w:szCs w:val="24"/>
          <w:lang w:val="en-GB" w:eastAsia="cs-CZ"/>
        </w:rPr>
        <w:t>to</w:t>
      </w:r>
      <w:r w:rsidRPr="00FA1502" w:rsidR="000E068E">
        <w:rPr>
          <w:rFonts w:ascii="Times New Roman" w:eastAsia="Times New Roman" w:hAnsi="Times New Roman" w:cs="Times New Roman"/>
          <w:sz w:val="24"/>
          <w:szCs w:val="24"/>
          <w:lang w:val="en-GB" w:eastAsia="cs-CZ"/>
        </w:rPr>
        <w:t xml:space="preserve"> Section </w:t>
      </w:r>
      <w:r w:rsidRPr="00FA1502">
        <w:rPr>
          <w:rFonts w:ascii="Times New Roman" w:eastAsia="Times New Roman" w:hAnsi="Times New Roman" w:cs="Times New Roman"/>
          <w:sz w:val="24"/>
          <w:szCs w:val="24"/>
          <w:lang w:val="en-GB" w:eastAsia="cs-CZ"/>
        </w:rPr>
        <w:t xml:space="preserve">15a and 15b of </w:t>
      </w:r>
      <w:r w:rsidRPr="00FA1502" w:rsidR="000E068E">
        <w:rPr>
          <w:rFonts w:ascii="Times New Roman" w:eastAsia="Times New Roman" w:hAnsi="Times New Roman" w:cs="Times New Roman"/>
          <w:sz w:val="24"/>
          <w:szCs w:val="24"/>
          <w:lang w:val="en-GB" w:eastAsia="cs-CZ"/>
        </w:rPr>
        <w:t>ZDP.</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 4 </w:t>
      </w:r>
      <w:r w:rsidRPr="00FA1502" w:rsidR="00161570">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6 </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16</w:t>
      </w:r>
      <w:r w:rsidRPr="00FA1502" w:rsidR="00161570">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w:t>
      </w:r>
      <w:r w:rsidRPr="00FA1502" w:rsidR="00161570">
        <w:rPr>
          <w:rFonts w:ascii="Times New Roman" w:eastAsia="Times New Roman" w:hAnsi="Times New Roman" w:cs="Times New Roman"/>
          <w:sz w:val="24"/>
          <w:szCs w:val="24"/>
          <w:lang w:val="en-GB" w:eastAsia="cs-CZ"/>
        </w:rPr>
        <w:t>deletion</w:t>
      </w:r>
      <w:r w:rsidRPr="00FA1502">
        <w:rPr>
          <w:rFonts w:ascii="Times New Roman" w:eastAsia="Times New Roman" w:hAnsi="Times New Roman" w:cs="Times New Roman"/>
          <w:sz w:val="24"/>
          <w:szCs w:val="24"/>
          <w:lang w:val="en-GB" w:eastAsia="cs-CZ"/>
        </w:rPr>
        <w:t xml:space="preserve"> of the provision defining the institution of pension insurance is linked to a</w:t>
      </w:r>
      <w:r w:rsidRPr="00FA1502" w:rsidR="00161570">
        <w:rPr>
          <w:rFonts w:ascii="Times New Roman" w:eastAsia="Times New Roman" w:hAnsi="Times New Roman" w:cs="Times New Roman"/>
          <w:sz w:val="24"/>
          <w:szCs w:val="24"/>
          <w:lang w:val="en-GB" w:eastAsia="cs-CZ"/>
        </w:rPr>
        <w:t> </w:t>
      </w:r>
      <w:r w:rsidRPr="00FA1502">
        <w:rPr>
          <w:rFonts w:ascii="Times New Roman" w:eastAsia="Times New Roman" w:hAnsi="Times New Roman" w:cs="Times New Roman"/>
          <w:sz w:val="24"/>
          <w:szCs w:val="24"/>
          <w:lang w:val="en-GB" w:eastAsia="cs-CZ"/>
        </w:rPr>
        <w:t>comprehensive change in the legislative approach to support for taxpayers</w:t>
      </w:r>
      <w:r w:rsidRPr="00FA1502" w:rsidR="00161570">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savings</w:t>
      </w:r>
      <w:r w:rsidRPr="00FA1502" w:rsidR="00161570">
        <w:rPr>
          <w:rFonts w:ascii="Times New Roman" w:eastAsia="Times New Roman" w:hAnsi="Times New Roman" w:cs="Times New Roman"/>
          <w:sz w:val="24"/>
          <w:szCs w:val="24"/>
          <w:lang w:val="en-GB" w:eastAsia="cs-CZ"/>
        </w:rPr>
        <w:t xml:space="preserve"> for retirement</w:t>
      </w:r>
      <w:r w:rsidRPr="00FA1502">
        <w:rPr>
          <w:rFonts w:ascii="Times New Roman" w:eastAsia="Times New Roman" w:hAnsi="Times New Roman" w:cs="Times New Roman"/>
          <w:sz w:val="24"/>
          <w:szCs w:val="24"/>
          <w:lang w:val="en-GB" w:eastAsia="cs-CZ"/>
        </w:rPr>
        <w:t>, in whic</w:t>
      </w:r>
      <w:r w:rsidRPr="00FA1502" w:rsidR="00161570">
        <w:rPr>
          <w:rFonts w:ascii="Times New Roman" w:eastAsia="Times New Roman" w:hAnsi="Times New Roman" w:cs="Times New Roman"/>
          <w:sz w:val="24"/>
          <w:szCs w:val="24"/>
          <w:lang w:val="en-GB" w:eastAsia="cs-CZ"/>
        </w:rPr>
        <w:t xml:space="preserve">h all the definition of </w:t>
      </w:r>
      <w:r w:rsidRPr="00FA1502">
        <w:rPr>
          <w:rFonts w:ascii="Times New Roman" w:eastAsia="Times New Roman" w:hAnsi="Times New Roman" w:cs="Times New Roman"/>
          <w:sz w:val="24"/>
          <w:szCs w:val="24"/>
          <w:lang w:val="en-GB" w:eastAsia="cs-CZ"/>
        </w:rPr>
        <w:t xml:space="preserve">savings </w:t>
      </w:r>
      <w:r w:rsidRPr="00FA1502" w:rsidR="00161570">
        <w:rPr>
          <w:rFonts w:ascii="Times New Roman" w:eastAsia="Times New Roman" w:hAnsi="Times New Roman" w:cs="Times New Roman"/>
          <w:sz w:val="24"/>
          <w:szCs w:val="24"/>
          <w:lang w:val="en-GB" w:eastAsia="cs-CZ"/>
        </w:rPr>
        <w:t xml:space="preserve">for retirement </w:t>
      </w:r>
      <w:r w:rsidRPr="00FA1502">
        <w:rPr>
          <w:rFonts w:ascii="Times New Roman" w:eastAsia="Times New Roman" w:hAnsi="Times New Roman" w:cs="Times New Roman"/>
          <w:sz w:val="24"/>
          <w:szCs w:val="24"/>
          <w:lang w:val="en-GB" w:eastAsia="cs-CZ"/>
        </w:rPr>
        <w:t xml:space="preserve">products is concentrated in the newly inserted </w:t>
      </w:r>
      <w:r w:rsidRPr="00FA1502" w:rsidR="00161570">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15a of </w:t>
      </w:r>
      <w:r w:rsidRPr="00FA1502" w:rsidR="00161570">
        <w:rPr>
          <w:rFonts w:ascii="Times New Roman" w:eastAsia="Times New Roman" w:hAnsi="Times New Roman" w:cs="Times New Roman"/>
          <w:sz w:val="24"/>
          <w:szCs w:val="24"/>
          <w:lang w:val="en-GB" w:eastAsia="cs-CZ"/>
        </w:rPr>
        <w:t>ZDP.</w:t>
      </w:r>
      <w:r w:rsidRPr="00FA1502">
        <w:rPr>
          <w:rFonts w:ascii="Times New Roman" w:eastAsia="Times New Roman" w:hAnsi="Times New Roman" w:cs="Times New Roman"/>
          <w:sz w:val="24"/>
          <w:szCs w:val="24"/>
          <w:lang w:val="en-GB" w:eastAsia="cs-CZ"/>
        </w:rPr>
        <w:t xml:space="preserve"> The pension insurance institution will therefore be newly</w:t>
      </w:r>
      <w:r w:rsidRPr="00FA1502" w:rsidR="00161570">
        <w:rPr>
          <w:rFonts w:ascii="Times New Roman" w:eastAsia="Times New Roman" w:hAnsi="Times New Roman" w:cs="Times New Roman"/>
          <w:sz w:val="24"/>
          <w:szCs w:val="24"/>
          <w:lang w:val="en-GB" w:eastAsia="cs-CZ"/>
        </w:rPr>
        <w:t xml:space="preserve"> defined in Section 15a (2) of ZDP</w:t>
      </w:r>
      <w:r w:rsidRPr="00FA1502">
        <w:rPr>
          <w:rFonts w:ascii="Times New Roman" w:eastAsia="Times New Roman" w:hAnsi="Times New Roman" w:cs="Times New Roman"/>
          <w:sz w:val="24"/>
          <w:szCs w:val="24"/>
          <w:lang w:val="en-GB" w:eastAsia="cs-CZ"/>
        </w:rPr>
        <w:t>.</w:t>
      </w:r>
    </w:p>
    <w:p w:rsidR="00176359" w:rsidRPr="00FA1502" w:rsidP="00A7116F">
      <w:pPr>
        <w:keepNext/>
        <w:widowControl w:val="0"/>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 5 </w:t>
      </w:r>
      <w:r w:rsidRPr="00FA1502" w:rsidR="00B5185D">
        <w:rPr>
          <w:rFonts w:ascii="Times New Roman" w:eastAsia="Times New Roman" w:hAnsi="Times New Roman" w:cs="Times New Roman"/>
          <w:b/>
          <w:bCs/>
          <w:sz w:val="24"/>
          <w:szCs w:val="24"/>
          <w:u w:val="single"/>
          <w:lang w:val="en-GB" w:eastAsia="cs-CZ"/>
        </w:rPr>
        <w:t>[Section 8 (1) (e) and (f)]</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In connection with the new concept of tax support f</w:t>
      </w:r>
      <w:r w:rsidRPr="00FA1502" w:rsidR="00DC4303">
        <w:rPr>
          <w:rFonts w:ascii="Times New Roman" w:eastAsia="Times New Roman" w:hAnsi="Times New Roman" w:cs="Times New Roman"/>
          <w:sz w:val="24"/>
          <w:szCs w:val="24"/>
          <w:lang w:val="en-GB" w:eastAsia="cs-CZ"/>
        </w:rPr>
        <w:t xml:space="preserve">or retirement savings products, </w:t>
      </w:r>
      <w:r w:rsidRPr="00FA1502">
        <w:rPr>
          <w:rFonts w:ascii="Times New Roman" w:eastAsia="Times New Roman" w:hAnsi="Times New Roman" w:cs="Times New Roman"/>
          <w:sz w:val="24"/>
          <w:szCs w:val="24"/>
          <w:lang w:val="en-GB" w:eastAsia="cs-CZ"/>
        </w:rPr>
        <w:t>the definition of certain income, which represents income from capital assets</w:t>
      </w:r>
      <w:r w:rsidRPr="00FA1502" w:rsidR="00DC4303">
        <w:rPr>
          <w:rFonts w:ascii="Times New Roman" w:eastAsia="Times New Roman" w:hAnsi="Times New Roman" w:cs="Times New Roman"/>
          <w:sz w:val="24"/>
          <w:szCs w:val="24"/>
          <w:lang w:val="en-GB" w:eastAsia="cs-CZ"/>
        </w:rPr>
        <w:t>, is adjusted</w:t>
      </w:r>
      <w:r w:rsidRPr="00FA1502">
        <w:rPr>
          <w:rFonts w:ascii="Times New Roman" w:eastAsia="Times New Roman" w:hAnsi="Times New Roman" w:cs="Times New Roman"/>
          <w:sz w:val="24"/>
          <w:szCs w:val="24"/>
          <w:lang w:val="en-GB" w:eastAsia="cs-CZ"/>
        </w:rPr>
        <w:t xml:space="preserve">. Letter </w:t>
      </w:r>
      <w:r w:rsidRPr="00FA1502" w:rsidR="002F085D">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e) </w:t>
      </w:r>
      <w:r w:rsidRPr="00FA1502" w:rsidR="00A6304A">
        <w:rPr>
          <w:rFonts w:ascii="Times New Roman" w:eastAsia="Times New Roman" w:hAnsi="Times New Roman" w:cs="Times New Roman"/>
          <w:sz w:val="24"/>
          <w:szCs w:val="24"/>
          <w:lang w:val="en-GB" w:eastAsia="cs-CZ"/>
        </w:rPr>
        <w:t>is l</w:t>
      </w:r>
      <w:r w:rsidRPr="00FA1502">
        <w:rPr>
          <w:rFonts w:ascii="Times New Roman" w:eastAsia="Times New Roman" w:hAnsi="Times New Roman" w:cs="Times New Roman"/>
          <w:sz w:val="24"/>
          <w:szCs w:val="24"/>
          <w:lang w:val="en-GB" w:eastAsia="cs-CZ"/>
        </w:rPr>
        <w:t>egislative</w:t>
      </w:r>
      <w:r w:rsidRPr="00FA1502" w:rsidR="00A6304A">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technically adjusted to </w:t>
      </w:r>
      <w:r w:rsidRPr="00FA1502" w:rsidR="00A6304A">
        <w:rPr>
          <w:rFonts w:ascii="Times New Roman" w:eastAsia="Times New Roman" w:hAnsi="Times New Roman" w:cs="Times New Roman"/>
          <w:sz w:val="24"/>
          <w:szCs w:val="24"/>
          <w:lang w:val="en-GB" w:eastAsia="cs-CZ"/>
        </w:rPr>
        <w:t>follow t</w:t>
      </w:r>
      <w:r w:rsidRPr="00FA1502">
        <w:rPr>
          <w:rFonts w:ascii="Times New Roman" w:eastAsia="Times New Roman" w:hAnsi="Times New Roman" w:cs="Times New Roman"/>
          <w:sz w:val="24"/>
          <w:szCs w:val="24"/>
          <w:lang w:val="en-GB" w:eastAsia="cs-CZ"/>
        </w:rPr>
        <w:t xml:space="preserve">he terminology used for these transactions in </w:t>
      </w:r>
      <w:r w:rsidRPr="00FA1502" w:rsidR="00A6304A">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15a </w:t>
      </w:r>
      <w:r w:rsidRPr="00FA1502" w:rsidR="00A6304A">
        <w:rPr>
          <w:rFonts w:ascii="Times New Roman" w:eastAsia="Times New Roman" w:hAnsi="Times New Roman" w:cs="Times New Roman"/>
          <w:sz w:val="24"/>
          <w:szCs w:val="24"/>
          <w:lang w:val="en-GB" w:eastAsia="cs-CZ"/>
        </w:rPr>
        <w:t>of ZDP and</w:t>
      </w:r>
      <w:r w:rsidRPr="00FA1502">
        <w:rPr>
          <w:rFonts w:ascii="Times New Roman" w:eastAsia="Times New Roman" w:hAnsi="Times New Roman" w:cs="Times New Roman"/>
          <w:sz w:val="24"/>
          <w:szCs w:val="24"/>
          <w:lang w:val="en-GB" w:eastAsia="cs-CZ"/>
        </w:rPr>
        <w:t xml:space="preserve"> also removes reference to the reduction pursuant to paragraph 6. The revenue</w:t>
      </w:r>
      <w:r w:rsidRPr="00FA1502" w:rsidR="0042070D">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 xml:space="preserve"> referred to in </w:t>
      </w:r>
      <w:r w:rsidRPr="00FA1502" w:rsidR="00BE6685">
        <w:rPr>
          <w:rFonts w:ascii="Times New Roman" w:eastAsia="Times New Roman" w:hAnsi="Times New Roman" w:cs="Times New Roman"/>
          <w:sz w:val="24"/>
          <w:szCs w:val="24"/>
          <w:lang w:val="en-GB" w:eastAsia="cs-CZ"/>
        </w:rPr>
        <w:t>letter</w:t>
      </w:r>
      <w:r w:rsidRPr="00FA1502">
        <w:rPr>
          <w:rFonts w:ascii="Times New Roman" w:eastAsia="Times New Roman" w:hAnsi="Times New Roman" w:cs="Times New Roman"/>
          <w:sz w:val="24"/>
          <w:szCs w:val="24"/>
          <w:lang w:val="en-GB" w:eastAsia="cs-CZ"/>
        </w:rPr>
        <w:t xml:space="preserve"> </w:t>
      </w:r>
      <w:r w:rsidRPr="00FA1502" w:rsidR="002F085D">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CB3749">
        <w:rPr>
          <w:rFonts w:ascii="Times New Roman" w:eastAsia="Times New Roman" w:hAnsi="Times New Roman" w:cs="Times New Roman"/>
          <w:sz w:val="24"/>
          <w:szCs w:val="24"/>
          <w:lang w:val="en-GB" w:eastAsia="cs-CZ"/>
        </w:rPr>
        <w:t xml:space="preserve"> are r</w:t>
      </w:r>
      <w:r w:rsidRPr="00FA1502">
        <w:rPr>
          <w:rFonts w:ascii="Times New Roman" w:eastAsia="Times New Roman" w:hAnsi="Times New Roman" w:cs="Times New Roman"/>
          <w:sz w:val="24"/>
          <w:szCs w:val="24"/>
          <w:lang w:val="en-GB" w:eastAsia="cs-CZ"/>
        </w:rPr>
        <w:t>evenue</w:t>
      </w:r>
      <w:r w:rsidRPr="00FA1502" w:rsidR="00CB3749">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 xml:space="preserve"> from capital assets in full, decrease according to </w:t>
      </w:r>
      <w:r w:rsidRPr="00FA1502" w:rsidR="00CB3749">
        <w:rPr>
          <w:rFonts w:ascii="Times New Roman" w:eastAsia="Times New Roman" w:hAnsi="Times New Roman" w:cs="Times New Roman"/>
          <w:sz w:val="24"/>
          <w:szCs w:val="24"/>
          <w:lang w:val="en-GB" w:eastAsia="cs-CZ"/>
        </w:rPr>
        <w:t xml:space="preserve">the said paragraph </w:t>
      </w:r>
      <w:r w:rsidRPr="00FA1502">
        <w:rPr>
          <w:rFonts w:ascii="Times New Roman" w:eastAsia="Times New Roman" w:hAnsi="Times New Roman" w:cs="Times New Roman"/>
          <w:sz w:val="24"/>
          <w:szCs w:val="24"/>
          <w:lang w:val="en-GB" w:eastAsia="cs-CZ"/>
        </w:rPr>
        <w:t xml:space="preserve">is made only for the purpose of </w:t>
      </w:r>
      <w:r w:rsidRPr="00FA1502" w:rsidR="00CB3749">
        <w:rPr>
          <w:rFonts w:ascii="Times New Roman" w:eastAsia="Times New Roman" w:hAnsi="Times New Roman" w:cs="Times New Roman"/>
          <w:sz w:val="24"/>
          <w:szCs w:val="24"/>
          <w:lang w:val="en-GB" w:eastAsia="cs-CZ"/>
        </w:rPr>
        <w:t>determining the tax base of such</w:t>
      </w:r>
      <w:r w:rsidRPr="00FA1502">
        <w:rPr>
          <w:rFonts w:ascii="Times New Roman" w:eastAsia="Times New Roman" w:hAnsi="Times New Roman" w:cs="Times New Roman"/>
          <w:sz w:val="24"/>
          <w:szCs w:val="24"/>
          <w:lang w:val="en-GB" w:eastAsia="cs-CZ"/>
        </w:rPr>
        <w:t xml:space="preserve"> income.</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Letter</w:t>
      </w:r>
      <w:r w:rsidRPr="00FA1502">
        <w:rPr>
          <w:rFonts w:ascii="Times New Roman" w:eastAsia="Times New Roman" w:hAnsi="Times New Roman" w:cs="Times New Roman"/>
          <w:sz w:val="24"/>
          <w:szCs w:val="24"/>
          <w:lang w:val="en-GB" w:eastAsia="cs-CZ"/>
        </w:rPr>
        <w:t xml:space="preserve"> (f) is reworded more generally to include all income from private life insurance (not just tax-supported)</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 xml:space="preserve">other personal insurance, </w:t>
      </w:r>
      <w:r w:rsidRPr="00FA1502">
        <w:rPr>
          <w:rFonts w:ascii="Times New Roman" w:eastAsia="Times New Roman" w:hAnsi="Times New Roman" w:cs="Times New Roman"/>
          <w:sz w:val="24"/>
          <w:szCs w:val="24"/>
          <w:lang w:val="en-GB" w:eastAsia="cs-CZ"/>
        </w:rPr>
        <w:t xml:space="preserve">in </w:t>
      </w:r>
      <w:r w:rsidRPr="00FA1502">
        <w:rPr>
          <w:rFonts w:ascii="Times New Roman" w:eastAsia="Times New Roman" w:hAnsi="Times New Roman" w:cs="Times New Roman"/>
          <w:sz w:val="24"/>
          <w:szCs w:val="24"/>
          <w:lang w:val="en-GB" w:eastAsia="cs-CZ"/>
        </w:rPr>
        <w:t>both</w:t>
      </w:r>
      <w:r w:rsidRPr="00FA1502">
        <w:rPr>
          <w:rFonts w:ascii="Times New Roman" w:eastAsia="Times New Roman" w:hAnsi="Times New Roman" w:cs="Times New Roman"/>
          <w:sz w:val="24"/>
          <w:szCs w:val="24"/>
          <w:lang w:val="en-GB" w:eastAsia="cs-CZ"/>
        </w:rPr>
        <w:t xml:space="preserve"> cases</w:t>
      </w:r>
      <w:r w:rsidRPr="00FA1502">
        <w:rPr>
          <w:rFonts w:ascii="Times New Roman" w:eastAsia="Times New Roman" w:hAnsi="Times New Roman" w:cs="Times New Roman"/>
          <w:sz w:val="24"/>
          <w:szCs w:val="24"/>
          <w:lang w:val="en-GB" w:eastAsia="cs-CZ"/>
        </w:rPr>
        <w:t xml:space="preserve"> insurance benefits and income </w:t>
      </w:r>
      <w:r w:rsidRPr="00FA1502">
        <w:rPr>
          <w:rFonts w:ascii="Times New Roman" w:eastAsia="Times New Roman" w:hAnsi="Times New Roman" w:cs="Times New Roman"/>
          <w:sz w:val="24"/>
          <w:szCs w:val="24"/>
          <w:lang w:val="en-GB" w:eastAsia="cs-CZ"/>
        </w:rPr>
        <w:t>which</w:t>
      </w:r>
      <w:r w:rsidRPr="00FA1502">
        <w:rPr>
          <w:rFonts w:ascii="Times New Roman" w:eastAsia="Times New Roman" w:hAnsi="Times New Roman" w:cs="Times New Roman"/>
          <w:sz w:val="24"/>
          <w:szCs w:val="24"/>
          <w:lang w:val="en-GB" w:eastAsia="cs-CZ"/>
        </w:rPr>
        <w:t xml:space="preserve"> is not </w:t>
      </w:r>
      <w:r w:rsidRPr="00FA1502">
        <w:rPr>
          <w:rFonts w:ascii="Times New Roman" w:eastAsia="Times New Roman" w:hAnsi="Times New Roman" w:cs="Times New Roman"/>
          <w:sz w:val="24"/>
          <w:szCs w:val="24"/>
          <w:lang w:val="en-GB" w:eastAsia="cs-CZ"/>
        </w:rPr>
        <w:t xml:space="preserve">an </w:t>
      </w:r>
      <w:r w:rsidRPr="00FA1502">
        <w:rPr>
          <w:rFonts w:ascii="Times New Roman" w:eastAsia="Times New Roman" w:hAnsi="Times New Roman" w:cs="Times New Roman"/>
          <w:sz w:val="24"/>
          <w:szCs w:val="24"/>
          <w:lang w:val="en-GB" w:eastAsia="cs-CZ"/>
        </w:rPr>
        <w:t xml:space="preserve">insurance benefit. </w:t>
      </w:r>
      <w:r w:rsidRPr="00FA1502" w:rsidR="004770E2">
        <w:rPr>
          <w:rFonts w:ascii="Times New Roman" w:eastAsia="Times New Roman" w:hAnsi="Times New Roman" w:cs="Times New Roman"/>
          <w:sz w:val="24"/>
          <w:szCs w:val="24"/>
          <w:lang w:val="en-GB" w:eastAsia="cs-CZ"/>
        </w:rPr>
        <w:t xml:space="preserve">Firstly, </w:t>
      </w:r>
      <w:r w:rsidRPr="00FA1502">
        <w:rPr>
          <w:rFonts w:ascii="Times New Roman" w:eastAsia="Times New Roman" w:hAnsi="Times New Roman" w:cs="Times New Roman"/>
          <w:sz w:val="24"/>
          <w:szCs w:val="24"/>
          <w:lang w:val="en-GB" w:eastAsia="cs-CZ"/>
        </w:rPr>
        <w:t xml:space="preserve">the term </w:t>
      </w:r>
      <w:r w:rsidRPr="00FA1502" w:rsidR="004770E2">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private life insurance</w:t>
      </w:r>
      <w:r w:rsidRPr="00FA1502" w:rsidR="004770E2">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for the purposes of </w:t>
      </w:r>
      <w:r w:rsidRPr="00FA1502" w:rsidR="004770E2">
        <w:rPr>
          <w:rFonts w:ascii="Times New Roman" w:eastAsia="Times New Roman" w:hAnsi="Times New Roman" w:cs="Times New Roman"/>
          <w:sz w:val="24"/>
          <w:szCs w:val="24"/>
          <w:lang w:val="en-GB" w:eastAsia="cs-CZ"/>
        </w:rPr>
        <w:t xml:space="preserve">income </w:t>
      </w:r>
      <w:r w:rsidRPr="00FA1502">
        <w:rPr>
          <w:rFonts w:ascii="Times New Roman" w:eastAsia="Times New Roman" w:hAnsi="Times New Roman" w:cs="Times New Roman"/>
          <w:sz w:val="24"/>
          <w:szCs w:val="24"/>
          <w:lang w:val="en-GB" w:eastAsia="cs-CZ"/>
        </w:rPr>
        <w:t>taxes</w:t>
      </w:r>
      <w:r w:rsidRPr="00FA1502" w:rsidR="004770E2">
        <w:rPr>
          <w:rFonts w:ascii="Times New Roman" w:eastAsia="Times New Roman" w:hAnsi="Times New Roman" w:cs="Times New Roman"/>
          <w:sz w:val="24"/>
          <w:szCs w:val="24"/>
          <w:lang w:val="en-GB" w:eastAsia="cs-CZ"/>
        </w:rPr>
        <w:t xml:space="preserve"> newly </w:t>
      </w:r>
      <w:r w:rsidRPr="00FA1502">
        <w:rPr>
          <w:rFonts w:ascii="Times New Roman" w:eastAsia="Times New Roman" w:hAnsi="Times New Roman" w:cs="Times New Roman"/>
          <w:sz w:val="24"/>
          <w:szCs w:val="24"/>
          <w:lang w:val="en-GB" w:eastAsia="cs-CZ"/>
        </w:rPr>
        <w:t xml:space="preserve">does not include any private life insurance, but only </w:t>
      </w:r>
      <w:r w:rsidRPr="00FA1502" w:rsidR="004770E2">
        <w:rPr>
          <w:rFonts w:ascii="Times New Roman" w:eastAsia="Times New Roman" w:hAnsi="Times New Roman" w:cs="Times New Roman"/>
          <w:sz w:val="24"/>
          <w:szCs w:val="24"/>
          <w:lang w:val="en-GB" w:eastAsia="cs-CZ"/>
        </w:rPr>
        <w:t>insurance</w:t>
      </w:r>
      <w:r w:rsidRPr="00FA1502">
        <w:rPr>
          <w:rFonts w:ascii="Times New Roman" w:eastAsia="Times New Roman" w:hAnsi="Times New Roman" w:cs="Times New Roman"/>
          <w:sz w:val="24"/>
          <w:szCs w:val="24"/>
          <w:lang w:val="en-GB" w:eastAsia="cs-CZ"/>
        </w:rPr>
        <w:t xml:space="preserve"> which meets the conditions of </w:t>
      </w:r>
      <w:r w:rsidRPr="00FA1502" w:rsidR="004770E2">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15a </w:t>
      </w:r>
      <w:r w:rsidRPr="00FA1502" w:rsidR="004770E2">
        <w:rPr>
          <w:rFonts w:ascii="Times New Roman" w:eastAsia="Times New Roman" w:hAnsi="Times New Roman" w:cs="Times New Roman"/>
          <w:sz w:val="24"/>
          <w:szCs w:val="24"/>
          <w:lang w:val="en-GB" w:eastAsia="cs-CZ"/>
        </w:rPr>
        <w:t>(3) of ZDP</w:t>
      </w:r>
      <w:r w:rsidRPr="00FA1502">
        <w:rPr>
          <w:rFonts w:ascii="Times New Roman" w:eastAsia="Times New Roman" w:hAnsi="Times New Roman" w:cs="Times New Roman"/>
          <w:sz w:val="24"/>
          <w:szCs w:val="24"/>
          <w:lang w:val="en-GB" w:eastAsia="cs-CZ"/>
        </w:rPr>
        <w:t xml:space="preserve">. Of course, income that is exempt under </w:t>
      </w:r>
      <w:r w:rsidRPr="00FA1502" w:rsidR="008B04E9">
        <w:rPr>
          <w:rFonts w:ascii="Times New Roman" w:eastAsia="Times New Roman" w:hAnsi="Times New Roman" w:cs="Times New Roman"/>
          <w:sz w:val="24"/>
          <w:szCs w:val="24"/>
          <w:lang w:val="en-GB" w:eastAsia="cs-CZ"/>
        </w:rPr>
        <w:t xml:space="preserve">Section </w:t>
      </w:r>
      <w:r w:rsidRPr="00FA1502">
        <w:rPr>
          <w:rFonts w:ascii="Times New Roman" w:eastAsia="Times New Roman" w:hAnsi="Times New Roman" w:cs="Times New Roman"/>
          <w:sz w:val="24"/>
          <w:szCs w:val="24"/>
          <w:lang w:val="en-GB" w:eastAsia="cs-CZ"/>
        </w:rPr>
        <w:t xml:space="preserve">4 of </w:t>
      </w:r>
      <w:r w:rsidRPr="00FA1502" w:rsidR="008B04E9">
        <w:rPr>
          <w:rFonts w:ascii="Times New Roman" w:eastAsia="Times New Roman" w:hAnsi="Times New Roman" w:cs="Times New Roman"/>
          <w:sz w:val="24"/>
          <w:szCs w:val="24"/>
          <w:lang w:val="en-GB" w:eastAsia="cs-CZ"/>
        </w:rPr>
        <w:t xml:space="preserve">ZDP </w:t>
      </w:r>
      <w:r w:rsidRPr="00FA1502">
        <w:rPr>
          <w:rFonts w:ascii="Times New Roman" w:eastAsia="Times New Roman" w:hAnsi="Times New Roman" w:cs="Times New Roman"/>
          <w:sz w:val="24"/>
          <w:szCs w:val="24"/>
          <w:lang w:val="en-GB" w:eastAsia="cs-CZ"/>
        </w:rPr>
        <w:t xml:space="preserve">will not be taxed, </w:t>
      </w:r>
      <w:r w:rsidRPr="00FA1502" w:rsidR="008B04E9">
        <w:rPr>
          <w:rFonts w:ascii="Times New Roman" w:eastAsia="Times New Roman" w:hAnsi="Times New Roman" w:cs="Times New Roman"/>
          <w:sz w:val="24"/>
          <w:szCs w:val="24"/>
          <w:lang w:val="en-GB" w:eastAsia="cs-CZ"/>
        </w:rPr>
        <w:t xml:space="preserve">Section 8 (1) </w:t>
      </w:r>
      <w:r w:rsidRPr="00FA1502">
        <w:rPr>
          <w:rFonts w:ascii="Times New Roman" w:eastAsia="Times New Roman" w:hAnsi="Times New Roman" w:cs="Times New Roman"/>
          <w:sz w:val="24"/>
          <w:szCs w:val="24"/>
          <w:lang w:val="en-GB" w:eastAsia="cs-CZ"/>
        </w:rPr>
        <w:t xml:space="preserve">(f) </w:t>
      </w:r>
      <w:r w:rsidRPr="00FA1502" w:rsidR="008B04E9">
        <w:rPr>
          <w:rFonts w:ascii="Times New Roman" w:eastAsia="Times New Roman" w:hAnsi="Times New Roman" w:cs="Times New Roman"/>
          <w:sz w:val="24"/>
          <w:szCs w:val="24"/>
          <w:lang w:val="en-GB" w:eastAsia="cs-CZ"/>
        </w:rPr>
        <w:t>of ZDP should</w:t>
      </w:r>
      <w:r w:rsidRPr="00FA1502">
        <w:rPr>
          <w:rFonts w:ascii="Times New Roman" w:eastAsia="Times New Roman" w:hAnsi="Times New Roman" w:cs="Times New Roman"/>
          <w:sz w:val="24"/>
          <w:szCs w:val="24"/>
          <w:lang w:val="en-GB" w:eastAsia="cs-CZ"/>
        </w:rPr>
        <w:t xml:space="preserve"> be </w:t>
      </w:r>
      <w:r w:rsidRPr="00FA1502" w:rsidR="008B04E9">
        <w:rPr>
          <w:rFonts w:ascii="Times New Roman" w:eastAsia="Times New Roman" w:hAnsi="Times New Roman" w:cs="Times New Roman"/>
          <w:sz w:val="24"/>
          <w:szCs w:val="24"/>
          <w:lang w:val="en-GB" w:eastAsia="cs-CZ"/>
        </w:rPr>
        <w:t xml:space="preserve">generally </w:t>
      </w:r>
      <w:r w:rsidRPr="00FA1502">
        <w:rPr>
          <w:rFonts w:ascii="Times New Roman" w:eastAsia="Times New Roman" w:hAnsi="Times New Roman" w:cs="Times New Roman"/>
          <w:sz w:val="24"/>
          <w:szCs w:val="24"/>
          <w:lang w:val="en-GB" w:eastAsia="cs-CZ"/>
        </w:rPr>
        <w:t xml:space="preserve">formulated </w:t>
      </w:r>
      <w:r w:rsidRPr="00FA1502" w:rsidR="008B04E9">
        <w:rPr>
          <w:rFonts w:ascii="Times New Roman" w:eastAsia="Times New Roman" w:hAnsi="Times New Roman" w:cs="Times New Roman"/>
          <w:sz w:val="24"/>
          <w:szCs w:val="24"/>
          <w:lang w:val="en-GB" w:eastAsia="cs-CZ"/>
        </w:rPr>
        <w:t>to i</w:t>
      </w:r>
      <w:r w:rsidRPr="00FA1502">
        <w:rPr>
          <w:rFonts w:ascii="Times New Roman" w:eastAsia="Times New Roman" w:hAnsi="Times New Roman" w:cs="Times New Roman"/>
          <w:sz w:val="24"/>
          <w:szCs w:val="24"/>
          <w:lang w:val="en-GB" w:eastAsia="cs-CZ"/>
        </w:rPr>
        <w:t>nclude all income from personal insurance. For the same reason as in point (e), the reference to the reduction referred to in paragraph 7 shall be deleted.</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 6 </w:t>
      </w:r>
      <w:r w:rsidRPr="00FA1502" w:rsidR="00A97ADB">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8 (6)</w:t>
      </w:r>
      <w:r w:rsidRPr="00FA1502" w:rsidR="00A97ADB">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Paragraph 6</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 xml:space="preserve">newly </w:t>
      </w:r>
      <w:r w:rsidRPr="00FA1502">
        <w:rPr>
          <w:rFonts w:ascii="Times New Roman" w:eastAsia="Times New Roman" w:hAnsi="Times New Roman" w:cs="Times New Roman"/>
          <w:sz w:val="24"/>
          <w:szCs w:val="24"/>
          <w:lang w:val="en-GB" w:eastAsia="cs-CZ"/>
        </w:rPr>
        <w:t xml:space="preserve">stipulates rules for determining the tax base for revenue </w:t>
      </w:r>
      <w:r w:rsidRPr="00FA1502">
        <w:rPr>
          <w:rFonts w:ascii="Times New Roman" w:eastAsia="Times New Roman" w:hAnsi="Times New Roman" w:cs="Times New Roman"/>
          <w:sz w:val="24"/>
          <w:szCs w:val="24"/>
          <w:lang w:val="en-GB" w:eastAsia="cs-CZ"/>
        </w:rPr>
        <w:t xml:space="preserve">pursuant to Section 8 (1) </w:t>
      </w:r>
      <w:r w:rsidRPr="00FA1502">
        <w:rPr>
          <w:rFonts w:ascii="Times New Roman" w:eastAsia="Times New Roman" w:hAnsi="Times New Roman" w:cs="Times New Roman"/>
          <w:sz w:val="24"/>
          <w:szCs w:val="24"/>
          <w:lang w:val="en-GB" w:eastAsia="cs-CZ"/>
        </w:rPr>
        <w:t>(e)</w:t>
      </w:r>
      <w:r w:rsidRPr="00FA1502">
        <w:rPr>
          <w:rFonts w:ascii="Times New Roman" w:eastAsia="Times New Roman" w:hAnsi="Times New Roman" w:cs="Times New Roman"/>
          <w:sz w:val="24"/>
          <w:szCs w:val="24"/>
          <w:lang w:val="en-GB" w:eastAsia="cs-CZ"/>
        </w:rPr>
        <w:t xml:space="preserve"> and (</w:t>
      </w:r>
      <w:r w:rsidRPr="00FA1502">
        <w:rPr>
          <w:rFonts w:ascii="Times New Roman" w:eastAsia="Times New Roman" w:hAnsi="Times New Roman" w:cs="Times New Roman"/>
          <w:sz w:val="24"/>
          <w:szCs w:val="24"/>
          <w:lang w:val="en-GB" w:eastAsia="cs-CZ"/>
        </w:rPr>
        <w:t xml:space="preserve">f) </w:t>
      </w:r>
      <w:r w:rsidRPr="00FA1502">
        <w:rPr>
          <w:rFonts w:ascii="Times New Roman" w:eastAsia="Times New Roman" w:hAnsi="Times New Roman" w:cs="Times New Roman"/>
          <w:sz w:val="24"/>
          <w:szCs w:val="24"/>
          <w:lang w:val="en-GB" w:eastAsia="cs-CZ"/>
        </w:rPr>
        <w:t>of ZDP</w:t>
      </w:r>
      <w:r w:rsidRPr="00FA1502">
        <w:rPr>
          <w:rFonts w:ascii="Times New Roman" w:eastAsia="Times New Roman" w:hAnsi="Times New Roman" w:cs="Times New Roman"/>
          <w:sz w:val="24"/>
          <w:szCs w:val="24"/>
          <w:lang w:val="en-GB" w:eastAsia="cs-CZ"/>
        </w:rPr>
        <w:t xml:space="preserve">, which has so far been subdivided into paragraphs 6 and 7. </w:t>
      </w:r>
      <w:r w:rsidRPr="00FA1502" w:rsidR="00241B72">
        <w:rPr>
          <w:rFonts w:ascii="Times New Roman" w:eastAsia="Times New Roman" w:hAnsi="Times New Roman" w:cs="Times New Roman"/>
          <w:sz w:val="24"/>
          <w:szCs w:val="24"/>
          <w:lang w:val="en-GB" w:eastAsia="cs-CZ"/>
        </w:rPr>
        <w:t>A new rule, according to which each income shall be reduced by contributions (insurance premium)</w:t>
      </w:r>
      <w:r w:rsidRPr="00FA1502">
        <w:rPr>
          <w:rFonts w:ascii="Times New Roman" w:eastAsia="Times New Roman" w:hAnsi="Times New Roman" w:cs="Times New Roman"/>
          <w:sz w:val="24"/>
          <w:szCs w:val="24"/>
          <w:lang w:val="en-GB" w:eastAsia="cs-CZ"/>
        </w:rPr>
        <w:t xml:space="preserve"> paid </w:t>
      </w:r>
      <w:r w:rsidRPr="00FA1502">
        <w:rPr>
          <w:rFonts w:ascii="Times New Roman" w:eastAsia="Times New Roman" w:hAnsi="Times New Roman" w:cs="Times New Roman"/>
          <w:sz w:val="24"/>
          <w:szCs w:val="24"/>
          <w:lang w:val="en-GB" w:eastAsia="cs-CZ"/>
        </w:rPr>
        <w:t xml:space="preserve">for the product resulting from it, regardless of who paid them. The tax base determined </w:t>
      </w:r>
      <w:r w:rsidRPr="00FA1502" w:rsidR="00D22023">
        <w:rPr>
          <w:rFonts w:ascii="Times New Roman" w:eastAsia="Times New Roman" w:hAnsi="Times New Roman" w:cs="Times New Roman"/>
          <w:sz w:val="24"/>
          <w:szCs w:val="24"/>
          <w:lang w:val="en-GB" w:eastAsia="cs-CZ"/>
        </w:rPr>
        <w:t xml:space="preserve">by the above-mentioned rules </w:t>
      </w:r>
      <w:r w:rsidRPr="00FA1502">
        <w:rPr>
          <w:rFonts w:ascii="Times New Roman" w:eastAsia="Times New Roman" w:hAnsi="Times New Roman" w:cs="Times New Roman"/>
          <w:sz w:val="24"/>
          <w:szCs w:val="24"/>
          <w:lang w:val="en-GB" w:eastAsia="cs-CZ"/>
        </w:rPr>
        <w:t>ensures that only the yield on the products in question, i</w:t>
      </w:r>
      <w:r w:rsidRPr="00FA1502" w:rsidR="00D22023">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D22023">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the appreciation of the savings</w:t>
      </w:r>
      <w:r w:rsidRPr="00FA1502" w:rsidR="000C6550">
        <w:rPr>
          <w:rFonts w:ascii="Times New Roman" w:eastAsia="Times New Roman" w:hAnsi="Times New Roman" w:cs="Times New Roman"/>
          <w:sz w:val="24"/>
          <w:szCs w:val="24"/>
          <w:lang w:val="en-GB" w:eastAsia="cs-CZ"/>
        </w:rPr>
        <w:t>, is taxed</w:t>
      </w:r>
      <w:r w:rsidRPr="00FA1502">
        <w:rPr>
          <w:rFonts w:ascii="Times New Roman" w:eastAsia="Times New Roman" w:hAnsi="Times New Roman" w:cs="Times New Roman"/>
          <w:sz w:val="24"/>
          <w:szCs w:val="24"/>
          <w:lang w:val="en-GB" w:eastAsia="cs-CZ"/>
        </w:rPr>
        <w:t xml:space="preserve">. The </w:t>
      </w:r>
      <w:r w:rsidRPr="00FA1502" w:rsidR="00F22602">
        <w:rPr>
          <w:rFonts w:ascii="Times New Roman" w:eastAsia="Times New Roman" w:hAnsi="Times New Roman" w:cs="Times New Roman"/>
          <w:sz w:val="24"/>
          <w:szCs w:val="24"/>
          <w:lang w:val="en-GB" w:eastAsia="cs-CZ"/>
        </w:rPr>
        <w:t xml:space="preserve">option </w:t>
      </w:r>
      <w:r w:rsidRPr="00FA1502">
        <w:rPr>
          <w:rFonts w:ascii="Times New Roman" w:eastAsia="Times New Roman" w:hAnsi="Times New Roman" w:cs="Times New Roman"/>
          <w:sz w:val="24"/>
          <w:szCs w:val="24"/>
          <w:lang w:val="en-GB" w:eastAsia="cs-CZ"/>
        </w:rPr>
        <w:t>of deduct</w:t>
      </w:r>
      <w:r w:rsidRPr="00FA1502" w:rsidR="00F22602">
        <w:rPr>
          <w:rFonts w:ascii="Times New Roman" w:eastAsia="Times New Roman" w:hAnsi="Times New Roman" w:cs="Times New Roman"/>
          <w:sz w:val="24"/>
          <w:szCs w:val="24"/>
          <w:lang w:val="en-GB" w:eastAsia="cs-CZ"/>
        </w:rPr>
        <w:t xml:space="preserve">ion of </w:t>
      </w:r>
      <w:r w:rsidRPr="00FA1502">
        <w:rPr>
          <w:rFonts w:ascii="Times New Roman" w:eastAsia="Times New Roman" w:hAnsi="Times New Roman" w:cs="Times New Roman"/>
          <w:sz w:val="24"/>
          <w:szCs w:val="24"/>
          <w:lang w:val="en-GB" w:eastAsia="cs-CZ"/>
        </w:rPr>
        <w:t xml:space="preserve">own savings (insurance premiums paid by the taxpayer) ensures that the </w:t>
      </w:r>
      <w:r w:rsidRPr="00FA1502" w:rsidR="00F22602">
        <w:rPr>
          <w:rFonts w:ascii="Times New Roman" w:eastAsia="Times New Roman" w:hAnsi="Times New Roman" w:cs="Times New Roman"/>
          <w:sz w:val="24"/>
          <w:szCs w:val="24"/>
          <w:lang w:val="en-GB" w:eastAsia="cs-CZ"/>
        </w:rPr>
        <w:t>payer’s o</w:t>
      </w:r>
      <w:r w:rsidRPr="00FA1502">
        <w:rPr>
          <w:rFonts w:ascii="Times New Roman" w:eastAsia="Times New Roman" w:hAnsi="Times New Roman" w:cs="Times New Roman"/>
          <w:sz w:val="24"/>
          <w:szCs w:val="24"/>
          <w:lang w:val="en-GB" w:eastAsia="cs-CZ"/>
        </w:rPr>
        <w:t>wn funds</w:t>
      </w:r>
      <w:r w:rsidRPr="00FA1502" w:rsidR="00F22602">
        <w:rPr>
          <w:rFonts w:ascii="Times New Roman" w:eastAsia="Times New Roman" w:hAnsi="Times New Roman" w:cs="Times New Roman"/>
          <w:sz w:val="24"/>
          <w:szCs w:val="24"/>
          <w:lang w:val="en-GB" w:eastAsia="cs-CZ"/>
        </w:rPr>
        <w:t xml:space="preserve">, which are now paid to </w:t>
      </w:r>
      <w:r w:rsidRPr="00FA1502" w:rsidR="00406B06">
        <w:rPr>
          <w:rFonts w:ascii="Times New Roman" w:eastAsia="Times New Roman" w:hAnsi="Times New Roman" w:cs="Times New Roman"/>
          <w:sz w:val="24"/>
          <w:szCs w:val="24"/>
          <w:lang w:val="en-GB" w:eastAsia="cs-CZ"/>
        </w:rPr>
        <w:t>the payer</w:t>
      </w:r>
      <w:r w:rsidRPr="00FA1502" w:rsidR="00F22602">
        <w:rPr>
          <w:rFonts w:ascii="Times New Roman" w:eastAsia="Times New Roman" w:hAnsi="Times New Roman" w:cs="Times New Roman"/>
          <w:sz w:val="24"/>
          <w:szCs w:val="24"/>
          <w:lang w:val="en-GB" w:eastAsia="cs-CZ"/>
        </w:rPr>
        <w:t xml:space="preserve"> from the product, are not taxed</w:t>
      </w:r>
      <w:r w:rsidRPr="00FA1502">
        <w:rPr>
          <w:rFonts w:ascii="Times New Roman" w:eastAsia="Times New Roman" w:hAnsi="Times New Roman" w:cs="Times New Roman"/>
          <w:sz w:val="24"/>
          <w:szCs w:val="24"/>
          <w:lang w:val="en-GB" w:eastAsia="cs-CZ"/>
        </w:rPr>
        <w:t>. It is de facto expenditure</w:t>
      </w:r>
      <w:r w:rsidRPr="00FA1502" w:rsidR="00406B06">
        <w:rPr>
          <w:rFonts w:ascii="Times New Roman" w:eastAsia="Times New Roman" w:hAnsi="Times New Roman" w:cs="Times New Roman"/>
          <w:sz w:val="24"/>
          <w:szCs w:val="24"/>
          <w:lang w:val="en-GB" w:eastAsia="cs-CZ"/>
        </w:rPr>
        <w:t xml:space="preserve"> of the tax payer</w:t>
      </w:r>
      <w:r w:rsidRPr="00FA1502">
        <w:rPr>
          <w:rFonts w:ascii="Times New Roman" w:eastAsia="Times New Roman" w:hAnsi="Times New Roman" w:cs="Times New Roman"/>
          <w:sz w:val="24"/>
          <w:szCs w:val="24"/>
          <w:lang w:val="en-GB" w:eastAsia="cs-CZ"/>
        </w:rPr>
        <w:t>. The possibility of deducting contributions paid by the employer for a given product ensures that those contributions are not delivered, either for the first time in the case of contribu</w:t>
      </w:r>
      <w:r w:rsidRPr="00FA1502" w:rsidR="005007D8">
        <w:rPr>
          <w:rFonts w:ascii="Times New Roman" w:eastAsia="Times New Roman" w:hAnsi="Times New Roman" w:cs="Times New Roman"/>
          <w:sz w:val="24"/>
          <w:szCs w:val="24"/>
          <w:lang w:val="en-GB" w:eastAsia="cs-CZ"/>
        </w:rPr>
        <w:t>tions to a tax-supported retirement</w:t>
      </w:r>
      <w:r w:rsidRPr="00FA1502">
        <w:rPr>
          <w:rFonts w:ascii="Times New Roman" w:eastAsia="Times New Roman" w:hAnsi="Times New Roman" w:cs="Times New Roman"/>
          <w:sz w:val="24"/>
          <w:szCs w:val="24"/>
          <w:lang w:val="en-GB" w:eastAsia="cs-CZ"/>
        </w:rPr>
        <w:t xml:space="preserve"> savings product which have</w:t>
      </w:r>
      <w:r w:rsidRPr="00FA1502" w:rsidR="005007D8">
        <w:rPr>
          <w:rFonts w:ascii="Times New Roman" w:eastAsia="Times New Roman" w:hAnsi="Times New Roman" w:cs="Times New Roman"/>
          <w:sz w:val="24"/>
          <w:szCs w:val="24"/>
          <w:lang w:val="en-GB" w:eastAsia="cs-CZ"/>
        </w:rPr>
        <w:t xml:space="preserve"> been exempt under the Section 6 (9) (</w:t>
      </w:r>
      <w:r w:rsidRPr="00FA1502">
        <w:rPr>
          <w:rFonts w:ascii="Times New Roman" w:eastAsia="Times New Roman" w:hAnsi="Times New Roman" w:cs="Times New Roman"/>
          <w:sz w:val="24"/>
          <w:szCs w:val="24"/>
          <w:lang w:val="en-GB" w:eastAsia="cs-CZ"/>
        </w:rPr>
        <w:t xml:space="preserve">p) </w:t>
      </w:r>
      <w:r w:rsidRPr="00FA1502" w:rsidR="005007D8">
        <w:rPr>
          <w:rFonts w:ascii="Times New Roman" w:eastAsia="Times New Roman" w:hAnsi="Times New Roman" w:cs="Times New Roman"/>
          <w:sz w:val="24"/>
          <w:szCs w:val="24"/>
          <w:lang w:val="en-GB" w:eastAsia="cs-CZ"/>
        </w:rPr>
        <w:t>of ZDP</w:t>
      </w:r>
      <w:r w:rsidRPr="00FA1502">
        <w:rPr>
          <w:rFonts w:ascii="Times New Roman" w:eastAsia="Times New Roman" w:hAnsi="Times New Roman" w:cs="Times New Roman"/>
          <w:sz w:val="24"/>
          <w:szCs w:val="24"/>
          <w:lang w:val="en-GB" w:eastAsia="cs-CZ"/>
        </w:rPr>
        <w:t>, or a second time, when the employer's contributions were not exempt</w:t>
      </w:r>
      <w:r w:rsidRPr="00FA1502" w:rsidR="005007D8">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because it</w:t>
      </w:r>
      <w:r w:rsidRPr="00FA1502" w:rsidR="005007D8">
        <w:rPr>
          <w:rFonts w:ascii="Times New Roman" w:eastAsia="Times New Roman" w:hAnsi="Times New Roman" w:cs="Times New Roman"/>
          <w:sz w:val="24"/>
          <w:szCs w:val="24"/>
          <w:lang w:val="en-GB" w:eastAsia="cs-CZ"/>
        </w:rPr>
        <w:t xml:space="preserve"> was not a tax-supported retirement</w:t>
      </w:r>
      <w:r w:rsidRPr="00FA1502">
        <w:rPr>
          <w:rFonts w:ascii="Times New Roman" w:eastAsia="Times New Roman" w:hAnsi="Times New Roman" w:cs="Times New Roman"/>
          <w:sz w:val="24"/>
          <w:szCs w:val="24"/>
          <w:lang w:val="en-GB" w:eastAsia="cs-CZ"/>
        </w:rPr>
        <w:t xml:space="preserve"> savings product. There are some exceptions to this rule in cases of refunded tax aid, see Sectio</w:t>
      </w:r>
      <w:r w:rsidRPr="00FA1502" w:rsidR="005007D8">
        <w:rPr>
          <w:rFonts w:ascii="Times New Roman" w:eastAsia="Times New Roman" w:hAnsi="Times New Roman" w:cs="Times New Roman"/>
          <w:sz w:val="24"/>
          <w:szCs w:val="24"/>
          <w:lang w:val="en-GB" w:eastAsia="cs-CZ"/>
        </w:rPr>
        <w:t>n 15b of the ZDP</w:t>
      </w:r>
      <w:r w:rsidRPr="00FA1502">
        <w:rPr>
          <w:rFonts w:ascii="Times New Roman" w:eastAsia="Times New Roman" w:hAnsi="Times New Roman" w:cs="Times New Roman"/>
          <w:sz w:val="24"/>
          <w:szCs w:val="24"/>
          <w:lang w:val="en-GB" w:eastAsia="cs-CZ"/>
        </w:rPr>
        <w:t>. State contributions paid by the Czech Republic always reduce the tax base, ot</w:t>
      </w:r>
      <w:r w:rsidRPr="00FA1502" w:rsidR="005007D8">
        <w:rPr>
          <w:rFonts w:ascii="Times New Roman" w:eastAsia="Times New Roman" w:hAnsi="Times New Roman" w:cs="Times New Roman"/>
          <w:sz w:val="24"/>
          <w:szCs w:val="24"/>
          <w:lang w:val="en-GB" w:eastAsia="cs-CZ"/>
        </w:rPr>
        <w:t>herwise they would be delivered</w:t>
      </w:r>
      <w:r w:rsidRPr="00FA1502">
        <w:rPr>
          <w:rFonts w:ascii="Times New Roman" w:eastAsia="Times New Roman" w:hAnsi="Times New Roman" w:cs="Times New Roman"/>
          <w:sz w:val="24"/>
          <w:szCs w:val="24"/>
          <w:lang w:val="en-GB" w:eastAsia="cs-CZ"/>
        </w:rPr>
        <w:t>.</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rule for determining the tax base in the case of payment of the pension is the same as under the previous legislation. Newly, t</w:t>
      </w:r>
      <w:r w:rsidRPr="00FA1502" w:rsidR="005007D8">
        <w:rPr>
          <w:rFonts w:ascii="Times New Roman" w:eastAsia="Times New Roman" w:hAnsi="Times New Roman" w:cs="Times New Roman"/>
          <w:sz w:val="24"/>
          <w:szCs w:val="24"/>
          <w:lang w:val="en-GB" w:eastAsia="cs-CZ"/>
        </w:rPr>
        <w:t>his provision no longer applies</w:t>
      </w:r>
      <w:r w:rsidRPr="00FA1502">
        <w:rPr>
          <w:rFonts w:ascii="Times New Roman" w:eastAsia="Times New Roman" w:hAnsi="Times New Roman" w:cs="Times New Roman"/>
          <w:sz w:val="24"/>
          <w:szCs w:val="24"/>
          <w:lang w:val="en-GB" w:eastAsia="cs-CZ"/>
        </w:rPr>
        <w:t xml:space="preserve"> for exceptions to the eligibility of contributions paid by the employer, as this is dealt with as part of the refund of tax support f</w:t>
      </w:r>
      <w:r w:rsidRPr="00FA1502" w:rsidR="005007D8">
        <w:rPr>
          <w:rFonts w:ascii="Times New Roman" w:eastAsia="Times New Roman" w:hAnsi="Times New Roman" w:cs="Times New Roman"/>
          <w:sz w:val="24"/>
          <w:szCs w:val="24"/>
          <w:lang w:val="en-GB" w:eastAsia="cs-CZ"/>
        </w:rPr>
        <w:t>or pension savings products in Section 15b (5) (d) of the ZDP</w:t>
      </w:r>
      <w:r w:rsidRPr="00FA1502">
        <w:rPr>
          <w:rFonts w:ascii="Times New Roman" w:eastAsia="Times New Roman" w:hAnsi="Times New Roman" w:cs="Times New Roman"/>
          <w:sz w:val="24"/>
          <w:szCs w:val="24"/>
          <w:lang w:val="en-GB" w:eastAsia="cs-CZ"/>
        </w:rPr>
        <w:t>.</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Of course, for the determination of the tax base</w:t>
      </w:r>
      <w:r w:rsidRPr="00FA1502" w:rsidR="00A95484">
        <w:rPr>
          <w:rFonts w:ascii="Times New Roman" w:eastAsia="Times New Roman" w:hAnsi="Times New Roman" w:cs="Times New Roman"/>
          <w:sz w:val="24"/>
          <w:szCs w:val="24"/>
          <w:lang w:val="en-GB" w:eastAsia="cs-CZ"/>
        </w:rPr>
        <w:t xml:space="preserve"> applies that the</w:t>
      </w:r>
      <w:r w:rsidRPr="00FA1502">
        <w:rPr>
          <w:rFonts w:ascii="Times New Roman" w:eastAsia="Times New Roman" w:hAnsi="Times New Roman" w:cs="Times New Roman"/>
          <w:sz w:val="24"/>
          <w:szCs w:val="24"/>
          <w:lang w:val="en-GB" w:eastAsia="cs-CZ"/>
        </w:rPr>
        <w:t xml:space="preserve"> contributions paid, state contributions paid by the Czech Republic and paid insurance premiums can only be counted once for the purposes of determining the tax base. Thus, if a product results in a taxable benefit in the form of a pension or several successive transactions, the tax base may not be reduced by contributions or premiums for which the tax base has already been reduced in the case of a previous transaction for that product. With regard to the fact that it is the tax base from which the tax is levied by deduction accord</w:t>
      </w:r>
      <w:r w:rsidRPr="00FA1502" w:rsidR="00A95484">
        <w:rPr>
          <w:rFonts w:ascii="Times New Roman" w:eastAsia="Times New Roman" w:hAnsi="Times New Roman" w:cs="Times New Roman"/>
          <w:sz w:val="24"/>
          <w:szCs w:val="24"/>
          <w:lang w:val="en-GB" w:eastAsia="cs-CZ"/>
        </w:rPr>
        <w:t>ing to a special tax rate [see Section 36 (2)</w:t>
      </w:r>
      <w:r w:rsidRPr="00FA1502">
        <w:rPr>
          <w:rFonts w:ascii="Times New Roman" w:eastAsia="Times New Roman" w:hAnsi="Times New Roman" w:cs="Times New Roman"/>
          <w:sz w:val="24"/>
          <w:szCs w:val="24"/>
          <w:lang w:val="en-GB" w:eastAsia="cs-CZ"/>
        </w:rPr>
        <w:t xml:space="preserve"> </w:t>
      </w:r>
      <w:r w:rsidRPr="00FA1502" w:rsidR="00A95484">
        <w:rPr>
          <w:rFonts w:ascii="Times New Roman" w:eastAsia="Times New Roman" w:hAnsi="Times New Roman" w:cs="Times New Roman"/>
          <w:sz w:val="24"/>
          <w:szCs w:val="24"/>
          <w:lang w:val="en-GB" w:eastAsia="cs-CZ"/>
        </w:rPr>
        <w:t>(k) of the ZDP]</w:t>
      </w:r>
      <w:r w:rsidRPr="00FA1502">
        <w:rPr>
          <w:rFonts w:ascii="Times New Roman" w:eastAsia="Times New Roman" w:hAnsi="Times New Roman" w:cs="Times New Roman"/>
          <w:sz w:val="24"/>
          <w:szCs w:val="24"/>
          <w:lang w:val="en-GB" w:eastAsia="cs-CZ"/>
        </w:rPr>
        <w:t>, the tax base cannot be set negative, i</w:t>
      </w:r>
      <w:r w:rsidRPr="00FA1502" w:rsidR="00A95484">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A95484">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contributions paid, state contributions paid by the Czech Republic or premiums paid higher than the performance o</w:t>
      </w:r>
      <w:r w:rsidRPr="00FA1502" w:rsidR="00A95484">
        <w:rPr>
          <w:rFonts w:ascii="Times New Roman" w:eastAsia="Times New Roman" w:hAnsi="Times New Roman" w:cs="Times New Roman"/>
          <w:sz w:val="24"/>
          <w:szCs w:val="24"/>
          <w:lang w:val="en-GB" w:eastAsia="cs-CZ"/>
        </w:rPr>
        <w:t>f the product cannot be claimed</w:t>
      </w:r>
      <w:r w:rsidRPr="00FA1502">
        <w:rPr>
          <w:rFonts w:ascii="Times New Roman" w:eastAsia="Times New Roman" w:hAnsi="Times New Roman" w:cs="Times New Roman"/>
          <w:sz w:val="24"/>
          <w:szCs w:val="24"/>
          <w:lang w:val="en-GB" w:eastAsia="cs-CZ"/>
        </w:rPr>
        <w:t>.</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7 [Section 8 (7)]</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As a result of shifting the legislation determi</w:t>
      </w:r>
      <w:r w:rsidRPr="00FA1502" w:rsidR="00A95484">
        <w:rPr>
          <w:rFonts w:ascii="Times New Roman" w:eastAsia="Times New Roman" w:hAnsi="Times New Roman" w:cs="Times New Roman"/>
          <w:sz w:val="24"/>
          <w:szCs w:val="24"/>
          <w:lang w:val="en-GB" w:eastAsia="cs-CZ"/>
        </w:rPr>
        <w:t>ning the income tax base under the Section 8 (1)</w:t>
      </w:r>
      <w:r w:rsidRPr="00FA1502">
        <w:rPr>
          <w:rFonts w:ascii="Times New Roman" w:eastAsia="Times New Roman" w:hAnsi="Times New Roman" w:cs="Times New Roman"/>
          <w:sz w:val="24"/>
          <w:szCs w:val="24"/>
          <w:lang w:val="en-GB" w:eastAsia="cs-CZ"/>
        </w:rPr>
        <w:t xml:space="preserve"> </w:t>
      </w:r>
      <w:r w:rsidRPr="00FA1502" w:rsidR="00A95484">
        <w:rPr>
          <w:rFonts w:ascii="Times New Roman" w:eastAsia="Times New Roman" w:hAnsi="Times New Roman" w:cs="Times New Roman"/>
          <w:sz w:val="24"/>
          <w:szCs w:val="24"/>
          <w:lang w:val="en-GB" w:eastAsia="cs-CZ"/>
        </w:rPr>
        <w:t>(f) of the ZDP, the paragraph 7 is deleted.</w:t>
      </w:r>
      <w:r w:rsidRPr="00FA1502">
        <w:rPr>
          <w:rFonts w:ascii="Times New Roman" w:eastAsia="Times New Roman" w:hAnsi="Times New Roman" w:cs="Times New Roman"/>
          <w:sz w:val="24"/>
          <w:szCs w:val="24"/>
          <w:lang w:val="en-GB" w:eastAsia="cs-CZ"/>
        </w:rPr>
        <w:t>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8 [Section 15 (5) and (6)]</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amendment to </w:t>
      </w:r>
      <w:r w:rsidRPr="00FA1502" w:rsidR="00A95484">
        <w:rPr>
          <w:rFonts w:ascii="Times New Roman" w:eastAsia="Times New Roman" w:hAnsi="Times New Roman" w:cs="Times New Roman"/>
          <w:sz w:val="24"/>
          <w:szCs w:val="24"/>
          <w:lang w:val="en-GB" w:eastAsia="cs-CZ"/>
        </w:rPr>
        <w:t xml:space="preserve">paragraph </w:t>
      </w:r>
      <w:r w:rsidRPr="00FA1502">
        <w:rPr>
          <w:rFonts w:ascii="Times New Roman" w:eastAsia="Times New Roman" w:hAnsi="Times New Roman" w:cs="Times New Roman"/>
          <w:sz w:val="24"/>
          <w:szCs w:val="24"/>
          <w:lang w:val="en-GB" w:eastAsia="cs-CZ"/>
        </w:rPr>
        <w:t>5 follows a change in the legislative approach to the support o</w:t>
      </w:r>
      <w:r w:rsidRPr="00FA1502" w:rsidR="00A95484">
        <w:rPr>
          <w:rFonts w:ascii="Times New Roman" w:eastAsia="Times New Roman" w:hAnsi="Times New Roman" w:cs="Times New Roman"/>
          <w:sz w:val="24"/>
          <w:szCs w:val="24"/>
          <w:lang w:val="en-GB" w:eastAsia="cs-CZ"/>
        </w:rPr>
        <w:t>f taxpayers' retirement savings</w:t>
      </w:r>
      <w:r w:rsidRPr="00FA1502">
        <w:rPr>
          <w:rFonts w:ascii="Times New Roman" w:eastAsia="Times New Roman" w:hAnsi="Times New Roman" w:cs="Times New Roman"/>
          <w:sz w:val="24"/>
          <w:szCs w:val="24"/>
          <w:lang w:val="en-GB" w:eastAsia="cs-CZ"/>
        </w:rPr>
        <w:t>, specifically the definition of products that are tax-supported in the newly inserted</w:t>
      </w:r>
      <w:r w:rsidRPr="00FA1502" w:rsidR="00A95484">
        <w:rPr>
          <w:rFonts w:ascii="Times New Roman" w:eastAsia="Times New Roman" w:hAnsi="Times New Roman" w:cs="Times New Roman"/>
          <w:sz w:val="24"/>
          <w:szCs w:val="24"/>
          <w:lang w:val="en-GB" w:eastAsia="cs-CZ"/>
        </w:rPr>
        <w:t xml:space="preserve"> sections 15a and 15b of the ZDP</w:t>
      </w:r>
      <w:r w:rsidRPr="00FA1502">
        <w:rPr>
          <w:rFonts w:ascii="Times New Roman" w:eastAsia="Times New Roman" w:hAnsi="Times New Roman" w:cs="Times New Roman"/>
          <w:sz w:val="24"/>
          <w:szCs w:val="24"/>
          <w:lang w:val="en-GB" w:eastAsia="cs-CZ"/>
        </w:rPr>
        <w:t>. For the reason that in these newly in</w:t>
      </w:r>
      <w:r w:rsidRPr="00FA1502" w:rsidR="008B6024">
        <w:rPr>
          <w:rFonts w:ascii="Times New Roman" w:eastAsia="Times New Roman" w:hAnsi="Times New Roman" w:cs="Times New Roman"/>
          <w:sz w:val="24"/>
          <w:szCs w:val="24"/>
          <w:lang w:val="en-GB" w:eastAsia="cs-CZ"/>
        </w:rPr>
        <w:t>serted provisions are defined</w:t>
      </w:r>
      <w:r w:rsidRPr="00FA1502">
        <w:rPr>
          <w:rFonts w:ascii="Times New Roman" w:eastAsia="Times New Roman" w:hAnsi="Times New Roman" w:cs="Times New Roman"/>
          <w:sz w:val="24"/>
          <w:szCs w:val="24"/>
          <w:lang w:val="en-GB" w:eastAsia="cs-CZ"/>
        </w:rPr>
        <w:t xml:space="preserve"> </w:t>
      </w:r>
      <w:r w:rsidRPr="00FA1502" w:rsidR="008B6024">
        <w:rPr>
          <w:rFonts w:ascii="Times New Roman" w:eastAsia="Times New Roman" w:hAnsi="Times New Roman" w:cs="Times New Roman"/>
          <w:sz w:val="24"/>
          <w:szCs w:val="24"/>
          <w:lang w:val="en-GB" w:eastAsia="cs-CZ"/>
        </w:rPr>
        <w:t>all products of retirement savings</w:t>
      </w:r>
      <w:r w:rsidRPr="00FA1502">
        <w:rPr>
          <w:rFonts w:ascii="Times New Roman" w:eastAsia="Times New Roman" w:hAnsi="Times New Roman" w:cs="Times New Roman"/>
          <w:sz w:val="24"/>
          <w:szCs w:val="24"/>
          <w:lang w:val="en-GB" w:eastAsia="cs-CZ"/>
        </w:rPr>
        <w:t xml:space="preserve">, which are tax supported, </w:t>
      </w:r>
      <w:r w:rsidRPr="00FA1502" w:rsidR="008B6024">
        <w:rPr>
          <w:rFonts w:ascii="Times New Roman" w:eastAsia="Times New Roman" w:hAnsi="Times New Roman" w:cs="Times New Roman"/>
          <w:sz w:val="24"/>
          <w:szCs w:val="24"/>
          <w:lang w:val="en-GB" w:eastAsia="cs-CZ"/>
        </w:rPr>
        <w:t>including all conditions of tax</w:t>
      </w:r>
      <w:r w:rsidRPr="00FA1502">
        <w:rPr>
          <w:rFonts w:ascii="Times New Roman" w:eastAsia="Times New Roman" w:hAnsi="Times New Roman" w:cs="Times New Roman"/>
          <w:sz w:val="24"/>
          <w:szCs w:val="24"/>
          <w:lang w:val="en-GB" w:eastAsia="cs-CZ"/>
        </w:rPr>
        <w:t xml:space="preserve"> support, </w:t>
      </w:r>
      <w:r w:rsidRPr="00FA1502" w:rsidR="008B6024">
        <w:rPr>
          <w:rFonts w:ascii="Times New Roman" w:eastAsia="Times New Roman" w:hAnsi="Times New Roman" w:cs="Times New Roman"/>
          <w:sz w:val="24"/>
          <w:szCs w:val="24"/>
          <w:lang w:val="en-GB" w:eastAsia="cs-CZ"/>
        </w:rPr>
        <w:t>therefore these products</w:t>
      </w:r>
      <w:r w:rsidRPr="00FA1502">
        <w:rPr>
          <w:rFonts w:ascii="Times New Roman" w:eastAsia="Times New Roman" w:hAnsi="Times New Roman" w:cs="Times New Roman"/>
          <w:sz w:val="24"/>
          <w:szCs w:val="24"/>
          <w:lang w:val="en-GB" w:eastAsia="cs-CZ"/>
        </w:rPr>
        <w:t xml:space="preserve"> no longer </w:t>
      </w:r>
      <w:r w:rsidRPr="00FA1502" w:rsidR="008B6024">
        <w:rPr>
          <w:rFonts w:ascii="Times New Roman" w:eastAsia="Times New Roman" w:hAnsi="Times New Roman" w:cs="Times New Roman"/>
          <w:sz w:val="24"/>
          <w:szCs w:val="24"/>
          <w:lang w:val="en-GB" w:eastAsia="cs-CZ"/>
        </w:rPr>
        <w:t>have to be defined in Section 15 (5)</w:t>
      </w:r>
      <w:r w:rsidRPr="00FA1502">
        <w:rPr>
          <w:rFonts w:ascii="Times New Roman" w:eastAsia="Times New Roman" w:hAnsi="Times New Roman" w:cs="Times New Roman"/>
          <w:sz w:val="24"/>
          <w:szCs w:val="24"/>
          <w:lang w:val="en-GB" w:eastAsia="cs-CZ"/>
        </w:rPr>
        <w:t xml:space="preserve"> and </w:t>
      </w:r>
      <w:r w:rsidRPr="00FA1502" w:rsidR="008B6024">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6</w:t>
      </w:r>
      <w:r w:rsidRPr="00FA1502" w:rsidR="008B6024">
        <w:rPr>
          <w:rFonts w:ascii="Times New Roman" w:eastAsia="Times New Roman" w:hAnsi="Times New Roman" w:cs="Times New Roman"/>
          <w:sz w:val="24"/>
          <w:szCs w:val="24"/>
          <w:lang w:val="en-GB" w:eastAsia="cs-CZ"/>
        </w:rPr>
        <w:t>) of the ZDP</w:t>
      </w:r>
      <w:r w:rsidRPr="00FA1502">
        <w:rPr>
          <w:rFonts w:ascii="Times New Roman" w:eastAsia="Times New Roman" w:hAnsi="Times New Roman" w:cs="Times New Roman"/>
          <w:sz w:val="24"/>
          <w:szCs w:val="24"/>
          <w:lang w:val="en-GB" w:eastAsia="cs-CZ"/>
        </w:rPr>
        <w:t xml:space="preserve"> and </w:t>
      </w:r>
      <w:r w:rsidRPr="00FA1502" w:rsidR="008B6024">
        <w:rPr>
          <w:rFonts w:ascii="Times New Roman" w:eastAsia="Times New Roman" w:hAnsi="Times New Roman" w:cs="Times New Roman"/>
          <w:sz w:val="24"/>
          <w:szCs w:val="24"/>
          <w:lang w:val="en-GB" w:eastAsia="cs-CZ"/>
        </w:rPr>
        <w:t>only</w:t>
      </w:r>
      <w:r w:rsidRPr="00FA1502">
        <w:rPr>
          <w:rFonts w:ascii="Times New Roman" w:eastAsia="Times New Roman" w:hAnsi="Times New Roman" w:cs="Times New Roman"/>
          <w:sz w:val="24"/>
          <w:szCs w:val="24"/>
          <w:lang w:val="en-GB" w:eastAsia="cs-CZ"/>
        </w:rPr>
        <w:t xml:space="preserve"> a mere reference through the use of the term 'tax-s</w:t>
      </w:r>
      <w:r w:rsidRPr="00FA1502" w:rsidR="008B6024">
        <w:rPr>
          <w:rFonts w:ascii="Times New Roman" w:eastAsia="Times New Roman" w:hAnsi="Times New Roman" w:cs="Times New Roman"/>
          <w:sz w:val="24"/>
          <w:szCs w:val="24"/>
          <w:lang w:val="en-GB" w:eastAsia="cs-CZ"/>
        </w:rPr>
        <w:t>upported retirement savings product</w:t>
      </w:r>
      <w:r w:rsidRPr="00FA1502">
        <w:rPr>
          <w:rFonts w:ascii="Times New Roman" w:eastAsia="Times New Roman" w:hAnsi="Times New Roman" w:cs="Times New Roman"/>
          <w:sz w:val="24"/>
          <w:szCs w:val="24"/>
          <w:lang w:val="en-GB" w:eastAsia="cs-CZ"/>
        </w:rPr>
        <w:t>'</w:t>
      </w:r>
      <w:r w:rsidRPr="00FA1502" w:rsidR="008B6024">
        <w:rPr>
          <w:rFonts w:ascii="Times New Roman" w:eastAsia="Times New Roman" w:hAnsi="Times New Roman" w:cs="Times New Roman"/>
          <w:sz w:val="24"/>
          <w:szCs w:val="24"/>
          <w:lang w:val="en-GB" w:eastAsia="cs-CZ"/>
        </w:rPr>
        <w:t xml:space="preserve"> is sufficient. Also remains the rule,</w:t>
      </w:r>
      <w:r w:rsidRPr="00FA1502">
        <w:rPr>
          <w:rFonts w:ascii="Times New Roman" w:eastAsia="Times New Roman" w:hAnsi="Times New Roman" w:cs="Times New Roman"/>
          <w:sz w:val="24"/>
          <w:szCs w:val="24"/>
          <w:lang w:val="en-GB" w:eastAsia="cs-CZ"/>
        </w:rPr>
        <w:t xml:space="preserve"> according to which the taxpayer of natural persons can deduct from the tax base contributions paid in the given tax period for his supplementary pension insurance with the state contribution, pension insurance, supplementary pension savings a</w:t>
      </w:r>
      <w:r w:rsidRPr="00FA1502" w:rsidR="008B6024">
        <w:rPr>
          <w:rFonts w:ascii="Times New Roman" w:eastAsia="Times New Roman" w:hAnsi="Times New Roman" w:cs="Times New Roman"/>
          <w:sz w:val="24"/>
          <w:szCs w:val="24"/>
          <w:lang w:val="en-GB" w:eastAsia="cs-CZ"/>
        </w:rPr>
        <w:t>nd private life insurance. Newly</w:t>
      </w:r>
      <w:r w:rsidRPr="00FA1502">
        <w:rPr>
          <w:rFonts w:ascii="Times New Roman" w:eastAsia="Times New Roman" w:hAnsi="Times New Roman" w:cs="Times New Roman"/>
          <w:sz w:val="24"/>
          <w:szCs w:val="24"/>
          <w:lang w:val="en-GB" w:eastAsia="cs-CZ"/>
        </w:rPr>
        <w:t xml:space="preserve"> </w:t>
      </w:r>
      <w:r w:rsidRPr="00FA1502" w:rsidR="008B6024">
        <w:rPr>
          <w:rFonts w:ascii="Times New Roman" w:eastAsia="Times New Roman" w:hAnsi="Times New Roman" w:cs="Times New Roman"/>
          <w:sz w:val="24"/>
          <w:szCs w:val="24"/>
          <w:lang w:val="en-GB" w:eastAsia="cs-CZ"/>
        </w:rPr>
        <w:t xml:space="preserve">is, </w:t>
      </w:r>
      <w:r w:rsidRPr="00FA1502">
        <w:rPr>
          <w:rFonts w:ascii="Times New Roman" w:eastAsia="Times New Roman" w:hAnsi="Times New Roman" w:cs="Times New Roman"/>
          <w:sz w:val="24"/>
          <w:szCs w:val="24"/>
          <w:lang w:val="en-GB" w:eastAsia="cs-CZ"/>
        </w:rPr>
        <w:t>between supported products</w:t>
      </w:r>
      <w:r w:rsidRPr="00FA1502" w:rsidR="008B6024">
        <w:rPr>
          <w:rFonts w:ascii="Times New Roman" w:eastAsia="Times New Roman" w:hAnsi="Times New Roman" w:cs="Times New Roman"/>
          <w:sz w:val="24"/>
          <w:szCs w:val="24"/>
          <w:lang w:val="en-GB" w:eastAsia="cs-CZ"/>
        </w:rPr>
        <w:t>, classified individual savings account</w:t>
      </w:r>
      <w:r w:rsidRPr="00FA1502">
        <w:rPr>
          <w:rFonts w:ascii="Times New Roman" w:eastAsia="Times New Roman" w:hAnsi="Times New Roman" w:cs="Times New Roman"/>
          <w:sz w:val="24"/>
          <w:szCs w:val="24"/>
          <w:lang w:val="en-GB" w:eastAsia="cs-CZ"/>
        </w:rPr>
        <w:t xml:space="preserve"> introduced </w:t>
      </w:r>
      <w:r w:rsidRPr="00FA1502" w:rsidR="008B6024">
        <w:rPr>
          <w:rFonts w:ascii="Times New Roman" w:eastAsia="Times New Roman" w:hAnsi="Times New Roman" w:cs="Times New Roman"/>
          <w:sz w:val="24"/>
          <w:szCs w:val="24"/>
          <w:lang w:val="en-GB" w:eastAsia="cs-CZ"/>
        </w:rPr>
        <w:t xml:space="preserve">in </w:t>
      </w:r>
      <w:r w:rsidRPr="00FA1502">
        <w:rPr>
          <w:rFonts w:ascii="Times New Roman" w:eastAsia="Times New Roman" w:hAnsi="Times New Roman" w:cs="Times New Roman"/>
          <w:sz w:val="24"/>
          <w:szCs w:val="24"/>
          <w:lang w:val="en-GB" w:eastAsia="cs-CZ"/>
        </w:rPr>
        <w:t xml:space="preserve">the amendment to the Capital Market </w:t>
      </w:r>
      <w:r w:rsidRPr="00FA1502" w:rsidR="00854FA0">
        <w:rPr>
          <w:rFonts w:ascii="Times New Roman" w:eastAsia="Times New Roman" w:hAnsi="Times New Roman" w:cs="Times New Roman"/>
          <w:sz w:val="24"/>
          <w:szCs w:val="24"/>
          <w:lang w:val="en-GB" w:eastAsia="cs-CZ"/>
        </w:rPr>
        <w:t>Business Act</w:t>
      </w:r>
      <w:r w:rsidRPr="00FA1502">
        <w:rPr>
          <w:rFonts w:ascii="Times New Roman" w:eastAsia="Times New Roman" w:hAnsi="Times New Roman" w:cs="Times New Roman"/>
          <w:sz w:val="24"/>
          <w:szCs w:val="24"/>
          <w:lang w:val="en-GB" w:eastAsia="cs-CZ"/>
        </w:rPr>
        <w:t>.</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Another change compared to</w:t>
      </w:r>
      <w:r w:rsidRPr="00FA1502">
        <w:rPr>
          <w:rFonts w:ascii="Times New Roman" w:eastAsia="Times New Roman" w:hAnsi="Times New Roman" w:cs="Times New Roman"/>
          <w:sz w:val="24"/>
          <w:szCs w:val="24"/>
          <w:lang w:val="en-GB" w:eastAsia="cs-CZ"/>
        </w:rPr>
        <w:t xml:space="preserve"> the current situa</w:t>
      </w:r>
      <w:r w:rsidRPr="00FA1502">
        <w:rPr>
          <w:rFonts w:ascii="Times New Roman" w:eastAsia="Times New Roman" w:hAnsi="Times New Roman" w:cs="Times New Roman"/>
          <w:sz w:val="24"/>
          <w:szCs w:val="24"/>
          <w:lang w:val="en-GB" w:eastAsia="cs-CZ"/>
        </w:rPr>
        <w:t>tion is that the total limit of CZK 48 thousand</w:t>
      </w:r>
      <w:r w:rsidRPr="00FA1502">
        <w:rPr>
          <w:rFonts w:ascii="Times New Roman" w:eastAsia="Times New Roman" w:hAnsi="Times New Roman" w:cs="Times New Roman"/>
          <w:sz w:val="24"/>
          <w:szCs w:val="24"/>
          <w:lang w:val="en-GB" w:eastAsia="cs-CZ"/>
        </w:rPr>
        <w:t>, which can be deducted from the tax base and into which the contributions for all mentioned products are include</w:t>
      </w:r>
      <w:r w:rsidRPr="00FA1502">
        <w:rPr>
          <w:rFonts w:ascii="Times New Roman" w:eastAsia="Times New Roman" w:hAnsi="Times New Roman" w:cs="Times New Roman"/>
          <w:sz w:val="24"/>
          <w:szCs w:val="24"/>
          <w:lang w:val="en-GB" w:eastAsia="cs-CZ"/>
        </w:rPr>
        <w:t>d; Not valid are the separate limit of CZK 24 thousand</w:t>
      </w:r>
      <w:r w:rsidRPr="00FA1502">
        <w:rPr>
          <w:rFonts w:ascii="Times New Roman" w:eastAsia="Times New Roman" w:hAnsi="Times New Roman" w:cs="Times New Roman"/>
          <w:sz w:val="24"/>
          <w:szCs w:val="24"/>
          <w:lang w:val="en-GB" w:eastAsia="cs-CZ"/>
        </w:rPr>
        <w:t xml:space="preserve"> for contributions to supplementary pension insurance with state contribution, pension insurance and supplementary pension savings and, in addition, a se</w:t>
      </w:r>
      <w:r w:rsidRPr="00FA1502">
        <w:rPr>
          <w:rFonts w:ascii="Times New Roman" w:eastAsia="Times New Roman" w:hAnsi="Times New Roman" w:cs="Times New Roman"/>
          <w:sz w:val="24"/>
          <w:szCs w:val="24"/>
          <w:lang w:val="en-GB" w:eastAsia="cs-CZ"/>
        </w:rPr>
        <w:t>parate limit of CZK 24 thousand</w:t>
      </w:r>
      <w:r w:rsidRPr="00FA1502">
        <w:rPr>
          <w:rFonts w:ascii="Times New Roman" w:eastAsia="Times New Roman" w:hAnsi="Times New Roman" w:cs="Times New Roman"/>
          <w:sz w:val="24"/>
          <w:szCs w:val="24"/>
          <w:lang w:val="en-GB" w:eastAsia="cs-CZ"/>
        </w:rPr>
        <w:t xml:space="preserve"> for contributions to private life insurance, as was the case under the current wording of S</w:t>
      </w:r>
      <w:r w:rsidRPr="00FA1502">
        <w:rPr>
          <w:rFonts w:ascii="Times New Roman" w:eastAsia="Times New Roman" w:hAnsi="Times New Roman" w:cs="Times New Roman"/>
          <w:sz w:val="24"/>
          <w:szCs w:val="24"/>
          <w:lang w:val="en-GB" w:eastAsia="cs-CZ"/>
        </w:rPr>
        <w:t xml:space="preserve">ection 15 (5) and (6) of </w:t>
      </w:r>
      <w:r w:rsidRPr="00FA1502">
        <w:rPr>
          <w:rFonts w:ascii="Times New Roman" w:eastAsia="Times New Roman" w:hAnsi="Times New Roman" w:cs="Times New Roman"/>
          <w:sz w:val="24"/>
          <w:szCs w:val="24"/>
          <w:lang w:val="en-GB" w:eastAsia="cs-CZ"/>
        </w:rPr>
        <w:t>the ZDP.</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 xml:space="preserve">Paragraph 6 </w:t>
      </w:r>
      <w:r w:rsidRPr="00FA1502">
        <w:rPr>
          <w:rFonts w:ascii="Times New Roman" w:eastAsia="Times New Roman" w:hAnsi="Times New Roman" w:cs="Times New Roman"/>
          <w:sz w:val="24"/>
          <w:szCs w:val="24"/>
          <w:lang w:val="en-GB" w:eastAsia="cs-CZ"/>
        </w:rPr>
        <w:t xml:space="preserve">contains derogations from the general rule referred to in </w:t>
      </w:r>
      <w:r w:rsidRPr="00FA1502" w:rsidR="00935C26">
        <w:rPr>
          <w:rFonts w:ascii="Times New Roman" w:eastAsia="Times New Roman" w:hAnsi="Times New Roman" w:cs="Times New Roman"/>
          <w:sz w:val="24"/>
          <w:szCs w:val="24"/>
          <w:lang w:val="en-GB" w:eastAsia="cs-CZ"/>
        </w:rPr>
        <w:t xml:space="preserve">the </w:t>
      </w:r>
      <w:r w:rsidRPr="00FA1502">
        <w:rPr>
          <w:rFonts w:ascii="Times New Roman" w:eastAsia="Times New Roman" w:hAnsi="Times New Roman" w:cs="Times New Roman"/>
          <w:sz w:val="24"/>
          <w:szCs w:val="24"/>
          <w:lang w:val="en-GB" w:eastAsia="cs-CZ"/>
        </w:rPr>
        <w:t>paragraph 5, according to which the contributions paid during the tax year are deducted from the taxable amount; these deviations result from the nature of some retirement savings products. The first sentence concerns supplementary pension insurance with state contribution and supplementary pension savings and takes over the ex</w:t>
      </w:r>
      <w:r w:rsidRPr="00FA1502" w:rsidR="00935C26">
        <w:rPr>
          <w:rFonts w:ascii="Times New Roman" w:eastAsia="Times New Roman" w:hAnsi="Times New Roman" w:cs="Times New Roman"/>
          <w:sz w:val="24"/>
          <w:szCs w:val="24"/>
          <w:lang w:val="en-GB" w:eastAsia="cs-CZ"/>
        </w:rPr>
        <w:t>isting regulation contained in Section 15 (5)</w:t>
      </w:r>
      <w:r w:rsidRPr="00FA1502">
        <w:rPr>
          <w:rFonts w:ascii="Times New Roman" w:eastAsia="Times New Roman" w:hAnsi="Times New Roman" w:cs="Times New Roman"/>
          <w:sz w:val="24"/>
          <w:szCs w:val="24"/>
          <w:lang w:val="en-GB" w:eastAsia="cs-CZ"/>
        </w:rPr>
        <w:t xml:space="preserve"> </w:t>
      </w:r>
      <w:r w:rsidRPr="00FA1502" w:rsidR="00935C26">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a) and </w:t>
      </w:r>
      <w:r w:rsidRPr="00FA1502" w:rsidR="00935C26">
        <w:rPr>
          <w:rFonts w:ascii="Times New Roman" w:eastAsia="Times New Roman" w:hAnsi="Times New Roman" w:cs="Times New Roman"/>
          <w:sz w:val="24"/>
          <w:szCs w:val="24"/>
          <w:lang w:val="en-GB" w:eastAsia="cs-CZ"/>
        </w:rPr>
        <w:t>(c) of the ZDP</w:t>
      </w:r>
      <w:r w:rsidRPr="00FA1502">
        <w:rPr>
          <w:rFonts w:ascii="Times New Roman" w:eastAsia="Times New Roman" w:hAnsi="Times New Roman" w:cs="Times New Roman"/>
          <w:sz w:val="24"/>
          <w:szCs w:val="24"/>
          <w:lang w:val="en-GB" w:eastAsia="cs-CZ"/>
        </w:rPr>
        <w:t>. These produc</w:t>
      </w:r>
      <w:r w:rsidRPr="00FA1502" w:rsidR="00935C26">
        <w:rPr>
          <w:rFonts w:ascii="Times New Roman" w:eastAsia="Times New Roman" w:hAnsi="Times New Roman" w:cs="Times New Roman"/>
          <w:sz w:val="24"/>
          <w:szCs w:val="24"/>
          <w:lang w:val="en-GB" w:eastAsia="cs-CZ"/>
        </w:rPr>
        <w:t>ts are specific to other retirement savings products in a way that,</w:t>
      </w:r>
      <w:r w:rsidRPr="00FA1502">
        <w:rPr>
          <w:rFonts w:ascii="Times New Roman" w:eastAsia="Times New Roman" w:hAnsi="Times New Roman" w:cs="Times New Roman"/>
          <w:sz w:val="24"/>
          <w:szCs w:val="24"/>
          <w:lang w:val="en-GB" w:eastAsia="cs-CZ"/>
        </w:rPr>
        <w:t xml:space="preserve"> in addition to tax support, they also receive direct support from the state budget in the form of a state contribution. The state contribution is provided in the maximum amount of CZK 230 per month</w:t>
      </w:r>
      <w:r w:rsidRPr="00FA1502" w:rsidR="00E42EA6">
        <w:rPr>
          <w:rFonts w:ascii="Times New Roman" w:eastAsia="Times New Roman" w:hAnsi="Times New Roman" w:cs="Times New Roman"/>
          <w:sz w:val="24"/>
          <w:szCs w:val="24"/>
          <w:lang w:val="en-GB" w:eastAsia="cs-CZ"/>
        </w:rPr>
        <w:t xml:space="preserve"> in case that</w:t>
      </w:r>
      <w:r w:rsidRPr="00FA1502">
        <w:rPr>
          <w:rFonts w:ascii="Times New Roman" w:eastAsia="Times New Roman" w:hAnsi="Times New Roman" w:cs="Times New Roman"/>
          <w:sz w:val="24"/>
          <w:szCs w:val="24"/>
          <w:lang w:val="en-GB" w:eastAsia="cs-CZ"/>
        </w:rPr>
        <w:t xml:space="preserve"> the taxpayer's contribution for the given month</w:t>
      </w:r>
      <w:r w:rsidRPr="00FA1502" w:rsidR="00E42EA6">
        <w:rPr>
          <w:rFonts w:ascii="Times New Roman" w:eastAsia="Times New Roman" w:hAnsi="Times New Roman" w:cs="Times New Roman"/>
          <w:sz w:val="24"/>
          <w:szCs w:val="24"/>
          <w:lang w:val="en-GB" w:eastAsia="cs-CZ"/>
        </w:rPr>
        <w:t xml:space="preserve"> is at least CZK 1 thousand (see Section 14 (2) of the ZDP</w:t>
      </w:r>
      <w:r w:rsidRPr="00FA1502">
        <w:rPr>
          <w:rFonts w:ascii="Times New Roman" w:eastAsia="Times New Roman" w:hAnsi="Times New Roman" w:cs="Times New Roman"/>
          <w:sz w:val="24"/>
          <w:szCs w:val="24"/>
          <w:lang w:val="en-GB" w:eastAsia="cs-CZ"/>
        </w:rPr>
        <w:t>; pursuant</w:t>
      </w:r>
      <w:r w:rsidRPr="00FA1502" w:rsidR="00E42EA6">
        <w:rPr>
          <w:rFonts w:ascii="Times New Roman" w:eastAsia="Times New Roman" w:hAnsi="Times New Roman" w:cs="Times New Roman"/>
          <w:sz w:val="24"/>
          <w:szCs w:val="24"/>
          <w:lang w:val="en-GB" w:eastAsia="cs-CZ"/>
        </w:rPr>
        <w:t xml:space="preserve"> to Section 191 (6) of the ZDPS</w:t>
      </w:r>
      <w:r w:rsidRPr="00FA1502">
        <w:rPr>
          <w:rFonts w:ascii="Times New Roman" w:eastAsia="Times New Roman" w:hAnsi="Times New Roman" w:cs="Times New Roman"/>
          <w:sz w:val="24"/>
          <w:szCs w:val="24"/>
          <w:lang w:val="en-GB" w:eastAsia="cs-CZ"/>
        </w:rPr>
        <w:t>, the Act on Supplementary Pension Savings also governs the provision of a state contribution to the benefit of a supplementar</w:t>
      </w:r>
      <w:r w:rsidRPr="00FA1502" w:rsidR="00E42EA6">
        <w:rPr>
          <w:rFonts w:ascii="Times New Roman" w:eastAsia="Times New Roman" w:hAnsi="Times New Roman" w:cs="Times New Roman"/>
          <w:sz w:val="24"/>
          <w:szCs w:val="24"/>
          <w:lang w:val="en-GB" w:eastAsia="cs-CZ"/>
        </w:rPr>
        <w:t>y pension insurance participant). In Section</w:t>
      </w:r>
      <w:r w:rsidRPr="00FA1502">
        <w:rPr>
          <w:rFonts w:ascii="Times New Roman" w:eastAsia="Times New Roman" w:hAnsi="Times New Roman" w:cs="Times New Roman"/>
          <w:sz w:val="24"/>
          <w:szCs w:val="24"/>
          <w:lang w:val="en-GB" w:eastAsia="cs-CZ"/>
        </w:rPr>
        <w:t xml:space="preserve"> 15 (6), </w:t>
      </w:r>
      <w:r w:rsidRPr="00FA1502" w:rsidR="00E42EA6">
        <w:rPr>
          <w:rFonts w:ascii="Times New Roman" w:eastAsia="Times New Roman" w:hAnsi="Times New Roman" w:cs="Times New Roman"/>
          <w:sz w:val="24"/>
          <w:szCs w:val="24"/>
          <w:lang w:val="en-GB" w:eastAsia="cs-CZ"/>
        </w:rPr>
        <w:t>in the first sentence of the ZDP will be stated that</w:t>
      </w:r>
      <w:r w:rsidRPr="00FA1502">
        <w:rPr>
          <w:rFonts w:ascii="Times New Roman" w:eastAsia="Times New Roman" w:hAnsi="Times New Roman" w:cs="Times New Roman"/>
          <w:sz w:val="24"/>
          <w:szCs w:val="24"/>
          <w:lang w:val="en-GB" w:eastAsia="cs-CZ"/>
        </w:rPr>
        <w:t xml:space="preserve"> the taxpayer's contributions to supplementary pension insurance and supplementary pension savings can only be deducted from the tax base in excess of the amount of the maximum state contribution, thus avoiding a situation where to his contributio</w:t>
      </w:r>
      <w:r w:rsidRPr="00FA1502" w:rsidR="00E42EA6">
        <w:rPr>
          <w:rFonts w:ascii="Times New Roman" w:eastAsia="Times New Roman" w:hAnsi="Times New Roman" w:cs="Times New Roman"/>
          <w:sz w:val="24"/>
          <w:szCs w:val="24"/>
          <w:lang w:val="en-GB" w:eastAsia="cs-CZ"/>
        </w:rPr>
        <w:t>n to those products got state</w:t>
      </w:r>
      <w:r w:rsidRPr="00FA1502">
        <w:rPr>
          <w:rFonts w:ascii="Times New Roman" w:eastAsia="Times New Roman" w:hAnsi="Times New Roman" w:cs="Times New Roman"/>
          <w:sz w:val="24"/>
          <w:szCs w:val="24"/>
          <w:lang w:val="en-GB" w:eastAsia="cs-CZ"/>
        </w:rPr>
        <w:t xml:space="preserve"> contribution and at</w:t>
      </w:r>
      <w:r w:rsidRPr="00FA1502" w:rsidR="00E42EA6">
        <w:rPr>
          <w:rFonts w:ascii="Times New Roman" w:eastAsia="Times New Roman" w:hAnsi="Times New Roman" w:cs="Times New Roman"/>
          <w:sz w:val="24"/>
          <w:szCs w:val="24"/>
          <w:lang w:val="en-GB" w:eastAsia="cs-CZ"/>
        </w:rPr>
        <w:t xml:space="preserve"> the same time part of the contribution</w:t>
      </w:r>
      <w:r w:rsidRPr="00FA1502">
        <w:rPr>
          <w:rFonts w:ascii="Times New Roman" w:eastAsia="Times New Roman" w:hAnsi="Times New Roman" w:cs="Times New Roman"/>
          <w:sz w:val="24"/>
          <w:szCs w:val="24"/>
          <w:lang w:val="en-GB" w:eastAsia="cs-CZ"/>
        </w:rPr>
        <w:t xml:space="preserve">, </w:t>
      </w:r>
      <w:r w:rsidRPr="00FA1502" w:rsidR="00E42EA6">
        <w:rPr>
          <w:rFonts w:ascii="Times New Roman" w:eastAsia="Times New Roman" w:hAnsi="Times New Roman" w:cs="Times New Roman"/>
          <w:sz w:val="24"/>
          <w:szCs w:val="24"/>
          <w:lang w:val="en-GB" w:eastAsia="cs-CZ"/>
        </w:rPr>
        <w:t xml:space="preserve">to </w:t>
      </w:r>
      <w:r w:rsidRPr="00FA1502">
        <w:rPr>
          <w:rFonts w:ascii="Times New Roman" w:eastAsia="Times New Roman" w:hAnsi="Times New Roman" w:cs="Times New Roman"/>
          <w:sz w:val="24"/>
          <w:szCs w:val="24"/>
          <w:lang w:val="en-GB" w:eastAsia="cs-CZ"/>
        </w:rPr>
        <w:t>which was given this contribution could also be deducted from the tax base and thus w</w:t>
      </w:r>
      <w:r w:rsidRPr="00FA1502" w:rsidR="00E42EA6">
        <w:rPr>
          <w:rFonts w:ascii="Times New Roman" w:eastAsia="Times New Roman" w:hAnsi="Times New Roman" w:cs="Times New Roman"/>
          <w:sz w:val="24"/>
          <w:szCs w:val="24"/>
          <w:lang w:val="en-GB" w:eastAsia="cs-CZ"/>
        </w:rPr>
        <w:t>ould occur in this part of the</w:t>
      </w:r>
      <w:r w:rsidRPr="00FA1502">
        <w:rPr>
          <w:rFonts w:ascii="Times New Roman" w:eastAsia="Times New Roman" w:hAnsi="Times New Roman" w:cs="Times New Roman"/>
          <w:sz w:val="24"/>
          <w:szCs w:val="24"/>
          <w:lang w:val="en-GB" w:eastAsia="cs-CZ"/>
        </w:rPr>
        <w:t xml:space="preserve"> dual advantages of this product. Practically, the rule set out in the first sentence means that for the purpo</w:t>
      </w:r>
      <w:r w:rsidRPr="00FA1502" w:rsidR="00E42EA6">
        <w:rPr>
          <w:rFonts w:ascii="Times New Roman" w:eastAsia="Times New Roman" w:hAnsi="Times New Roman" w:cs="Times New Roman"/>
          <w:sz w:val="24"/>
          <w:szCs w:val="24"/>
          <w:lang w:val="en-GB" w:eastAsia="cs-CZ"/>
        </w:rPr>
        <w:t>ses of Section 15 (5) of the ZDP</w:t>
      </w:r>
      <w:r w:rsidRPr="00FA1502">
        <w:rPr>
          <w:rFonts w:ascii="Times New Roman" w:eastAsia="Times New Roman" w:hAnsi="Times New Roman" w:cs="Times New Roman"/>
          <w:sz w:val="24"/>
          <w:szCs w:val="24"/>
          <w:lang w:val="en-GB" w:eastAsia="cs-CZ"/>
        </w:rPr>
        <w:t>, the taxpayer will have to deduct CZK 1 thousand from his / her monthly supplementary pension insurance o</w:t>
      </w:r>
      <w:r w:rsidRPr="00FA1502" w:rsidR="00E42EA6">
        <w:rPr>
          <w:rFonts w:ascii="Times New Roman" w:eastAsia="Times New Roman" w:hAnsi="Times New Roman" w:cs="Times New Roman"/>
          <w:sz w:val="24"/>
          <w:szCs w:val="24"/>
          <w:lang w:val="en-GB" w:eastAsia="cs-CZ"/>
        </w:rPr>
        <w:t>r supplementary pension savings</w:t>
      </w:r>
      <w:r w:rsidRPr="00FA1502">
        <w:rPr>
          <w:rFonts w:ascii="Times New Roman" w:eastAsia="Times New Roman" w:hAnsi="Times New Roman" w:cs="Times New Roman"/>
          <w:sz w:val="24"/>
          <w:szCs w:val="24"/>
          <w:lang w:val="en-GB" w:eastAsia="cs-CZ"/>
        </w:rPr>
        <w:t>. CZK and deduct only the amounts thus obtained from the tax base. If the taxpayer's monthly contribution to supplementary pension insurance or supplementary pension savings</w:t>
      </w:r>
      <w:r w:rsidRPr="00FA1502" w:rsidR="00E42EA6">
        <w:rPr>
          <w:rFonts w:ascii="Times New Roman" w:eastAsia="Times New Roman" w:hAnsi="Times New Roman" w:cs="Times New Roman"/>
          <w:sz w:val="24"/>
          <w:szCs w:val="24"/>
          <w:lang w:val="en-GB" w:eastAsia="cs-CZ"/>
        </w:rPr>
        <w:t xml:space="preserve"> is less than or equal to CZK 1 thousand</w:t>
      </w:r>
      <w:r w:rsidRPr="00FA1502">
        <w:rPr>
          <w:rFonts w:ascii="Times New Roman" w:eastAsia="Times New Roman" w:hAnsi="Times New Roman" w:cs="Times New Roman"/>
          <w:sz w:val="24"/>
          <w:szCs w:val="24"/>
          <w:lang w:val="en-GB" w:eastAsia="cs-CZ"/>
        </w:rPr>
        <w:t>, the deduction from the tax base pursu</w:t>
      </w:r>
      <w:r w:rsidRPr="00FA1502" w:rsidR="00E42EA6">
        <w:rPr>
          <w:rFonts w:ascii="Times New Roman" w:eastAsia="Times New Roman" w:hAnsi="Times New Roman" w:cs="Times New Roman"/>
          <w:sz w:val="24"/>
          <w:szCs w:val="24"/>
          <w:lang w:val="en-GB" w:eastAsia="cs-CZ"/>
        </w:rPr>
        <w:t>ant to Section 15 (5) of the ZDP</w:t>
      </w:r>
      <w:r w:rsidRPr="00FA1502">
        <w:rPr>
          <w:rFonts w:ascii="Times New Roman" w:eastAsia="Times New Roman" w:hAnsi="Times New Roman" w:cs="Times New Roman"/>
          <w:sz w:val="24"/>
          <w:szCs w:val="24"/>
          <w:lang w:val="en-GB" w:eastAsia="cs-CZ"/>
        </w:rPr>
        <w:t xml:space="preserve"> cannot be used.</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The</w:t>
      </w:r>
      <w:r w:rsidRPr="00FA1502" w:rsidR="00E42EA6">
        <w:rPr>
          <w:rFonts w:ascii="Times New Roman" w:eastAsia="Times New Roman" w:hAnsi="Times New Roman" w:cs="Times New Roman"/>
          <w:sz w:val="24"/>
          <w:szCs w:val="24"/>
          <w:u w:val="single"/>
          <w:lang w:val="en-GB" w:eastAsia="cs-CZ"/>
        </w:rPr>
        <w:t xml:space="preserve"> second sentence in paragraph 6</w:t>
      </w:r>
      <w:r w:rsidRPr="00FA1502" w:rsidR="00E42EA6">
        <w:rPr>
          <w:rFonts w:ascii="Times New Roman" w:eastAsia="Times New Roman" w:hAnsi="Times New Roman" w:cs="Times New Roman"/>
          <w:sz w:val="24"/>
          <w:szCs w:val="24"/>
          <w:lang w:val="en-GB" w:eastAsia="cs-CZ"/>
        </w:rPr>
        <w:t xml:space="preserve"> </w:t>
      </w:r>
      <w:r w:rsidRPr="00FA1502" w:rsidR="00FD66F7">
        <w:rPr>
          <w:rFonts w:ascii="Times New Roman" w:eastAsia="Times New Roman" w:hAnsi="Times New Roman" w:cs="Times New Roman"/>
          <w:sz w:val="24"/>
          <w:szCs w:val="24"/>
          <w:lang w:val="en-GB" w:eastAsia="cs-CZ"/>
        </w:rPr>
        <w:t>edits</w:t>
      </w:r>
      <w:r w:rsidRPr="00FA1502">
        <w:rPr>
          <w:rFonts w:ascii="Times New Roman" w:eastAsia="Times New Roman" w:hAnsi="Times New Roman" w:cs="Times New Roman"/>
          <w:sz w:val="24"/>
          <w:szCs w:val="24"/>
          <w:lang w:val="en-GB" w:eastAsia="cs-CZ"/>
        </w:rPr>
        <w:t xml:space="preserve"> the specific situation in the case of private life insurance where contributions (premiums) do not have to be paid regularly for each taxation period, but for a single insurance period, i</w:t>
      </w:r>
      <w:r w:rsidRPr="00FA1502" w:rsidR="00FD66F7">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FD66F7">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for several taxation periods in advance. Therefore, for the purposes of deduction from the tax base, this contribution (insurance premium) is budgeted for individual tax periods falling within the insurance period, with an accuracy of days. Thus, the contribution to private life insurance will be taken into account in those taxation periods in which it falls economically (although paid once, it covers the insurance for the entire insurance period) and at the same time the taxpayer will be abl</w:t>
      </w:r>
      <w:r w:rsidRPr="00FA1502" w:rsidR="00FD66F7">
        <w:rPr>
          <w:rFonts w:ascii="Times New Roman" w:eastAsia="Times New Roman" w:hAnsi="Times New Roman" w:cs="Times New Roman"/>
          <w:sz w:val="24"/>
          <w:szCs w:val="24"/>
          <w:lang w:val="en-GB" w:eastAsia="cs-CZ"/>
        </w:rPr>
        <w:t>e to use the limit of CZK 48 thousands</w:t>
      </w:r>
      <w:r w:rsidRPr="00FA1502">
        <w:rPr>
          <w:rFonts w:ascii="Times New Roman" w:eastAsia="Times New Roman" w:hAnsi="Times New Roman" w:cs="Times New Roman"/>
          <w:sz w:val="24"/>
          <w:szCs w:val="24"/>
          <w:lang w:val="en-GB" w:eastAsia="cs-CZ"/>
        </w:rPr>
        <w:t xml:space="preserve"> for each tax period in which the insurance period runs separately, and with this limit will not be compared the entire single premium, as if it were deducted from the tax base in the tax period in which it was paid.</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Regarding</w:t>
      </w:r>
      <w:r w:rsidRPr="00FA1502">
        <w:rPr>
          <w:rFonts w:ascii="Times New Roman" w:eastAsia="Times New Roman" w:hAnsi="Times New Roman" w:cs="Times New Roman"/>
          <w:sz w:val="24"/>
          <w:szCs w:val="24"/>
          <w:lang w:val="en-GB" w:eastAsia="cs-CZ"/>
        </w:rPr>
        <w:t xml:space="preserve"> the conditions of deduction of contributions to the products, see the justif</w:t>
      </w:r>
      <w:r w:rsidRPr="00FA1502">
        <w:rPr>
          <w:rFonts w:ascii="Times New Roman" w:eastAsia="Times New Roman" w:hAnsi="Times New Roman" w:cs="Times New Roman"/>
          <w:sz w:val="24"/>
          <w:szCs w:val="24"/>
          <w:lang w:val="en-GB" w:eastAsia="cs-CZ"/>
        </w:rPr>
        <w:t>ication for the newly inserted Section 15a and 15b of the ZDP</w:t>
      </w:r>
      <w:r w:rsidRPr="00FA1502">
        <w:rPr>
          <w:rFonts w:ascii="Times New Roman" w:eastAsia="Times New Roman" w:hAnsi="Times New Roman" w:cs="Times New Roman"/>
          <w:sz w:val="24"/>
          <w:szCs w:val="24"/>
          <w:lang w:val="en-GB" w:eastAsia="cs-CZ"/>
        </w:rPr>
        <w:t>. </w:t>
      </w:r>
    </w:p>
    <w:p w:rsidR="00176359" w:rsidRPr="00FA1502" w:rsidP="00A7116F">
      <w:pPr>
        <w:keepNext/>
        <w:widowControl w:val="0"/>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9 [new Sections 15a and 15b]</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Re § 15a:</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Section 15a of the ZDP</w:t>
      </w:r>
      <w:r w:rsidRPr="00FA1502">
        <w:rPr>
          <w:rFonts w:ascii="Times New Roman" w:eastAsia="Times New Roman" w:hAnsi="Times New Roman" w:cs="Times New Roman"/>
          <w:sz w:val="24"/>
          <w:szCs w:val="24"/>
          <w:lang w:val="en-GB" w:eastAsia="cs-CZ"/>
        </w:rPr>
        <w:t xml:space="preserve"> defines th</w:t>
      </w:r>
      <w:r w:rsidRPr="00FA1502">
        <w:rPr>
          <w:rFonts w:ascii="Times New Roman" w:eastAsia="Times New Roman" w:hAnsi="Times New Roman" w:cs="Times New Roman"/>
          <w:sz w:val="24"/>
          <w:szCs w:val="24"/>
          <w:lang w:val="en-GB" w:eastAsia="cs-CZ"/>
        </w:rPr>
        <w:t>e product of retirement savings</w:t>
      </w:r>
      <w:r w:rsidRPr="00FA1502">
        <w:rPr>
          <w:rFonts w:ascii="Times New Roman" w:eastAsia="Times New Roman" w:hAnsi="Times New Roman" w:cs="Times New Roman"/>
          <w:sz w:val="24"/>
          <w:szCs w:val="24"/>
          <w:lang w:val="en-GB" w:eastAsia="cs-CZ"/>
        </w:rPr>
        <w:t xml:space="preserve"> for income tax </w:t>
      </w:r>
      <w:r w:rsidRPr="00FA1502">
        <w:rPr>
          <w:rFonts w:ascii="Times New Roman" w:eastAsia="Times New Roman" w:hAnsi="Times New Roman" w:cs="Times New Roman"/>
          <w:sz w:val="24"/>
          <w:szCs w:val="24"/>
          <w:lang w:val="en-GB" w:eastAsia="cs-CZ"/>
        </w:rPr>
        <w:t>purposes. Section 15b of the ZDP</w:t>
      </w:r>
      <w:r w:rsidRPr="00FA1502">
        <w:rPr>
          <w:rFonts w:ascii="Times New Roman" w:eastAsia="Times New Roman" w:hAnsi="Times New Roman" w:cs="Times New Roman"/>
          <w:sz w:val="24"/>
          <w:szCs w:val="24"/>
          <w:lang w:val="en-GB" w:eastAsia="cs-CZ"/>
        </w:rPr>
        <w:t xml:space="preserve"> then regulates under what conditions this product is tax-supported, i</w:t>
      </w:r>
      <w:r w:rsidRPr="00FA1502">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when contributions to it can be deducted from the tax base pursu</w:t>
      </w:r>
      <w:r w:rsidRPr="00FA1502">
        <w:rPr>
          <w:rFonts w:ascii="Times New Roman" w:eastAsia="Times New Roman" w:hAnsi="Times New Roman" w:cs="Times New Roman"/>
          <w:sz w:val="24"/>
          <w:szCs w:val="24"/>
          <w:lang w:val="en-GB" w:eastAsia="cs-CZ"/>
        </w:rPr>
        <w:t>ant to Section 15 (5) of the ZDP</w:t>
      </w:r>
      <w:r w:rsidRPr="00FA1502">
        <w:rPr>
          <w:rFonts w:ascii="Times New Roman" w:eastAsia="Times New Roman" w:hAnsi="Times New Roman" w:cs="Times New Roman"/>
          <w:sz w:val="24"/>
          <w:szCs w:val="24"/>
          <w:lang w:val="en-GB" w:eastAsia="cs-CZ"/>
        </w:rPr>
        <w:t xml:space="preserve"> and when co</w:t>
      </w:r>
      <w:r w:rsidRPr="00FA1502">
        <w:rPr>
          <w:rFonts w:ascii="Times New Roman" w:eastAsia="Times New Roman" w:hAnsi="Times New Roman" w:cs="Times New Roman"/>
          <w:sz w:val="24"/>
          <w:szCs w:val="24"/>
          <w:lang w:val="en-GB" w:eastAsia="cs-CZ"/>
        </w:rPr>
        <w:t>ntributions paid by the employer for his employee to this product are exempt according to Section 6 (9)</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p) </w:t>
      </w:r>
      <w:r w:rsidRPr="00FA1502">
        <w:rPr>
          <w:rFonts w:ascii="Times New Roman" w:eastAsia="Times New Roman" w:hAnsi="Times New Roman" w:cs="Times New Roman"/>
          <w:sz w:val="24"/>
          <w:szCs w:val="24"/>
          <w:lang w:val="en-GB" w:eastAsia="cs-CZ"/>
        </w:rPr>
        <w:t>of the ZDP.</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range of retirement</w:t>
      </w:r>
      <w:r w:rsidRPr="00FA1502">
        <w:rPr>
          <w:rFonts w:ascii="Times New Roman" w:eastAsia="Times New Roman" w:hAnsi="Times New Roman" w:cs="Times New Roman"/>
          <w:sz w:val="24"/>
          <w:szCs w:val="24"/>
          <w:lang w:val="en-GB" w:eastAsia="cs-CZ"/>
        </w:rPr>
        <w:t xml:space="preserve"> savings products referred to in paragraph 1 corresponds to the existing tax-supported products r</w:t>
      </w:r>
      <w:r w:rsidRPr="00FA1502">
        <w:rPr>
          <w:rFonts w:ascii="Times New Roman" w:eastAsia="Times New Roman" w:hAnsi="Times New Roman" w:cs="Times New Roman"/>
          <w:sz w:val="24"/>
          <w:szCs w:val="24"/>
          <w:lang w:val="en-GB" w:eastAsia="cs-CZ"/>
        </w:rPr>
        <w:t>eferred to in Section 6 (9) (a)</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(p) and Section 15 (5)</w:t>
      </w:r>
      <w:r w:rsidRPr="00FA1502">
        <w:rPr>
          <w:rFonts w:ascii="Times New Roman" w:eastAsia="Times New Roman" w:hAnsi="Times New Roman" w:cs="Times New Roman"/>
          <w:sz w:val="24"/>
          <w:szCs w:val="24"/>
          <w:lang w:val="en-GB" w:eastAsia="cs-CZ"/>
        </w:rPr>
        <w:t xml:space="preserve"> and </w:t>
      </w:r>
      <w:r w:rsidRPr="00FA1502">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6</w:t>
      </w:r>
      <w:r w:rsidRPr="00FA1502">
        <w:rPr>
          <w:rFonts w:ascii="Times New Roman" w:eastAsia="Times New Roman" w:hAnsi="Times New Roman" w:cs="Times New Roman"/>
          <w:sz w:val="24"/>
          <w:szCs w:val="24"/>
          <w:lang w:val="en-GB" w:eastAsia="cs-CZ"/>
        </w:rPr>
        <w:t>) of the ZDP</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 xml:space="preserve">in </w:t>
      </w:r>
      <w:r w:rsidRPr="00FA1502">
        <w:rPr>
          <w:rFonts w:ascii="Times New Roman" w:eastAsia="Times New Roman" w:hAnsi="Times New Roman" w:cs="Times New Roman"/>
          <w:sz w:val="24"/>
          <w:szCs w:val="24"/>
          <w:lang w:val="en-GB" w:eastAsia="cs-CZ"/>
        </w:rPr>
        <w:t xml:space="preserve">the current version </w:t>
      </w:r>
      <w:r w:rsidRPr="00FA1502">
        <w:rPr>
          <w:rFonts w:ascii="Times New Roman" w:eastAsia="Times New Roman" w:hAnsi="Times New Roman" w:cs="Times New Roman"/>
          <w:sz w:val="24"/>
          <w:szCs w:val="24"/>
          <w:lang w:val="en-GB" w:eastAsia="cs-CZ"/>
        </w:rPr>
        <w:t>with the fact, that the individual savings account is added to the list</w:t>
      </w:r>
      <w:r w:rsidRPr="00FA1502">
        <w:rPr>
          <w:rFonts w:ascii="Times New Roman" w:eastAsia="Times New Roman" w:hAnsi="Times New Roman" w:cs="Times New Roman"/>
          <w:sz w:val="24"/>
          <w:szCs w:val="24"/>
          <w:lang w:val="en-GB" w:eastAsia="cs-CZ"/>
        </w:rPr>
        <w:t>, which is a newly introduced amendment t</w:t>
      </w:r>
      <w:r w:rsidRPr="00FA1502">
        <w:rPr>
          <w:rFonts w:ascii="Times New Roman" w:eastAsia="Times New Roman" w:hAnsi="Times New Roman" w:cs="Times New Roman"/>
          <w:sz w:val="24"/>
          <w:szCs w:val="24"/>
          <w:lang w:val="en-GB" w:eastAsia="cs-CZ"/>
        </w:rPr>
        <w:t xml:space="preserve">o the Act on ZPKT, </w:t>
      </w:r>
      <w:r w:rsidRPr="00FA1502">
        <w:rPr>
          <w:rFonts w:ascii="Times New Roman" w:eastAsia="Times New Roman" w:hAnsi="Times New Roman" w:cs="Times New Roman"/>
          <w:sz w:val="24"/>
          <w:szCs w:val="24"/>
          <w:lang w:val="en-GB" w:eastAsia="cs-CZ"/>
        </w:rPr>
        <w:t xml:space="preserve">and its analogues </w:t>
      </w:r>
      <w:r w:rsidRPr="00FA1502">
        <w:rPr>
          <w:rFonts w:ascii="Times New Roman" w:eastAsia="Times New Roman" w:hAnsi="Times New Roman" w:cs="Times New Roman"/>
          <w:sz w:val="24"/>
          <w:szCs w:val="24"/>
          <w:lang w:val="en-GB" w:eastAsia="cs-CZ"/>
        </w:rPr>
        <w:t xml:space="preserve">can be found </w:t>
      </w:r>
      <w:r w:rsidRPr="00FA1502">
        <w:rPr>
          <w:rFonts w:ascii="Times New Roman" w:eastAsia="Times New Roman" w:hAnsi="Times New Roman" w:cs="Times New Roman"/>
          <w:sz w:val="24"/>
          <w:szCs w:val="24"/>
          <w:lang w:val="en-GB" w:eastAsia="cs-CZ"/>
        </w:rPr>
        <w:t>in other Member States of EU and US forming the European Economic Area.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Pursuant to </w:t>
      </w:r>
      <w:r w:rsidRPr="00FA1502" w:rsidR="00562074">
        <w:rPr>
          <w:rFonts w:ascii="Times New Roman" w:eastAsia="Times New Roman" w:hAnsi="Times New Roman" w:cs="Times New Roman"/>
          <w:sz w:val="24"/>
          <w:szCs w:val="24"/>
          <w:u w:val="single"/>
          <w:lang w:val="en-GB" w:eastAsia="cs-CZ"/>
        </w:rPr>
        <w:t>paragraph 1 (a)</w:t>
      </w:r>
      <w:r w:rsidRPr="00FA1502" w:rsidR="00562074">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is th</w:t>
      </w:r>
      <w:r w:rsidRPr="00FA1502" w:rsidR="00562074">
        <w:rPr>
          <w:rFonts w:ascii="Times New Roman" w:eastAsia="Times New Roman" w:hAnsi="Times New Roman" w:cs="Times New Roman"/>
          <w:sz w:val="24"/>
          <w:szCs w:val="24"/>
          <w:lang w:val="en-GB" w:eastAsia="cs-CZ"/>
        </w:rPr>
        <w:t>e product of retirement savings</w:t>
      </w:r>
      <w:r w:rsidRPr="00FA1502">
        <w:rPr>
          <w:rFonts w:ascii="Times New Roman" w:eastAsia="Times New Roman" w:hAnsi="Times New Roman" w:cs="Times New Roman"/>
          <w:sz w:val="24"/>
          <w:szCs w:val="24"/>
          <w:lang w:val="en-GB" w:eastAsia="cs-CZ"/>
        </w:rPr>
        <w:t xml:space="preserve"> </w:t>
      </w:r>
      <w:r w:rsidRPr="00FA1502" w:rsidR="00562074">
        <w:rPr>
          <w:rFonts w:ascii="Times New Roman" w:eastAsia="Times New Roman" w:hAnsi="Times New Roman" w:cs="Times New Roman"/>
          <w:sz w:val="24"/>
          <w:szCs w:val="24"/>
          <w:lang w:val="en-GB" w:eastAsia="cs-CZ"/>
        </w:rPr>
        <w:t xml:space="preserve">also a </w:t>
      </w:r>
      <w:r w:rsidRPr="00FA1502">
        <w:rPr>
          <w:rFonts w:ascii="Times New Roman" w:eastAsia="Times New Roman" w:hAnsi="Times New Roman" w:cs="Times New Roman"/>
          <w:sz w:val="24"/>
          <w:szCs w:val="24"/>
          <w:lang w:val="en-GB" w:eastAsia="cs-CZ"/>
        </w:rPr>
        <w:t xml:space="preserve">supplementary pension insurance with state contribution according to the law regulating supplementary pension insurance with state contribution. This </w:t>
      </w:r>
      <w:r w:rsidRPr="00FA1502" w:rsidR="00562074">
        <w:rPr>
          <w:rFonts w:ascii="Times New Roman" w:eastAsia="Times New Roman" w:hAnsi="Times New Roman" w:cs="Times New Roman"/>
          <w:sz w:val="24"/>
          <w:szCs w:val="24"/>
          <w:lang w:val="en-GB" w:eastAsia="cs-CZ"/>
        </w:rPr>
        <w:t>Act is Act No. 42/1994 Coll. and pe</w:t>
      </w:r>
      <w:r w:rsidRPr="00FA1502">
        <w:rPr>
          <w:rFonts w:ascii="Times New Roman" w:eastAsia="Times New Roman" w:hAnsi="Times New Roman" w:cs="Times New Roman"/>
          <w:sz w:val="24"/>
          <w:szCs w:val="24"/>
          <w:lang w:val="en-GB" w:eastAsia="cs-CZ"/>
        </w:rPr>
        <w:t>nsion insurance with st</w:t>
      </w:r>
      <w:r w:rsidRPr="00FA1502" w:rsidR="009017F4">
        <w:rPr>
          <w:rFonts w:ascii="Times New Roman" w:eastAsia="Times New Roman" w:hAnsi="Times New Roman" w:cs="Times New Roman"/>
          <w:sz w:val="24"/>
          <w:szCs w:val="24"/>
          <w:lang w:val="en-GB" w:eastAsia="cs-CZ"/>
        </w:rPr>
        <w:t>ate contribution is defined in Section 1</w:t>
      </w:r>
      <w:r w:rsidRPr="00FA1502">
        <w:rPr>
          <w:rFonts w:ascii="Times New Roman" w:eastAsia="Times New Roman" w:hAnsi="Times New Roman" w:cs="Times New Roman"/>
          <w:sz w:val="24"/>
          <w:szCs w:val="24"/>
          <w:lang w:val="en-GB" w:eastAsia="cs-CZ"/>
        </w:rPr>
        <w:t xml:space="preserve"> </w:t>
      </w:r>
      <w:r w:rsidRPr="00FA1502" w:rsidR="009017F4">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2</w:t>
      </w:r>
      <w:r w:rsidRPr="00FA1502" w:rsidR="009017F4">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Pursuant </w:t>
      </w:r>
      <w:r w:rsidRPr="00FA1502">
        <w:rPr>
          <w:rFonts w:ascii="Times New Roman" w:eastAsia="Times New Roman" w:hAnsi="Times New Roman" w:cs="Times New Roman"/>
          <w:sz w:val="24"/>
          <w:szCs w:val="24"/>
          <w:u w:val="single"/>
          <w:lang w:val="en-GB" w:eastAsia="cs-CZ"/>
        </w:rPr>
        <w:t xml:space="preserve">to paragraph </w:t>
      </w:r>
      <w:r w:rsidRPr="00FA1502" w:rsidR="009017F4">
        <w:rPr>
          <w:rFonts w:ascii="Times New Roman" w:eastAsia="Times New Roman" w:hAnsi="Times New Roman" w:cs="Times New Roman"/>
          <w:sz w:val="24"/>
          <w:szCs w:val="24"/>
          <w:u w:val="single"/>
          <w:lang w:val="en-GB" w:eastAsia="cs-CZ"/>
        </w:rPr>
        <w:t xml:space="preserve">1 </w:t>
      </w:r>
      <w:r w:rsidRPr="00FA1502">
        <w:rPr>
          <w:rFonts w:ascii="Times New Roman" w:eastAsia="Times New Roman" w:hAnsi="Times New Roman" w:cs="Times New Roman"/>
          <w:sz w:val="24"/>
          <w:szCs w:val="24"/>
          <w:u w:val="single"/>
          <w:lang w:val="en-GB" w:eastAsia="cs-CZ"/>
        </w:rPr>
        <w:t xml:space="preserve">(b) </w:t>
      </w:r>
      <w:r w:rsidRPr="00FA1502" w:rsidR="009017F4">
        <w:rPr>
          <w:rFonts w:ascii="Times New Roman" w:eastAsia="Times New Roman" w:hAnsi="Times New Roman" w:cs="Times New Roman"/>
          <w:sz w:val="24"/>
          <w:szCs w:val="24"/>
          <w:lang w:val="en-GB" w:eastAsia="cs-CZ"/>
        </w:rPr>
        <w:t>the product of retirement</w:t>
      </w:r>
      <w:r w:rsidRPr="00FA1502">
        <w:rPr>
          <w:rFonts w:ascii="Times New Roman" w:eastAsia="Times New Roman" w:hAnsi="Times New Roman" w:cs="Times New Roman"/>
          <w:sz w:val="24"/>
          <w:szCs w:val="24"/>
          <w:lang w:val="en-GB" w:eastAsia="cs-CZ"/>
        </w:rPr>
        <w:t xml:space="preserve"> savings is </w:t>
      </w:r>
      <w:r w:rsidRPr="00FA1502" w:rsidR="009017F4">
        <w:rPr>
          <w:rFonts w:ascii="Times New Roman" w:eastAsia="Times New Roman" w:hAnsi="Times New Roman" w:cs="Times New Roman"/>
          <w:sz w:val="24"/>
          <w:szCs w:val="24"/>
          <w:lang w:val="en-GB" w:eastAsia="cs-CZ"/>
        </w:rPr>
        <w:t xml:space="preserve">also </w:t>
      </w:r>
      <w:r w:rsidRPr="00FA1502">
        <w:rPr>
          <w:rFonts w:ascii="Times New Roman" w:eastAsia="Times New Roman" w:hAnsi="Times New Roman" w:cs="Times New Roman"/>
          <w:sz w:val="24"/>
          <w:szCs w:val="24"/>
          <w:lang w:val="en-GB" w:eastAsia="cs-CZ"/>
        </w:rPr>
        <w:t>supplementary pension savings; in this case, it is not necessary to refer to the relevant law defining this savings, as supplementary pension savings are defined</w:t>
      </w:r>
      <w:r w:rsidRPr="00FA1502" w:rsidR="009017F4">
        <w:rPr>
          <w:rFonts w:ascii="Times New Roman" w:eastAsia="Times New Roman" w:hAnsi="Times New Roman" w:cs="Times New Roman"/>
          <w:sz w:val="24"/>
          <w:szCs w:val="24"/>
          <w:lang w:val="en-GB" w:eastAsia="cs-CZ"/>
        </w:rPr>
        <w:t xml:space="preserve"> in the </w:t>
      </w:r>
      <w:r w:rsidRPr="00FA1502" w:rsidR="009017F4">
        <w:rPr>
          <w:rFonts w:ascii="Times New Roman" w:eastAsia="Times New Roman" w:hAnsi="Times New Roman" w:cs="Times New Roman"/>
          <w:sz w:val="24"/>
          <w:szCs w:val="24"/>
          <w:lang w:val="en-GB" w:eastAsia="cs-CZ"/>
        </w:rPr>
        <w:t>ZDPS ,</w:t>
      </w:r>
      <w:r w:rsidRPr="00FA1502" w:rsidR="009017F4">
        <w:rPr>
          <w:rFonts w:ascii="Times New Roman" w:eastAsia="Times New Roman" w:hAnsi="Times New Roman" w:cs="Times New Roman"/>
          <w:sz w:val="24"/>
          <w:szCs w:val="24"/>
          <w:lang w:val="en-GB" w:eastAsia="cs-CZ"/>
        </w:rPr>
        <w:t xml:space="preserve"> specifically in Section 1 (2)</w:t>
      </w:r>
      <w:r w:rsidRPr="00FA1502">
        <w:rPr>
          <w:rFonts w:ascii="Times New Roman" w:eastAsia="Times New Roman" w:hAnsi="Times New Roman" w:cs="Times New Roman"/>
          <w:sz w:val="24"/>
          <w:szCs w:val="24"/>
          <w:lang w:val="en-GB" w:eastAsia="cs-CZ"/>
        </w:rPr>
        <w:t>, for the entire legal order.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Pursuant to </w:t>
      </w:r>
      <w:r w:rsidRPr="00FA1502" w:rsidR="009017F4">
        <w:rPr>
          <w:rFonts w:ascii="Times New Roman" w:eastAsia="Times New Roman" w:hAnsi="Times New Roman" w:cs="Times New Roman"/>
          <w:sz w:val="24"/>
          <w:szCs w:val="24"/>
          <w:u w:val="single"/>
          <w:lang w:val="en-GB" w:eastAsia="cs-CZ"/>
        </w:rPr>
        <w:t xml:space="preserve">paragraph 1 </w:t>
      </w:r>
      <w:r w:rsidRPr="00FA1502">
        <w:rPr>
          <w:rFonts w:ascii="Times New Roman" w:eastAsia="Times New Roman" w:hAnsi="Times New Roman" w:cs="Times New Roman"/>
          <w:sz w:val="24"/>
          <w:szCs w:val="24"/>
          <w:u w:val="single"/>
          <w:lang w:val="en-GB" w:eastAsia="cs-CZ"/>
        </w:rPr>
        <w:t xml:space="preserve">(c) </w:t>
      </w:r>
      <w:r w:rsidRPr="00FA1502" w:rsidR="009017F4">
        <w:rPr>
          <w:rFonts w:ascii="Times New Roman" w:eastAsia="Times New Roman" w:hAnsi="Times New Roman" w:cs="Times New Roman"/>
          <w:sz w:val="24"/>
          <w:szCs w:val="24"/>
          <w:lang w:val="en-GB" w:eastAsia="cs-CZ"/>
        </w:rPr>
        <w:t>the product of retirement</w:t>
      </w:r>
      <w:r w:rsidRPr="00FA1502">
        <w:rPr>
          <w:rFonts w:ascii="Times New Roman" w:eastAsia="Times New Roman" w:hAnsi="Times New Roman" w:cs="Times New Roman"/>
          <w:sz w:val="24"/>
          <w:szCs w:val="24"/>
          <w:lang w:val="en-GB" w:eastAsia="cs-CZ"/>
        </w:rPr>
        <w:t xml:space="preserve"> savings is also </w:t>
      </w:r>
      <w:r w:rsidRPr="00FA1502" w:rsidR="009017F4">
        <w:rPr>
          <w:rFonts w:ascii="Times New Roman" w:eastAsia="Times New Roman" w:hAnsi="Times New Roman" w:cs="Times New Roman"/>
          <w:sz w:val="24"/>
          <w:szCs w:val="24"/>
          <w:lang w:val="en-GB" w:eastAsia="cs-CZ"/>
        </w:rPr>
        <w:t>a pension insurance by</w:t>
      </w:r>
      <w:r w:rsidRPr="00FA1502">
        <w:rPr>
          <w:rFonts w:ascii="Times New Roman" w:eastAsia="Times New Roman" w:hAnsi="Times New Roman" w:cs="Times New Roman"/>
          <w:sz w:val="24"/>
          <w:szCs w:val="24"/>
          <w:lang w:val="en-GB" w:eastAsia="cs-CZ"/>
        </w:rPr>
        <w:t xml:space="preserve"> a pension insurance institution. A pension insurance instit</w:t>
      </w:r>
      <w:r w:rsidRPr="00FA1502" w:rsidR="009017F4">
        <w:rPr>
          <w:rFonts w:ascii="Times New Roman" w:eastAsia="Times New Roman" w:hAnsi="Times New Roman" w:cs="Times New Roman"/>
          <w:sz w:val="24"/>
          <w:szCs w:val="24"/>
          <w:lang w:val="en-GB" w:eastAsia="cs-CZ"/>
        </w:rPr>
        <w:t>ution is defined in paragraph 2. In paragraph 1 (c)</w:t>
      </w:r>
      <w:r w:rsidRPr="00FA1502">
        <w:rPr>
          <w:rFonts w:ascii="Times New Roman" w:eastAsia="Times New Roman" w:hAnsi="Times New Roman" w:cs="Times New Roman"/>
          <w:sz w:val="24"/>
          <w:szCs w:val="24"/>
          <w:lang w:val="en-GB" w:eastAsia="cs-CZ"/>
        </w:rPr>
        <w:t xml:space="preserve"> </w:t>
      </w:r>
      <w:r w:rsidRPr="00FA1502" w:rsidR="009017F4">
        <w:rPr>
          <w:rFonts w:ascii="Times New Roman" w:eastAsia="Times New Roman" w:hAnsi="Times New Roman" w:cs="Times New Roman"/>
          <w:sz w:val="24"/>
          <w:szCs w:val="24"/>
          <w:lang w:val="en-GB" w:eastAsia="cs-CZ"/>
        </w:rPr>
        <w:t xml:space="preserve">it is only stated, according to </w:t>
      </w:r>
      <w:r w:rsidRPr="00FA1502">
        <w:rPr>
          <w:rFonts w:ascii="Times New Roman" w:eastAsia="Times New Roman" w:hAnsi="Times New Roman" w:cs="Times New Roman"/>
          <w:sz w:val="24"/>
          <w:szCs w:val="24"/>
          <w:lang w:val="en-GB" w:eastAsia="cs-CZ"/>
        </w:rPr>
        <w:t>the product itself</w:t>
      </w:r>
      <w:r w:rsidRPr="00FA1502" w:rsidR="009017F4">
        <w:rPr>
          <w:rFonts w:ascii="Times New Roman" w:eastAsia="Times New Roman" w:hAnsi="Times New Roman" w:cs="Times New Roman"/>
          <w:sz w:val="24"/>
          <w:szCs w:val="24"/>
          <w:lang w:val="en-GB" w:eastAsia="cs-CZ"/>
        </w:rPr>
        <w:t>, that</w:t>
      </w:r>
      <w:r w:rsidRPr="00FA1502">
        <w:rPr>
          <w:rFonts w:ascii="Times New Roman" w:eastAsia="Times New Roman" w:hAnsi="Times New Roman" w:cs="Times New Roman"/>
          <w:sz w:val="24"/>
          <w:szCs w:val="24"/>
          <w:lang w:val="en-GB" w:eastAsia="cs-CZ"/>
        </w:rPr>
        <w:t xml:space="preserve"> only provides </w:t>
      </w:r>
      <w:r w:rsidRPr="00FA1502" w:rsidR="009017F4">
        <w:rPr>
          <w:rFonts w:ascii="Times New Roman" w:eastAsia="Times New Roman" w:hAnsi="Times New Roman" w:cs="Times New Roman"/>
          <w:sz w:val="24"/>
          <w:szCs w:val="24"/>
          <w:lang w:val="en-GB" w:eastAsia="cs-CZ"/>
        </w:rPr>
        <w:t>that it has to be pension insurance</w:t>
      </w:r>
      <w:r w:rsidRPr="00FA1502">
        <w:rPr>
          <w:rFonts w:ascii="Times New Roman" w:eastAsia="Times New Roman" w:hAnsi="Times New Roman" w:cs="Times New Roman"/>
          <w:sz w:val="24"/>
          <w:szCs w:val="24"/>
          <w:lang w:val="en-GB" w:eastAsia="cs-CZ"/>
        </w:rPr>
        <w:t xml:space="preserve">. Pension insurance and pension insurance institutions are defined in such a way that they are </w:t>
      </w:r>
      <w:r w:rsidRPr="00FA1502">
        <w:rPr>
          <w:rFonts w:ascii="Times New Roman" w:eastAsia="Times New Roman" w:hAnsi="Times New Roman" w:cs="Times New Roman"/>
          <w:i/>
          <w:iCs/>
          <w:sz w:val="24"/>
          <w:szCs w:val="24"/>
          <w:lang w:val="en-GB" w:eastAsia="cs-CZ"/>
        </w:rPr>
        <w:t xml:space="preserve">de facto </w:t>
      </w:r>
      <w:r w:rsidRPr="00FA1502">
        <w:rPr>
          <w:rFonts w:ascii="Times New Roman" w:eastAsia="Times New Roman" w:hAnsi="Times New Roman" w:cs="Times New Roman"/>
          <w:sz w:val="24"/>
          <w:szCs w:val="24"/>
          <w:lang w:val="en-GB" w:eastAsia="cs-CZ"/>
        </w:rPr>
        <w:t>equivalent to a supplementary pension scheme or supplementary pension savings referred to in points (a) and (b).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Private life insurance referred to in </w:t>
      </w:r>
      <w:r w:rsidRPr="00FA1502" w:rsidR="009017F4">
        <w:rPr>
          <w:rFonts w:ascii="Times New Roman" w:eastAsia="Times New Roman" w:hAnsi="Times New Roman" w:cs="Times New Roman"/>
          <w:sz w:val="24"/>
          <w:szCs w:val="24"/>
          <w:u w:val="single"/>
          <w:lang w:val="en-GB" w:eastAsia="cs-CZ"/>
        </w:rPr>
        <w:t>paragraph 1</w:t>
      </w:r>
      <w:r w:rsidRPr="00FA1502">
        <w:rPr>
          <w:rFonts w:ascii="Times New Roman" w:eastAsia="Times New Roman" w:hAnsi="Times New Roman" w:cs="Times New Roman"/>
          <w:sz w:val="24"/>
          <w:szCs w:val="24"/>
          <w:u w:val="single"/>
          <w:lang w:val="en-GB" w:eastAsia="cs-CZ"/>
        </w:rPr>
        <w:t xml:space="preserve"> (d) </w:t>
      </w:r>
      <w:r w:rsidRPr="00FA1502" w:rsidR="009017F4">
        <w:rPr>
          <w:rFonts w:ascii="Times New Roman" w:eastAsia="Times New Roman" w:hAnsi="Times New Roman" w:cs="Times New Roman"/>
          <w:sz w:val="24"/>
          <w:szCs w:val="24"/>
          <w:lang w:val="en-GB" w:eastAsia="cs-CZ"/>
        </w:rPr>
        <w:t>is</w:t>
      </w:r>
      <w:r w:rsidRPr="00FA1502">
        <w:rPr>
          <w:rFonts w:ascii="Times New Roman" w:eastAsia="Times New Roman" w:hAnsi="Times New Roman" w:cs="Times New Roman"/>
          <w:sz w:val="24"/>
          <w:szCs w:val="24"/>
          <w:lang w:val="en-GB" w:eastAsia="cs-CZ"/>
        </w:rPr>
        <w:t xml:space="preserve"> defined in paragraph 3.</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newly assigned p</w:t>
      </w:r>
      <w:r w:rsidRPr="00FA1502" w:rsidR="009E1EB9">
        <w:rPr>
          <w:rFonts w:ascii="Times New Roman" w:eastAsia="Times New Roman" w:hAnsi="Times New Roman" w:cs="Times New Roman"/>
          <w:sz w:val="24"/>
          <w:szCs w:val="24"/>
          <w:lang w:val="en-GB" w:eastAsia="cs-CZ"/>
        </w:rPr>
        <w:t>roduct is the individual savings account</w:t>
      </w:r>
      <w:r w:rsidRPr="00FA1502">
        <w:rPr>
          <w:rFonts w:ascii="Times New Roman" w:eastAsia="Times New Roman" w:hAnsi="Times New Roman" w:cs="Times New Roman"/>
          <w:sz w:val="24"/>
          <w:szCs w:val="24"/>
          <w:lang w:val="en-GB" w:eastAsia="cs-CZ"/>
        </w:rPr>
        <w:t>, which introduces an ame</w:t>
      </w:r>
      <w:r w:rsidRPr="00FA1502" w:rsidR="009E1EB9">
        <w:rPr>
          <w:rFonts w:ascii="Times New Roman" w:eastAsia="Times New Roman" w:hAnsi="Times New Roman" w:cs="Times New Roman"/>
          <w:sz w:val="24"/>
          <w:szCs w:val="24"/>
          <w:lang w:val="en-GB" w:eastAsia="cs-CZ"/>
        </w:rPr>
        <w:t>ndment to the Capital Market Business Act</w:t>
      </w:r>
      <w:r w:rsidRPr="00FA1502">
        <w:rPr>
          <w:rFonts w:ascii="Times New Roman" w:eastAsia="Times New Roman" w:hAnsi="Times New Roman" w:cs="Times New Roman"/>
          <w:sz w:val="24"/>
          <w:szCs w:val="24"/>
          <w:lang w:val="en-GB" w:eastAsia="cs-CZ"/>
        </w:rPr>
        <w:t xml:space="preserve">, see </w:t>
      </w:r>
      <w:r w:rsidRPr="00FA1502">
        <w:rPr>
          <w:rFonts w:ascii="Times New Roman" w:eastAsia="Times New Roman" w:hAnsi="Times New Roman" w:cs="Times New Roman"/>
          <w:sz w:val="24"/>
          <w:szCs w:val="24"/>
          <w:lang w:val="en-GB" w:eastAsia="cs-CZ"/>
        </w:rPr>
        <w:t xml:space="preserve">the </w:t>
      </w:r>
      <w:r w:rsidRPr="00FA1502" w:rsidR="009E1EB9">
        <w:rPr>
          <w:rFonts w:ascii="Times New Roman" w:eastAsia="Times New Roman" w:hAnsi="Times New Roman" w:cs="Times New Roman"/>
          <w:sz w:val="24"/>
          <w:szCs w:val="24"/>
          <w:lang w:val="en-GB" w:eastAsia="cs-CZ"/>
        </w:rPr>
        <w:t>from</w:t>
      </w:r>
      <w:r w:rsidRPr="00FA1502" w:rsidR="009E1EB9">
        <w:rPr>
          <w:rFonts w:ascii="Times New Roman" w:eastAsia="Times New Roman" w:hAnsi="Times New Roman" w:cs="Times New Roman"/>
          <w:sz w:val="24"/>
          <w:szCs w:val="24"/>
          <w:lang w:val="en-GB" w:eastAsia="cs-CZ"/>
        </w:rPr>
        <w:t xml:space="preserve"> Section 193a</w:t>
      </w:r>
      <w:r w:rsidRPr="00FA1502">
        <w:rPr>
          <w:rFonts w:ascii="Times New Roman" w:eastAsia="Times New Roman" w:hAnsi="Times New Roman" w:cs="Times New Roman"/>
          <w:sz w:val="24"/>
          <w:szCs w:val="24"/>
          <w:lang w:val="en-GB" w:eastAsia="cs-CZ"/>
        </w:rPr>
        <w:t xml:space="preserve"> </w:t>
      </w:r>
      <w:r w:rsidRPr="00FA1502" w:rsidR="009E1EB9">
        <w:rPr>
          <w:rFonts w:ascii="Times New Roman" w:eastAsia="Times New Roman" w:hAnsi="Times New Roman" w:cs="Times New Roman"/>
          <w:sz w:val="24"/>
          <w:szCs w:val="24"/>
          <w:lang w:val="en-GB" w:eastAsia="cs-CZ"/>
        </w:rPr>
        <w:t>to 193c</w:t>
      </w:r>
      <w:r w:rsidRPr="00FA1502">
        <w:rPr>
          <w:rFonts w:ascii="Times New Roman" w:eastAsia="Times New Roman" w:hAnsi="Times New Roman" w:cs="Times New Roman"/>
          <w:sz w:val="24"/>
          <w:szCs w:val="24"/>
          <w:lang w:val="en-GB" w:eastAsia="cs-CZ"/>
        </w:rPr>
        <w:t>. According to ZPKT, this account may be held only by a person authorized to provide an investment service for the management of the customer's assets if it includes an investment instrument at the discretion of the contractual arrangement (point 1) or accept deposits from the public un</w:t>
      </w:r>
      <w:r w:rsidRPr="00FA1502" w:rsidR="009E1EB9">
        <w:rPr>
          <w:rFonts w:ascii="Times New Roman" w:eastAsia="Times New Roman" w:hAnsi="Times New Roman" w:cs="Times New Roman"/>
          <w:sz w:val="24"/>
          <w:szCs w:val="24"/>
          <w:lang w:val="en-GB" w:eastAsia="cs-CZ"/>
        </w:rPr>
        <w:t xml:space="preserve">der the Banking Act (point 2). </w:t>
      </w:r>
      <w:r w:rsidRPr="00FA1502" w:rsidR="00B21DCF">
        <w:rPr>
          <w:rFonts w:ascii="Times New Roman" w:eastAsia="Times New Roman" w:hAnsi="Times New Roman" w:cs="Times New Roman"/>
          <w:sz w:val="24"/>
          <w:szCs w:val="24"/>
          <w:lang w:val="en-GB" w:eastAsia="cs-CZ"/>
        </w:rPr>
        <w:t>However, t</w:t>
      </w:r>
      <w:r w:rsidRPr="00FA1502" w:rsidR="009E1EB9">
        <w:rPr>
          <w:rFonts w:ascii="Times New Roman" w:eastAsia="Times New Roman" w:hAnsi="Times New Roman" w:cs="Times New Roman"/>
          <w:sz w:val="24"/>
          <w:szCs w:val="24"/>
          <w:lang w:val="en-GB" w:eastAsia="cs-CZ"/>
        </w:rPr>
        <w:t>he provisions of Section</w:t>
      </w:r>
      <w:r w:rsidRPr="00FA1502">
        <w:rPr>
          <w:rFonts w:ascii="Times New Roman" w:eastAsia="Times New Roman" w:hAnsi="Times New Roman" w:cs="Times New Roman"/>
          <w:sz w:val="24"/>
          <w:szCs w:val="24"/>
          <w:lang w:val="en-GB" w:eastAsia="cs-CZ"/>
        </w:rPr>
        <w:t xml:space="preserve"> 15a </w:t>
      </w:r>
      <w:r w:rsidRPr="00FA1502" w:rsidR="00B21DCF">
        <w:rPr>
          <w:rFonts w:ascii="Times New Roman" w:eastAsia="Times New Roman" w:hAnsi="Times New Roman" w:cs="Times New Roman"/>
          <w:sz w:val="24"/>
          <w:szCs w:val="24"/>
          <w:u w:val="single"/>
          <w:lang w:val="en-GB" w:eastAsia="cs-CZ"/>
        </w:rPr>
        <w:t>(1)</w:t>
      </w:r>
      <w:r w:rsidRPr="00FA1502">
        <w:rPr>
          <w:rFonts w:ascii="Times New Roman" w:eastAsia="Times New Roman" w:hAnsi="Times New Roman" w:cs="Times New Roman"/>
          <w:sz w:val="24"/>
          <w:szCs w:val="24"/>
          <w:u w:val="single"/>
          <w:lang w:val="en-GB" w:eastAsia="cs-CZ"/>
        </w:rPr>
        <w:t xml:space="preserve"> (e)</w:t>
      </w:r>
      <w:r w:rsidR="00A7116F">
        <w:rPr>
          <w:rFonts w:ascii="Times New Roman" w:eastAsia="Times New Roman" w:hAnsi="Times New Roman" w:cs="Times New Roman"/>
          <w:sz w:val="24"/>
          <w:szCs w:val="24"/>
          <w:u w:val="single"/>
          <w:lang w:val="en-GB" w:eastAsia="cs-CZ"/>
        </w:rPr>
        <w:t xml:space="preserve"> </w:t>
      </w:r>
      <w:r w:rsidRPr="00FA1502" w:rsidR="00B21DCF">
        <w:rPr>
          <w:rFonts w:ascii="Times New Roman" w:eastAsia="Times New Roman" w:hAnsi="Times New Roman" w:cs="Times New Roman"/>
          <w:sz w:val="24"/>
          <w:szCs w:val="24"/>
          <w:lang w:val="en-GB" w:eastAsia="cs-CZ"/>
        </w:rPr>
        <w:t>of the ZDP</w:t>
      </w:r>
      <w:r w:rsidRPr="00FA1502">
        <w:rPr>
          <w:rFonts w:ascii="Times New Roman" w:eastAsia="Times New Roman" w:hAnsi="Times New Roman" w:cs="Times New Roman"/>
          <w:sz w:val="24"/>
          <w:szCs w:val="24"/>
          <w:lang w:val="en-GB" w:eastAsia="cs-CZ"/>
        </w:rPr>
        <w:t xml:space="preserve"> also grants the same treatment to a similar account held by a person authorized to do so under the legislation of another Member State of the European Union or a State constitu</w:t>
      </w:r>
      <w:r w:rsidRPr="00FA1502" w:rsidR="00B21DCF">
        <w:rPr>
          <w:rFonts w:ascii="Times New Roman" w:eastAsia="Times New Roman" w:hAnsi="Times New Roman" w:cs="Times New Roman"/>
          <w:sz w:val="24"/>
          <w:szCs w:val="24"/>
          <w:lang w:val="en-GB" w:eastAsia="cs-CZ"/>
        </w:rPr>
        <w:t>ting the European Economic Area</w:t>
      </w:r>
      <w:r w:rsidRPr="00FA1502">
        <w:rPr>
          <w:rFonts w:ascii="Times New Roman" w:eastAsia="Times New Roman" w:hAnsi="Times New Roman" w:cs="Times New Roman"/>
          <w:sz w:val="24"/>
          <w:szCs w:val="24"/>
          <w:lang w:val="en-GB" w:eastAsia="cs-CZ"/>
        </w:rPr>
        <w:t>.</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 xml:space="preserve">Paragraph 2 </w:t>
      </w:r>
      <w:r w:rsidRPr="00FA1502">
        <w:rPr>
          <w:rFonts w:ascii="Times New Roman" w:eastAsia="Times New Roman" w:hAnsi="Times New Roman" w:cs="Times New Roman"/>
          <w:sz w:val="24"/>
          <w:szCs w:val="24"/>
          <w:lang w:val="en-GB" w:eastAsia="cs-CZ"/>
        </w:rPr>
        <w:t xml:space="preserve">defines the institution of pension insurance, </w:t>
      </w:r>
      <w:r w:rsidRPr="00FA1502" w:rsidR="00B21DCF">
        <w:rPr>
          <w:rFonts w:ascii="Times New Roman" w:eastAsia="Times New Roman" w:hAnsi="Times New Roman" w:cs="Times New Roman"/>
          <w:sz w:val="24"/>
          <w:szCs w:val="24"/>
          <w:lang w:val="en-GB" w:eastAsia="cs-CZ"/>
        </w:rPr>
        <w:t xml:space="preserve">whereas </w:t>
      </w:r>
      <w:r w:rsidRPr="00FA1502">
        <w:rPr>
          <w:rFonts w:ascii="Times New Roman" w:eastAsia="Times New Roman" w:hAnsi="Times New Roman" w:cs="Times New Roman"/>
          <w:sz w:val="24"/>
          <w:szCs w:val="24"/>
          <w:lang w:val="en-GB" w:eastAsia="cs-CZ"/>
        </w:rPr>
        <w:t>taking over</w:t>
      </w:r>
      <w:r w:rsidRPr="00FA1502" w:rsidR="00B21DCF">
        <w:rPr>
          <w:rFonts w:ascii="Times New Roman" w:eastAsia="Times New Roman" w:hAnsi="Times New Roman" w:cs="Times New Roman"/>
          <w:sz w:val="24"/>
          <w:szCs w:val="24"/>
          <w:lang w:val="en-GB" w:eastAsia="cs-CZ"/>
        </w:rPr>
        <w:t xml:space="preserve"> the definition of the current Section 6 (16) of the ZDP</w:t>
      </w:r>
      <w:r w:rsidRPr="00FA1502">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 xml:space="preserve">Paragraph 3 </w:t>
      </w:r>
      <w:r w:rsidRPr="00FA1502">
        <w:rPr>
          <w:rFonts w:ascii="Times New Roman" w:eastAsia="Times New Roman" w:hAnsi="Times New Roman" w:cs="Times New Roman"/>
          <w:sz w:val="24"/>
          <w:szCs w:val="24"/>
          <w:lang w:val="en-GB" w:eastAsia="cs-CZ"/>
        </w:rPr>
        <w:t>defines the co</w:t>
      </w:r>
      <w:r w:rsidRPr="00FA1502" w:rsidR="00AC3E6D">
        <w:rPr>
          <w:rFonts w:ascii="Times New Roman" w:eastAsia="Times New Roman" w:hAnsi="Times New Roman" w:cs="Times New Roman"/>
          <w:sz w:val="24"/>
          <w:szCs w:val="24"/>
          <w:lang w:val="en-GB" w:eastAsia="cs-CZ"/>
        </w:rPr>
        <w:t>ncept of private life insurance</w:t>
      </w:r>
      <w:r w:rsidRPr="00FA1502">
        <w:rPr>
          <w:rFonts w:ascii="Times New Roman" w:eastAsia="Times New Roman" w:hAnsi="Times New Roman" w:cs="Times New Roman"/>
          <w:sz w:val="24"/>
          <w:szCs w:val="24"/>
          <w:lang w:val="en-GB" w:eastAsia="cs-CZ"/>
        </w:rPr>
        <w:t>. It means life insurance or life expectancy at a spe</w:t>
      </w:r>
      <w:r w:rsidRPr="00FA1502" w:rsidR="00AC3E6D">
        <w:rPr>
          <w:rFonts w:ascii="Times New Roman" w:eastAsia="Times New Roman" w:hAnsi="Times New Roman" w:cs="Times New Roman"/>
          <w:sz w:val="24"/>
          <w:szCs w:val="24"/>
          <w:lang w:val="en-GB" w:eastAsia="cs-CZ"/>
        </w:rPr>
        <w:t>cified age or earlier death by</w:t>
      </w:r>
      <w:r w:rsidRPr="00FA1502">
        <w:rPr>
          <w:rFonts w:ascii="Times New Roman" w:eastAsia="Times New Roman" w:hAnsi="Times New Roman" w:cs="Times New Roman"/>
          <w:sz w:val="24"/>
          <w:szCs w:val="24"/>
          <w:lang w:val="en-GB" w:eastAsia="cs-CZ"/>
        </w:rPr>
        <w:t xml:space="preserve"> an insurance company</w:t>
      </w:r>
      <w:r w:rsidRPr="00FA1502" w:rsidR="00AC3E6D">
        <w:rPr>
          <w:rFonts w:ascii="Times New Roman" w:eastAsia="Times New Roman" w:hAnsi="Times New Roman" w:cs="Times New Roman"/>
          <w:sz w:val="24"/>
          <w:szCs w:val="24"/>
          <w:lang w:val="en-GB" w:eastAsia="cs-CZ"/>
        </w:rPr>
        <w:t>, which</w:t>
      </w:r>
      <w:r w:rsidRPr="00FA1502">
        <w:rPr>
          <w:rFonts w:ascii="Times New Roman" w:eastAsia="Times New Roman" w:hAnsi="Times New Roman" w:cs="Times New Roman"/>
          <w:sz w:val="24"/>
          <w:szCs w:val="24"/>
          <w:lang w:val="en-GB" w:eastAsia="cs-CZ"/>
        </w:rPr>
        <w:t xml:space="preserve"> authorized to carry on insurance business in the territory of an EU Member State or a State constituting the European Economic Area. At the same time, it must be</w:t>
      </w:r>
      <w:r w:rsidRPr="00FA1502" w:rsidR="00AC3E6D">
        <w:rPr>
          <w:rFonts w:ascii="Times New Roman" w:eastAsia="Times New Roman" w:hAnsi="Times New Roman" w:cs="Times New Roman"/>
          <w:sz w:val="24"/>
          <w:szCs w:val="24"/>
          <w:lang w:val="en-GB" w:eastAsia="cs-CZ"/>
        </w:rPr>
        <w:t xml:space="preserve"> an insurance with a fixed</w:t>
      </w:r>
      <w:r w:rsidRPr="00FA1502">
        <w:rPr>
          <w:rFonts w:ascii="Times New Roman" w:eastAsia="Times New Roman" w:hAnsi="Times New Roman" w:cs="Times New Roman"/>
          <w:sz w:val="24"/>
          <w:szCs w:val="24"/>
          <w:lang w:val="en-GB" w:eastAsia="cs-CZ"/>
        </w:rPr>
        <w:t xml:space="preserve"> sum insured for survival; therefore, the pro</w:t>
      </w:r>
      <w:r w:rsidRPr="00FA1502" w:rsidR="00AC3E6D">
        <w:rPr>
          <w:rFonts w:ascii="Times New Roman" w:eastAsia="Times New Roman" w:hAnsi="Times New Roman" w:cs="Times New Roman"/>
          <w:sz w:val="24"/>
          <w:szCs w:val="24"/>
          <w:lang w:val="en-GB" w:eastAsia="cs-CZ"/>
        </w:rPr>
        <w:t>duct of retirement</w:t>
      </w:r>
      <w:r w:rsidRPr="00FA1502">
        <w:rPr>
          <w:rFonts w:ascii="Times New Roman" w:eastAsia="Times New Roman" w:hAnsi="Times New Roman" w:cs="Times New Roman"/>
          <w:sz w:val="24"/>
          <w:szCs w:val="24"/>
          <w:lang w:val="en-GB" w:eastAsia="cs-CZ"/>
        </w:rPr>
        <w:t xml:space="preserve"> savings for income tax purposes is not insurance</w:t>
      </w:r>
      <w:r w:rsidRPr="00FA1502" w:rsidR="00AC3E6D">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for which only a repeated insurance benefit is concluded</w:t>
      </w:r>
      <w:r w:rsidRPr="00FA1502" w:rsidR="00AC3E6D">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from which the total amount cannot be deduced. T</w:t>
      </w:r>
      <w:r w:rsidRPr="00FA1502" w:rsidR="00AC3E6D">
        <w:rPr>
          <w:rFonts w:ascii="Times New Roman" w:eastAsia="Times New Roman" w:hAnsi="Times New Roman" w:cs="Times New Roman"/>
          <w:sz w:val="24"/>
          <w:szCs w:val="24"/>
          <w:lang w:val="en-GB" w:eastAsia="cs-CZ"/>
        </w:rPr>
        <w:t>he sum insured must be at least 40 thousand CZK, i</w:t>
      </w:r>
      <w:r w:rsidRPr="00FA1502">
        <w:rPr>
          <w:rFonts w:ascii="Times New Roman" w:eastAsia="Times New Roman" w:hAnsi="Times New Roman" w:cs="Times New Roman"/>
          <w:sz w:val="24"/>
          <w:szCs w:val="24"/>
          <w:lang w:val="en-GB" w:eastAsia="cs-CZ"/>
        </w:rPr>
        <w:t>f the insurance period is at least 5 and</w:t>
      </w:r>
      <w:r w:rsidRPr="00FA1502" w:rsidR="002D7305">
        <w:rPr>
          <w:rFonts w:ascii="Times New Roman" w:eastAsia="Times New Roman" w:hAnsi="Times New Roman" w:cs="Times New Roman"/>
          <w:sz w:val="24"/>
          <w:szCs w:val="24"/>
          <w:lang w:val="en-GB" w:eastAsia="cs-CZ"/>
        </w:rPr>
        <w:t xml:space="preserve"> at most 15 years, and 70 thousands CZK, i</w:t>
      </w:r>
      <w:r w:rsidRPr="00FA1502">
        <w:rPr>
          <w:rFonts w:ascii="Times New Roman" w:eastAsia="Times New Roman" w:hAnsi="Times New Roman" w:cs="Times New Roman"/>
          <w:sz w:val="24"/>
          <w:szCs w:val="24"/>
          <w:lang w:val="en-GB" w:eastAsia="cs-CZ"/>
        </w:rPr>
        <w:t>f the insurance period is longer than 15 years. There is no requirement for an insurance period of less than 5 years because, given the condition of the product's tax sup</w:t>
      </w:r>
      <w:r w:rsidRPr="00FA1502" w:rsidR="002D7305">
        <w:rPr>
          <w:rFonts w:ascii="Times New Roman" w:eastAsia="Times New Roman" w:hAnsi="Times New Roman" w:cs="Times New Roman"/>
          <w:sz w:val="24"/>
          <w:szCs w:val="24"/>
          <w:lang w:val="en-GB" w:eastAsia="cs-CZ"/>
        </w:rPr>
        <w:t xml:space="preserve">port for old age stipulated in Section 15b (1) (b) point </w:t>
      </w:r>
      <w:r w:rsidRPr="00FA1502">
        <w:rPr>
          <w:rFonts w:ascii="Times New Roman" w:eastAsia="Times New Roman" w:hAnsi="Times New Roman" w:cs="Times New Roman"/>
          <w:sz w:val="24"/>
          <w:szCs w:val="24"/>
          <w:lang w:val="en-GB" w:eastAsia="cs-CZ"/>
        </w:rPr>
        <w:t xml:space="preserve">(1) of </w:t>
      </w:r>
      <w:r w:rsidRPr="00FA1502" w:rsidR="002D7305">
        <w:rPr>
          <w:rFonts w:ascii="Times New Roman" w:eastAsia="Times New Roman" w:hAnsi="Times New Roman" w:cs="Times New Roman"/>
          <w:sz w:val="24"/>
          <w:szCs w:val="24"/>
          <w:lang w:val="en-GB" w:eastAsia="cs-CZ"/>
        </w:rPr>
        <w:t>the ZDP</w:t>
      </w:r>
      <w:r w:rsidRPr="00FA1502">
        <w:rPr>
          <w:rFonts w:ascii="Times New Roman" w:eastAsia="Times New Roman" w:hAnsi="Times New Roman" w:cs="Times New Roman"/>
          <w:sz w:val="24"/>
          <w:szCs w:val="24"/>
          <w:lang w:val="en-GB" w:eastAsia="cs-CZ"/>
        </w:rPr>
        <w:t>, according to which the payment of funds or benefits must be allowed no earlier than 60 calendar months af</w:t>
      </w:r>
      <w:r w:rsidRPr="00FA1502" w:rsidR="002D7305">
        <w:rPr>
          <w:rFonts w:ascii="Times New Roman" w:eastAsia="Times New Roman" w:hAnsi="Times New Roman" w:cs="Times New Roman"/>
          <w:sz w:val="24"/>
          <w:szCs w:val="24"/>
          <w:lang w:val="en-GB" w:eastAsia="cs-CZ"/>
        </w:rPr>
        <w:t>ter the inception of the retirement</w:t>
      </w:r>
      <w:r w:rsidRPr="00FA1502">
        <w:rPr>
          <w:rFonts w:ascii="Times New Roman" w:eastAsia="Times New Roman" w:hAnsi="Times New Roman" w:cs="Times New Roman"/>
          <w:sz w:val="24"/>
          <w:szCs w:val="24"/>
          <w:lang w:val="en-GB" w:eastAsia="cs-CZ"/>
        </w:rPr>
        <w:t xml:space="preserve"> savings product, private life insurance with less than five years may nev</w:t>
      </w:r>
      <w:r w:rsidRPr="00FA1502" w:rsidR="002D7305">
        <w:rPr>
          <w:rFonts w:ascii="Times New Roman" w:eastAsia="Times New Roman" w:hAnsi="Times New Roman" w:cs="Times New Roman"/>
          <w:sz w:val="24"/>
          <w:szCs w:val="24"/>
          <w:lang w:val="en-GB" w:eastAsia="cs-CZ"/>
        </w:rPr>
        <w:t>er be tax-supported</w:t>
      </w:r>
      <w:r w:rsidRPr="00FA1502">
        <w:rPr>
          <w:rFonts w:ascii="Times New Roman" w:eastAsia="Times New Roman" w:hAnsi="Times New Roman" w:cs="Times New Roman"/>
          <w:sz w:val="24"/>
          <w:szCs w:val="24"/>
          <w:lang w:val="en-GB" w:eastAsia="cs-CZ"/>
        </w:rPr>
        <w:t>. The condition of negotiating a sum insured of a certain amount i</w:t>
      </w:r>
      <w:r w:rsidRPr="00FA1502" w:rsidR="002D7305">
        <w:rPr>
          <w:rFonts w:ascii="Times New Roman" w:eastAsia="Times New Roman" w:hAnsi="Times New Roman" w:cs="Times New Roman"/>
          <w:sz w:val="24"/>
          <w:szCs w:val="24"/>
          <w:lang w:val="en-GB" w:eastAsia="cs-CZ"/>
        </w:rPr>
        <w:t>s set for private life insurance</w:t>
      </w:r>
      <w:r w:rsidRPr="00FA1502">
        <w:rPr>
          <w:rFonts w:ascii="Times New Roman" w:eastAsia="Times New Roman" w:hAnsi="Times New Roman" w:cs="Times New Roman"/>
          <w:sz w:val="24"/>
          <w:szCs w:val="24"/>
          <w:lang w:val="en-GB" w:eastAsia="cs-CZ"/>
        </w:rPr>
        <w:t xml:space="preserve"> because</w:t>
      </w:r>
      <w:r w:rsidRPr="00FA1502" w:rsidR="002D7305">
        <w:rPr>
          <w:rFonts w:ascii="Times New Roman" w:eastAsia="Times New Roman" w:hAnsi="Times New Roman" w:cs="Times New Roman"/>
          <w:sz w:val="24"/>
          <w:szCs w:val="24"/>
          <w:lang w:val="en-GB" w:eastAsia="cs-CZ"/>
        </w:rPr>
        <w:t xml:space="preserve"> it is effective to support such a </w:t>
      </w:r>
      <w:r w:rsidRPr="00FA1502">
        <w:rPr>
          <w:rFonts w:ascii="Times New Roman" w:eastAsia="Times New Roman" w:hAnsi="Times New Roman" w:cs="Times New Roman"/>
          <w:sz w:val="24"/>
          <w:szCs w:val="24"/>
          <w:lang w:val="en-GB" w:eastAsia="cs-CZ"/>
        </w:rPr>
        <w:t>type of insurance</w:t>
      </w:r>
      <w:r w:rsidRPr="00FA1502" w:rsidR="002D7305">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which guarantees the insured</w:t>
      </w:r>
      <w:r w:rsidRPr="00FA1502" w:rsidR="008E1A6B">
        <w:rPr>
          <w:rFonts w:ascii="Times New Roman" w:eastAsia="Times New Roman" w:hAnsi="Times New Roman" w:cs="Times New Roman"/>
          <w:sz w:val="24"/>
          <w:szCs w:val="24"/>
          <w:lang w:val="en-GB" w:eastAsia="cs-CZ"/>
        </w:rPr>
        <w:t xml:space="preserve"> person, within survival with a</w:t>
      </w:r>
      <w:r w:rsidRPr="00FA1502">
        <w:rPr>
          <w:rFonts w:ascii="Times New Roman" w:eastAsia="Times New Roman" w:hAnsi="Times New Roman" w:cs="Times New Roman"/>
          <w:sz w:val="24"/>
          <w:szCs w:val="24"/>
          <w:lang w:val="en-GB" w:eastAsia="cs-CZ"/>
        </w:rPr>
        <w:t xml:space="preserve"> contract of </w:t>
      </w:r>
      <w:r w:rsidRPr="00FA1502" w:rsidR="008E1A6B">
        <w:rPr>
          <w:rFonts w:ascii="Times New Roman" w:eastAsia="Times New Roman" w:hAnsi="Times New Roman" w:cs="Times New Roman"/>
          <w:sz w:val="24"/>
          <w:szCs w:val="24"/>
          <w:lang w:val="en-GB" w:eastAsia="cs-CZ"/>
        </w:rPr>
        <w:t>stated age,</w:t>
      </w:r>
      <w:r w:rsidRPr="00FA1502">
        <w:rPr>
          <w:rFonts w:ascii="Times New Roman" w:eastAsia="Times New Roman" w:hAnsi="Times New Roman" w:cs="Times New Roman"/>
          <w:sz w:val="24"/>
          <w:szCs w:val="24"/>
          <w:lang w:val="en-GB" w:eastAsia="cs-CZ"/>
        </w:rPr>
        <w:t xml:space="preserve"> payment of</w:t>
      </w:r>
      <w:r w:rsidRPr="00FA1502" w:rsidR="008E1A6B">
        <w:rPr>
          <w:rFonts w:ascii="Times New Roman" w:eastAsia="Times New Roman" w:hAnsi="Times New Roman" w:cs="Times New Roman"/>
          <w:sz w:val="24"/>
          <w:szCs w:val="24"/>
          <w:lang w:val="en-GB" w:eastAsia="cs-CZ"/>
        </w:rPr>
        <w:t xml:space="preserve"> the accumulated amount. Hence, only in this way is fulfilled he goal of state support, which is to motivate </w:t>
      </w:r>
      <w:r w:rsidRPr="00FA1502">
        <w:rPr>
          <w:rFonts w:ascii="Times New Roman" w:eastAsia="Times New Roman" w:hAnsi="Times New Roman" w:cs="Times New Roman"/>
          <w:sz w:val="24"/>
          <w:szCs w:val="24"/>
          <w:lang w:val="en-GB" w:eastAsia="cs-CZ"/>
        </w:rPr>
        <w:t>to postpone some savings for future consumption.</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Re § 15b:</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Provision</w:t>
      </w:r>
      <w:r w:rsidRPr="00FA1502">
        <w:rPr>
          <w:rFonts w:ascii="Times New Roman" w:eastAsia="Times New Roman" w:hAnsi="Times New Roman" w:cs="Times New Roman"/>
          <w:sz w:val="24"/>
          <w:szCs w:val="24"/>
          <w:lang w:val="en-GB" w:eastAsia="cs-CZ"/>
        </w:rPr>
        <w:t xml:space="preserve"> 15b lays down the co</w:t>
      </w:r>
      <w:r w:rsidRPr="00FA1502">
        <w:rPr>
          <w:rFonts w:ascii="Times New Roman" w:eastAsia="Times New Roman" w:hAnsi="Times New Roman" w:cs="Times New Roman"/>
          <w:sz w:val="24"/>
          <w:szCs w:val="24"/>
          <w:lang w:val="en-GB" w:eastAsia="cs-CZ"/>
        </w:rPr>
        <w:t>nditions for tax support for retirement</w:t>
      </w:r>
      <w:r w:rsidRPr="00FA1502">
        <w:rPr>
          <w:rFonts w:ascii="Times New Roman" w:eastAsia="Times New Roman" w:hAnsi="Times New Roman" w:cs="Times New Roman"/>
          <w:sz w:val="24"/>
          <w:szCs w:val="24"/>
          <w:lang w:val="en-GB" w:eastAsia="cs-CZ"/>
        </w:rPr>
        <w:t xml:space="preserve"> products as d</w:t>
      </w:r>
      <w:r w:rsidRPr="00FA1502">
        <w:rPr>
          <w:rFonts w:ascii="Times New Roman" w:eastAsia="Times New Roman" w:hAnsi="Times New Roman" w:cs="Times New Roman"/>
          <w:sz w:val="24"/>
          <w:szCs w:val="24"/>
          <w:lang w:val="en-GB" w:eastAsia="cs-CZ"/>
        </w:rPr>
        <w:t xml:space="preserve">efined in </w:t>
      </w:r>
      <w:r w:rsidRPr="00FA1502">
        <w:rPr>
          <w:rFonts w:ascii="Times New Roman" w:eastAsia="Times New Roman" w:hAnsi="Times New Roman" w:cs="Times New Roman"/>
          <w:sz w:val="24"/>
          <w:szCs w:val="24"/>
          <w:lang w:val="en-GB" w:eastAsia="cs-CZ"/>
        </w:rPr>
        <w:t>Section 15a of the ZDP</w:t>
      </w:r>
      <w:r w:rsidRPr="00FA1502">
        <w:rPr>
          <w:rFonts w:ascii="Times New Roman" w:eastAsia="Times New Roman" w:hAnsi="Times New Roman" w:cs="Times New Roman"/>
          <w:sz w:val="24"/>
          <w:szCs w:val="24"/>
          <w:lang w:val="en-GB" w:eastAsia="cs-CZ"/>
        </w:rPr>
        <w:t xml:space="preserve"> and the consequences of a tax-assisted product ceasing to qualify for tax support. The basic consequence of the violation of the conditions for tax support, which is not explicitly stated in the law, but results from the construction of the relevant standards, is that the contributions to this product no longer benefit </w:t>
      </w:r>
      <w:r w:rsidRPr="00FA1502">
        <w:rPr>
          <w:rFonts w:ascii="Times New Roman" w:eastAsia="Times New Roman" w:hAnsi="Times New Roman" w:cs="Times New Roman"/>
          <w:sz w:val="24"/>
          <w:szCs w:val="24"/>
          <w:lang w:val="en-GB" w:eastAsia="cs-CZ"/>
        </w:rPr>
        <w:t>from the benefits mentioned in the Section 6 (9) (p) and Section 15 (5) of the ZDP</w:t>
      </w:r>
      <w:r w:rsidRPr="00FA1502">
        <w:rPr>
          <w:rFonts w:ascii="Times New Roman" w:eastAsia="Times New Roman" w:hAnsi="Times New Roman" w:cs="Times New Roman"/>
          <w:sz w:val="24"/>
          <w:szCs w:val="24"/>
          <w:lang w:val="en-GB" w:eastAsia="cs-CZ"/>
        </w:rPr>
        <w:t>, because these provisions in the newly proposed wording onl</w:t>
      </w:r>
      <w:r w:rsidRPr="00FA1502">
        <w:rPr>
          <w:rFonts w:ascii="Times New Roman" w:eastAsia="Times New Roman" w:hAnsi="Times New Roman" w:cs="Times New Roman"/>
          <w:sz w:val="24"/>
          <w:szCs w:val="24"/>
          <w:lang w:val="en-GB" w:eastAsia="cs-CZ"/>
        </w:rPr>
        <w:t>y apply to tax-supported retirement</w:t>
      </w:r>
      <w:r w:rsidRPr="00FA1502">
        <w:rPr>
          <w:rFonts w:ascii="Times New Roman" w:eastAsia="Times New Roman" w:hAnsi="Times New Roman" w:cs="Times New Roman"/>
          <w:sz w:val="24"/>
          <w:szCs w:val="24"/>
          <w:lang w:val="en-GB" w:eastAsia="cs-CZ"/>
        </w:rPr>
        <w:t xml:space="preserve"> savings products. There is therefore no need to standardize, as </w:t>
      </w:r>
      <w:r w:rsidRPr="00FA1502">
        <w:rPr>
          <w:rFonts w:ascii="Times New Roman" w:eastAsia="Times New Roman" w:hAnsi="Times New Roman" w:cs="Times New Roman"/>
          <w:sz w:val="24"/>
          <w:szCs w:val="24"/>
          <w:lang w:val="en-GB" w:eastAsia="cs-CZ"/>
        </w:rPr>
        <w:t xml:space="preserve">it </w:t>
      </w:r>
      <w:r w:rsidRPr="00FA1502">
        <w:rPr>
          <w:rFonts w:ascii="Times New Roman" w:eastAsia="Times New Roman" w:hAnsi="Times New Roman" w:cs="Times New Roman"/>
          <w:sz w:val="24"/>
          <w:szCs w:val="24"/>
          <w:lang w:val="en-GB" w:eastAsia="cs-CZ"/>
        </w:rPr>
        <w:t>was the case in the wording of those provisions so far, that the exemption and the right to deduct the non-taxable part of the taxable base cease to exist after a breach of any of the conditions of tax aid.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basic conditions for tax aid are set out in </w:t>
      </w:r>
      <w:r w:rsidRPr="00FA1502" w:rsidR="008E1A6B">
        <w:rPr>
          <w:rFonts w:ascii="Times New Roman" w:eastAsia="Times New Roman" w:hAnsi="Times New Roman" w:cs="Times New Roman"/>
          <w:sz w:val="24"/>
          <w:szCs w:val="24"/>
          <w:u w:val="single"/>
          <w:lang w:val="en-GB" w:eastAsia="cs-CZ"/>
        </w:rPr>
        <w:t>paragraph 1</w:t>
      </w:r>
      <w:r w:rsidRPr="00FA1502">
        <w:rPr>
          <w:rFonts w:ascii="Times New Roman" w:eastAsia="Times New Roman" w:hAnsi="Times New Roman" w:cs="Times New Roman"/>
          <w:sz w:val="24"/>
          <w:szCs w:val="24"/>
          <w:lang w:val="en-GB" w:eastAsia="cs-CZ"/>
        </w:rPr>
        <w:t xml:space="preserve">. Pursuant to </w:t>
      </w:r>
      <w:r w:rsidRPr="00FA1502">
        <w:rPr>
          <w:rFonts w:ascii="Times New Roman" w:eastAsia="Times New Roman" w:hAnsi="Times New Roman" w:cs="Times New Roman"/>
          <w:sz w:val="24"/>
          <w:szCs w:val="24"/>
          <w:u w:val="single"/>
          <w:lang w:val="en-GB" w:eastAsia="cs-CZ"/>
        </w:rPr>
        <w:t xml:space="preserve">letter </w:t>
      </w:r>
      <w:r w:rsidRPr="00FA1502" w:rsidR="008E1A6B">
        <w:rPr>
          <w:rFonts w:ascii="Times New Roman" w:eastAsia="Times New Roman" w:hAnsi="Times New Roman" w:cs="Times New Roman"/>
          <w:sz w:val="24"/>
          <w:szCs w:val="24"/>
          <w:u w:val="single"/>
          <w:lang w:val="en-GB" w:eastAsia="cs-CZ"/>
        </w:rPr>
        <w:t>(</w:t>
      </w:r>
      <w:r w:rsidRPr="00FA1502">
        <w:rPr>
          <w:rFonts w:ascii="Times New Roman" w:eastAsia="Times New Roman" w:hAnsi="Times New Roman" w:cs="Times New Roman"/>
          <w:sz w:val="24"/>
          <w:szCs w:val="24"/>
          <w:u w:val="single"/>
          <w:lang w:val="en-GB" w:eastAsia="cs-CZ"/>
        </w:rPr>
        <w:t xml:space="preserve">a) it </w:t>
      </w:r>
      <w:r w:rsidRPr="00FA1502">
        <w:rPr>
          <w:rFonts w:ascii="Times New Roman" w:eastAsia="Times New Roman" w:hAnsi="Times New Roman" w:cs="Times New Roman"/>
          <w:sz w:val="24"/>
          <w:szCs w:val="24"/>
          <w:lang w:val="en-GB" w:eastAsia="cs-CZ"/>
        </w:rPr>
        <w:t>must be agreed or otherwise determined (typical</w:t>
      </w:r>
      <w:r w:rsidRPr="00FA1502" w:rsidR="008E1A6B">
        <w:rPr>
          <w:rFonts w:ascii="Times New Roman" w:eastAsia="Times New Roman" w:hAnsi="Times New Roman" w:cs="Times New Roman"/>
          <w:sz w:val="24"/>
          <w:szCs w:val="24"/>
          <w:lang w:val="en-GB" w:eastAsia="cs-CZ"/>
        </w:rPr>
        <w:t>ly directly in the law regulating</w:t>
      </w:r>
      <w:r w:rsidRPr="00FA1502">
        <w:rPr>
          <w:rFonts w:ascii="Times New Roman" w:eastAsia="Times New Roman" w:hAnsi="Times New Roman" w:cs="Times New Roman"/>
          <w:sz w:val="24"/>
          <w:szCs w:val="24"/>
          <w:lang w:val="en-GB" w:eastAsia="cs-CZ"/>
        </w:rPr>
        <w:t xml:space="preserve"> the product) that the disbursement of funds and benefits from that product is only made to the taxpayer</w:t>
      </w:r>
      <w:r w:rsidRPr="00FA1502" w:rsidR="00504931">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who negotiated the product, with the exception of disb</w:t>
      </w:r>
      <w:r w:rsidRPr="00FA1502" w:rsidR="00504931">
        <w:rPr>
          <w:rFonts w:ascii="Times New Roman" w:eastAsia="Times New Roman" w:hAnsi="Times New Roman" w:cs="Times New Roman"/>
          <w:sz w:val="24"/>
          <w:szCs w:val="24"/>
          <w:lang w:val="en-GB" w:eastAsia="cs-CZ"/>
        </w:rPr>
        <w:t>ursement</w:t>
      </w:r>
      <w:r w:rsidRPr="00FA1502">
        <w:rPr>
          <w:rFonts w:ascii="Times New Roman" w:eastAsia="Times New Roman" w:hAnsi="Times New Roman" w:cs="Times New Roman"/>
          <w:sz w:val="24"/>
          <w:szCs w:val="24"/>
          <w:lang w:val="en-GB" w:eastAsia="cs-CZ"/>
        </w:rPr>
        <w:t xml:space="preserve"> in the event of death. The purpose of this condition is to ensure that the taxpayer will save money for his / her own </w:t>
      </w:r>
      <w:r w:rsidRPr="00FA1502" w:rsidR="008E1A6B">
        <w:rPr>
          <w:rFonts w:ascii="Times New Roman" w:eastAsia="Times New Roman" w:hAnsi="Times New Roman" w:cs="Times New Roman"/>
          <w:sz w:val="24"/>
          <w:szCs w:val="24"/>
          <w:lang w:val="en-GB" w:eastAsia="cs-CZ"/>
        </w:rPr>
        <w:t xml:space="preserve">retirement </w:t>
      </w:r>
      <w:r w:rsidRPr="00FA1502" w:rsidR="00504931">
        <w:rPr>
          <w:rFonts w:ascii="Times New Roman" w:eastAsia="Times New Roman" w:hAnsi="Times New Roman" w:cs="Times New Roman"/>
          <w:sz w:val="24"/>
          <w:szCs w:val="24"/>
          <w:lang w:val="en-GB" w:eastAsia="cs-CZ"/>
        </w:rPr>
        <w:t>age, because there is no tax-support for savings of another person.</w:t>
      </w:r>
      <w:r w:rsidRPr="00FA1502">
        <w:rPr>
          <w:rFonts w:ascii="Times New Roman" w:eastAsia="Times New Roman" w:hAnsi="Times New Roman" w:cs="Times New Roman"/>
          <w:sz w:val="24"/>
          <w:szCs w:val="24"/>
          <w:lang w:val="en-GB" w:eastAsia="cs-CZ"/>
        </w:rPr>
        <w:t xml:space="preserve"> The exemption is provided for the payment of funds and benefits in the event of the death of a taxpayer</w:t>
      </w:r>
      <w:r w:rsidRPr="00FA1502" w:rsidR="00504931">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whos</w:t>
      </w:r>
      <w:r w:rsidRPr="00FA1502" w:rsidR="00504931">
        <w:rPr>
          <w:rFonts w:ascii="Times New Roman" w:eastAsia="Times New Roman" w:hAnsi="Times New Roman" w:cs="Times New Roman"/>
          <w:sz w:val="24"/>
          <w:szCs w:val="24"/>
          <w:lang w:val="en-GB" w:eastAsia="cs-CZ"/>
        </w:rPr>
        <w:t>e product is a retirement</w:t>
      </w:r>
      <w:r w:rsidRPr="00FA1502">
        <w:rPr>
          <w:rFonts w:ascii="Times New Roman" w:eastAsia="Times New Roman" w:hAnsi="Times New Roman" w:cs="Times New Roman"/>
          <w:sz w:val="24"/>
          <w:szCs w:val="24"/>
          <w:lang w:val="en-GB" w:eastAsia="cs-CZ"/>
        </w:rPr>
        <w:t xml:space="preserve"> savings product</w:t>
      </w:r>
      <w:r w:rsidRPr="00FA1502" w:rsidR="00504931">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because, in the event of death, of</w:t>
      </w:r>
      <w:r w:rsidRPr="00FA1502" w:rsidR="00504931">
        <w:rPr>
          <w:rFonts w:ascii="Times New Roman" w:eastAsia="Times New Roman" w:hAnsi="Times New Roman" w:cs="Times New Roman"/>
          <w:sz w:val="24"/>
          <w:szCs w:val="24"/>
          <w:lang w:val="en-GB" w:eastAsia="cs-CZ"/>
        </w:rPr>
        <w:t xml:space="preserve"> course, the funds will not be paid to a person, who negotiated the product, but to a different person, which could be stated in the contract or by a law</w:t>
      </w:r>
      <w:r w:rsidRPr="00FA1502">
        <w:rPr>
          <w:rFonts w:ascii="Times New Roman" w:eastAsia="Times New Roman" w:hAnsi="Times New Roman" w:cs="Times New Roman"/>
          <w:sz w:val="24"/>
          <w:szCs w:val="24"/>
          <w:lang w:val="en-GB" w:eastAsia="cs-CZ"/>
        </w:rPr>
        <w:t>. This may include both a one-off payment of savings and a</w:t>
      </w:r>
      <w:r w:rsidRPr="00FA1502" w:rsidR="00504931">
        <w:rPr>
          <w:rFonts w:ascii="Times New Roman" w:eastAsia="Times New Roman" w:hAnsi="Times New Roman" w:cs="Times New Roman"/>
          <w:sz w:val="24"/>
          <w:szCs w:val="24"/>
          <w:lang w:val="en-GB" w:eastAsia="cs-CZ"/>
        </w:rPr>
        <w:t>lso</w:t>
      </w:r>
      <w:r w:rsidRPr="00FA1502">
        <w:rPr>
          <w:rFonts w:ascii="Times New Roman" w:eastAsia="Times New Roman" w:hAnsi="Times New Roman" w:cs="Times New Roman"/>
          <w:sz w:val="24"/>
          <w:szCs w:val="24"/>
          <w:lang w:val="en-GB" w:eastAsia="cs-CZ"/>
        </w:rPr>
        <w:t xml:space="preserve"> survivor's pension from supplementary pension insurance.</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provision distinguishes the</w:t>
      </w:r>
      <w:r w:rsidRPr="00FA1502" w:rsidR="008A2FD6">
        <w:rPr>
          <w:rFonts w:ascii="Times New Roman" w:eastAsia="Times New Roman" w:hAnsi="Times New Roman" w:cs="Times New Roman"/>
          <w:sz w:val="24"/>
          <w:szCs w:val="24"/>
          <w:lang w:val="en-GB" w:eastAsia="cs-CZ"/>
        </w:rPr>
        <w:t xml:space="preserve"> concepts of 'disbursement</w:t>
      </w:r>
      <w:r w:rsidRPr="00FA1502">
        <w:rPr>
          <w:rFonts w:ascii="Times New Roman" w:eastAsia="Times New Roman" w:hAnsi="Times New Roman" w:cs="Times New Roman"/>
          <w:sz w:val="24"/>
          <w:szCs w:val="24"/>
          <w:lang w:val="en-GB" w:eastAsia="cs-CZ"/>
        </w:rPr>
        <w:t xml:space="preserve"> of funds' and 'performance', taking into account the different nature of the various </w:t>
      </w:r>
      <w:r w:rsidRPr="00FA1502" w:rsidR="00504931">
        <w:rPr>
          <w:rFonts w:ascii="Times New Roman" w:eastAsia="Times New Roman" w:hAnsi="Times New Roman" w:cs="Times New Roman"/>
          <w:sz w:val="24"/>
          <w:szCs w:val="24"/>
          <w:lang w:val="en-GB" w:eastAsia="cs-CZ"/>
        </w:rPr>
        <w:t>retirement savings products</w:t>
      </w:r>
      <w:r w:rsidRPr="00FA1502">
        <w:rPr>
          <w:rFonts w:ascii="Times New Roman" w:eastAsia="Times New Roman" w:hAnsi="Times New Roman" w:cs="Times New Roman"/>
          <w:sz w:val="24"/>
          <w:szCs w:val="24"/>
          <w:lang w:val="en-GB" w:eastAsia="cs-CZ"/>
        </w:rPr>
        <w:t xml:space="preserve">. Disclosure of supplementary pension insurance, supplementary pension savings, pension insurance and private life insurance is that the taxpayer pays contributions </w:t>
      </w:r>
      <w:r w:rsidRPr="00FA1502" w:rsidR="00504931">
        <w:rPr>
          <w:rFonts w:ascii="Times New Roman" w:eastAsia="Times New Roman" w:hAnsi="Times New Roman" w:cs="Times New Roman"/>
          <w:sz w:val="24"/>
          <w:szCs w:val="24"/>
          <w:lang w:val="en-GB" w:eastAsia="cs-CZ"/>
        </w:rPr>
        <w:t xml:space="preserve">to </w:t>
      </w:r>
      <w:r w:rsidRPr="00FA1502">
        <w:rPr>
          <w:rFonts w:ascii="Times New Roman" w:eastAsia="Times New Roman" w:hAnsi="Times New Roman" w:cs="Times New Roman"/>
          <w:sz w:val="24"/>
          <w:szCs w:val="24"/>
          <w:lang w:val="en-GB" w:eastAsia="cs-CZ"/>
        </w:rPr>
        <w:t xml:space="preserve">the person with whom this product has been established, and after some time he goes right to certain benefits of the product from that person, whether he in the form of benefits stipulated in the Act on Supplementary Pension Insurance or in the ZDPS , or insurance benefits from private life insurance (in the case of pension insurance, the form of benefits depends mainly on the foreign legislation governing them). In the </w:t>
      </w:r>
      <w:r w:rsidRPr="00FA1502" w:rsidR="008A2FD6">
        <w:rPr>
          <w:rFonts w:ascii="Times New Roman" w:eastAsia="Times New Roman" w:hAnsi="Times New Roman" w:cs="Times New Roman"/>
          <w:sz w:val="24"/>
          <w:szCs w:val="24"/>
          <w:lang w:val="en-GB" w:eastAsia="cs-CZ"/>
        </w:rPr>
        <w:t>case of the individual savings</w:t>
      </w:r>
      <w:r w:rsidRPr="00FA1502">
        <w:rPr>
          <w:rFonts w:ascii="Times New Roman" w:eastAsia="Times New Roman" w:hAnsi="Times New Roman" w:cs="Times New Roman"/>
          <w:sz w:val="24"/>
          <w:szCs w:val="24"/>
          <w:lang w:val="en-GB" w:eastAsia="cs-CZ"/>
        </w:rPr>
        <w:t xml:space="preserve"> account, however, the situation is different, it is the taxpayer's account and the funds on it have been in the ownership of this taxpayer for </w:t>
      </w:r>
      <w:r w:rsidRPr="00FA1502" w:rsidR="008A2FD6">
        <w:rPr>
          <w:rFonts w:ascii="Times New Roman" w:eastAsia="Times New Roman" w:hAnsi="Times New Roman" w:cs="Times New Roman"/>
          <w:sz w:val="24"/>
          <w:szCs w:val="24"/>
          <w:lang w:val="en-GB" w:eastAsia="cs-CZ"/>
        </w:rPr>
        <w:t>the whole time of its existence</w:t>
      </w:r>
      <w:r w:rsidRPr="00FA1502">
        <w:rPr>
          <w:rFonts w:ascii="Times New Roman" w:eastAsia="Times New Roman" w:hAnsi="Times New Roman" w:cs="Times New Roman"/>
          <w:sz w:val="24"/>
          <w:szCs w:val="24"/>
          <w:lang w:val="en-GB" w:eastAsia="cs-CZ"/>
        </w:rPr>
        <w:t>, i</w:t>
      </w:r>
      <w:r w:rsidRPr="00FA1502" w:rsidR="008A2FD6">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8A2FD6">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the taxpayer first transfers its</w:t>
      </w:r>
      <w:r w:rsidRPr="00FA1502" w:rsidR="008A2FD6">
        <w:rPr>
          <w:rFonts w:ascii="Times New Roman" w:eastAsia="Times New Roman" w:hAnsi="Times New Roman" w:cs="Times New Roman"/>
          <w:sz w:val="24"/>
          <w:szCs w:val="24"/>
          <w:lang w:val="en-GB" w:eastAsia="cs-CZ"/>
        </w:rPr>
        <w:t xml:space="preserve"> funds from one of its individual savings</w:t>
      </w:r>
      <w:r w:rsidRPr="00FA1502">
        <w:rPr>
          <w:rFonts w:ascii="Times New Roman" w:eastAsia="Times New Roman" w:hAnsi="Times New Roman" w:cs="Times New Roman"/>
          <w:sz w:val="24"/>
          <w:szCs w:val="24"/>
          <w:lang w:val="en-GB" w:eastAsia="cs-CZ"/>
        </w:rPr>
        <w:t xml:space="preserve"> account and then the transfer in the opposite direction. Given that</w:t>
      </w:r>
      <w:r w:rsidRPr="00FA1502" w:rsidR="008A2FD6">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this is not a transfer of ownership of these funds, it is not a transaction, but only the disp</w:t>
      </w:r>
      <w:r w:rsidRPr="00FA1502" w:rsidR="008A2FD6">
        <w:rPr>
          <w:rFonts w:ascii="Times New Roman" w:eastAsia="Times New Roman" w:hAnsi="Times New Roman" w:cs="Times New Roman"/>
          <w:sz w:val="24"/>
          <w:szCs w:val="24"/>
          <w:lang w:val="en-GB" w:eastAsia="cs-CZ"/>
        </w:rPr>
        <w:t>osal of own property. Therefore</w:t>
      </w:r>
      <w:r w:rsidRPr="00FA1502">
        <w:rPr>
          <w:rFonts w:ascii="Times New Roman" w:eastAsia="Times New Roman" w:hAnsi="Times New Roman" w:cs="Times New Roman"/>
          <w:sz w:val="24"/>
          <w:szCs w:val="24"/>
          <w:lang w:val="en-GB" w:eastAsia="cs-CZ"/>
        </w:rPr>
        <w:t>, the wording “disbursement of funds”, which means de facto management of</w:t>
      </w:r>
      <w:r w:rsidRPr="00FA1502" w:rsidR="008A2FD6">
        <w:rPr>
          <w:rFonts w:ascii="Times New Roman" w:eastAsia="Times New Roman" w:hAnsi="Times New Roman" w:cs="Times New Roman"/>
          <w:sz w:val="24"/>
          <w:szCs w:val="24"/>
          <w:lang w:val="en-GB" w:eastAsia="cs-CZ"/>
        </w:rPr>
        <w:t xml:space="preserve"> funds, was chosen</w:t>
      </w:r>
      <w:r w:rsidRPr="00FA1502">
        <w:rPr>
          <w:rFonts w:ascii="Times New Roman" w:eastAsia="Times New Roman" w:hAnsi="Times New Roman" w:cs="Times New Roman"/>
          <w:sz w:val="24"/>
          <w:szCs w:val="24"/>
          <w:lang w:val="en-GB" w:eastAsia="cs-CZ"/>
        </w:rPr>
        <w:t>.</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Payments and benefits are only those where the taxpayer draws on the saved funds, i</w:t>
      </w:r>
      <w:r w:rsidRPr="00FA1502" w:rsidR="008A2FD6">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8A2FD6">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transfers funds from the long-term investment account to his / her other account or receives benefits or other benefits from supplementary pension savings or supplementary pension savings or private indemnity personal insurance. This is not a situation where there are transactions within a given retirement savings product, such as the purchase of shares</w:t>
      </w:r>
      <w:r w:rsidRPr="00FA1502" w:rsidR="008A2FD6">
        <w:rPr>
          <w:rFonts w:ascii="Times New Roman" w:eastAsia="Times New Roman" w:hAnsi="Times New Roman" w:cs="Times New Roman"/>
          <w:sz w:val="24"/>
          <w:szCs w:val="24"/>
          <w:lang w:val="en-GB" w:eastAsia="cs-CZ"/>
        </w:rPr>
        <w:t xml:space="preserve"> for funds placed on an individual savings</w:t>
      </w:r>
      <w:r w:rsidRPr="00FA1502">
        <w:rPr>
          <w:rFonts w:ascii="Times New Roman" w:eastAsia="Times New Roman" w:hAnsi="Times New Roman" w:cs="Times New Roman"/>
          <w:sz w:val="24"/>
          <w:szCs w:val="24"/>
          <w:lang w:val="en-GB" w:eastAsia="cs-CZ"/>
        </w:rPr>
        <w:t xml:space="preserve"> account. These transactions can, of course, be (and must) be carried out with third parties and the third parties are subject to relevant transactions.</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 xml:space="preserve">Point (b) </w:t>
      </w:r>
      <w:r w:rsidRPr="00FA1502">
        <w:rPr>
          <w:rFonts w:ascii="Times New Roman" w:eastAsia="Times New Roman" w:hAnsi="Times New Roman" w:cs="Times New Roman"/>
          <w:sz w:val="24"/>
          <w:szCs w:val="24"/>
          <w:lang w:val="en-GB" w:eastAsia="cs-CZ"/>
        </w:rPr>
        <w:t xml:space="preserve">limits the possibility of disbursement of funds and benefits from the </w:t>
      </w:r>
      <w:r w:rsidRPr="00FA1502" w:rsidR="008A2FD6">
        <w:rPr>
          <w:rFonts w:ascii="Times New Roman" w:eastAsia="Times New Roman" w:hAnsi="Times New Roman" w:cs="Times New Roman"/>
          <w:sz w:val="24"/>
          <w:szCs w:val="24"/>
          <w:lang w:val="en-GB" w:eastAsia="cs-CZ"/>
        </w:rPr>
        <w:t>retirement savings product</w:t>
      </w:r>
      <w:r w:rsidRPr="00FA1502">
        <w:rPr>
          <w:rFonts w:ascii="Times New Roman" w:eastAsia="Times New Roman" w:hAnsi="Times New Roman" w:cs="Times New Roman"/>
          <w:sz w:val="24"/>
          <w:szCs w:val="24"/>
          <w:lang w:val="en-GB" w:eastAsia="cs-CZ"/>
        </w:rPr>
        <w:t xml:space="preserve"> if the product is to be tax-supported. There are four options for the timing of disbursement of funds and benefits, </w:t>
      </w:r>
      <w:r w:rsidRPr="00FA1502" w:rsidR="008A2FD6">
        <w:rPr>
          <w:rFonts w:ascii="Times New Roman" w:eastAsia="Times New Roman" w:hAnsi="Times New Roman" w:cs="Times New Roman"/>
          <w:sz w:val="24"/>
          <w:szCs w:val="24"/>
          <w:lang w:val="en-GB" w:eastAsia="cs-CZ"/>
        </w:rPr>
        <w:t xml:space="preserve">it means </w:t>
      </w:r>
      <w:r w:rsidRPr="00FA1502">
        <w:rPr>
          <w:rFonts w:ascii="Times New Roman" w:eastAsia="Times New Roman" w:hAnsi="Times New Roman" w:cs="Times New Roman"/>
          <w:sz w:val="24"/>
          <w:szCs w:val="24"/>
          <w:lang w:val="en-GB" w:eastAsia="cs-CZ"/>
        </w:rPr>
        <w:t>alternatively, i</w:t>
      </w:r>
      <w:r w:rsidRPr="00FA1502" w:rsidR="008A2FD6">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8A2FD6">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the product may not allow disbur</w:t>
      </w:r>
      <w:r w:rsidRPr="00FA1502" w:rsidR="008A2FD6">
        <w:rPr>
          <w:rFonts w:ascii="Times New Roman" w:eastAsia="Times New Roman" w:hAnsi="Times New Roman" w:cs="Times New Roman"/>
          <w:sz w:val="24"/>
          <w:szCs w:val="24"/>
          <w:lang w:val="en-GB" w:eastAsia="cs-CZ"/>
        </w:rPr>
        <w:t>sement of funds or performance in all of the mentioned</w:t>
      </w:r>
      <w:r w:rsidRPr="00FA1502">
        <w:rPr>
          <w:rFonts w:ascii="Times New Roman" w:eastAsia="Times New Roman" w:hAnsi="Times New Roman" w:cs="Times New Roman"/>
          <w:sz w:val="24"/>
          <w:szCs w:val="24"/>
          <w:lang w:val="en-GB" w:eastAsia="cs-CZ"/>
        </w:rPr>
        <w:t xml:space="preserve"> cases, but never be allowed to be disbursed in a situation other than one of the four. The term 'enabled' has been chosen for its generality, since it is irrelevant whether the conditions for payment of funds or services are regulated directly in the contract establishing the product or are required by law, it is essential </w:t>
      </w:r>
      <w:r w:rsidRPr="00FA1502">
        <w:rPr>
          <w:rFonts w:ascii="Times New Roman" w:eastAsia="Times New Roman" w:hAnsi="Times New Roman" w:cs="Times New Roman"/>
          <w:sz w:val="24"/>
          <w:szCs w:val="24"/>
          <w:lang w:val="en-GB" w:eastAsia="cs-CZ"/>
        </w:rPr>
        <w:t>that the taxpayer cannot obtain payment or services without at least one of the facts set out in points 1 to 4 would arise.</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condition referred to in </w:t>
      </w:r>
      <w:r w:rsidRPr="00FA1502">
        <w:rPr>
          <w:rFonts w:ascii="Times New Roman" w:eastAsia="Times New Roman" w:hAnsi="Times New Roman" w:cs="Times New Roman"/>
          <w:sz w:val="24"/>
          <w:szCs w:val="24"/>
          <w:u w:val="single"/>
          <w:lang w:val="en-GB" w:eastAsia="cs-CZ"/>
        </w:rPr>
        <w:t xml:space="preserve">point 1 </w:t>
      </w:r>
      <w:r w:rsidRPr="00FA1502">
        <w:rPr>
          <w:rFonts w:ascii="Times New Roman" w:eastAsia="Times New Roman" w:hAnsi="Times New Roman" w:cs="Times New Roman"/>
          <w:sz w:val="24"/>
          <w:szCs w:val="24"/>
          <w:lang w:val="en-GB" w:eastAsia="cs-CZ"/>
        </w:rPr>
        <w:t>, i</w:t>
      </w:r>
      <w:r w:rsidRPr="00FA1502" w:rsidR="008A2FD6">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8A2FD6">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the expiry of 60 calendar months from the inception of the product and the attainment of the taxpayer's 60 years, reflects the main purpose of tax support for </w:t>
      </w:r>
      <w:r w:rsidRPr="00FA1502" w:rsidR="00990DAE">
        <w:rPr>
          <w:rFonts w:ascii="Times New Roman" w:eastAsia="Times New Roman" w:hAnsi="Times New Roman" w:cs="Times New Roman"/>
          <w:sz w:val="24"/>
          <w:szCs w:val="24"/>
          <w:lang w:val="en-GB" w:eastAsia="cs-CZ"/>
        </w:rPr>
        <w:t>retirement savings products</w:t>
      </w:r>
      <w:r w:rsidRPr="00FA1502">
        <w:rPr>
          <w:rFonts w:ascii="Times New Roman" w:eastAsia="Times New Roman" w:hAnsi="Times New Roman" w:cs="Times New Roman"/>
          <w:sz w:val="24"/>
          <w:szCs w:val="24"/>
          <w:lang w:val="en-GB" w:eastAsia="cs-CZ"/>
        </w:rPr>
        <w:t xml:space="preserve">. Taxpayers are encouraged to postpone part of their disposable income for a period when their earning capacity is likely </w:t>
      </w:r>
      <w:r w:rsidRPr="00FA1502" w:rsidR="008A2FD6">
        <w:rPr>
          <w:rFonts w:ascii="Times New Roman" w:eastAsia="Times New Roman" w:hAnsi="Times New Roman" w:cs="Times New Roman"/>
          <w:sz w:val="24"/>
          <w:szCs w:val="24"/>
          <w:lang w:val="en-GB" w:eastAsia="cs-CZ"/>
        </w:rPr>
        <w:t>to be reduced</w:t>
      </w:r>
      <w:r w:rsidRPr="00FA1502">
        <w:rPr>
          <w:rFonts w:ascii="Times New Roman" w:eastAsia="Times New Roman" w:hAnsi="Times New Roman" w:cs="Times New Roman"/>
          <w:sz w:val="24"/>
          <w:szCs w:val="24"/>
          <w:lang w:val="en-GB" w:eastAsia="cs-CZ"/>
        </w:rPr>
        <w:t>, i</w:t>
      </w:r>
      <w:r w:rsidRPr="00FA1502" w:rsidR="008A2FD6">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8A2FD6">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after the age of 60, and at the same time it is desirable to start preparing for this phase of life in advance, that is, at least 60 calendar months. In the case of supplementary pension savings, however, it is possible to draw benefits eve</w:t>
      </w:r>
      <w:r w:rsidRPr="00FA1502" w:rsidR="008A2FD6">
        <w:rPr>
          <w:rFonts w:ascii="Times New Roman" w:eastAsia="Times New Roman" w:hAnsi="Times New Roman" w:cs="Times New Roman"/>
          <w:sz w:val="24"/>
          <w:szCs w:val="24"/>
          <w:lang w:val="en-GB" w:eastAsia="cs-CZ"/>
        </w:rPr>
        <w:t>n before reaching the age of 60</w:t>
      </w:r>
      <w:r w:rsidRPr="00FA1502">
        <w:rPr>
          <w:rFonts w:ascii="Times New Roman" w:eastAsia="Times New Roman" w:hAnsi="Times New Roman" w:cs="Times New Roman"/>
          <w:sz w:val="24"/>
          <w:szCs w:val="24"/>
          <w:lang w:val="en-GB" w:eastAsia="cs-CZ"/>
        </w:rPr>
        <w:t xml:space="preserve">, at the age of </w:t>
      </w:r>
      <w:r w:rsidRPr="00FA1502" w:rsidR="008A2FD6">
        <w:rPr>
          <w:rFonts w:ascii="Times New Roman" w:eastAsia="Times New Roman" w:hAnsi="Times New Roman" w:cs="Times New Roman"/>
          <w:sz w:val="24"/>
          <w:szCs w:val="24"/>
          <w:lang w:val="en-GB" w:eastAsia="cs-CZ"/>
        </w:rPr>
        <w:t>5 years lower than is necessary for the entitlement to retirement</w:t>
      </w:r>
      <w:r w:rsidRPr="00FA1502">
        <w:rPr>
          <w:rFonts w:ascii="Times New Roman" w:eastAsia="Times New Roman" w:hAnsi="Times New Roman" w:cs="Times New Roman"/>
          <w:sz w:val="24"/>
          <w:szCs w:val="24"/>
          <w:lang w:val="en-GB" w:eastAsia="cs-CZ"/>
        </w:rPr>
        <w:t xml:space="preserve"> pension under Act No. 155/1995 Coll. </w:t>
      </w:r>
      <w:r w:rsidRPr="00FA1502" w:rsidR="0019042E">
        <w:rPr>
          <w:rFonts w:ascii="Times New Roman" w:eastAsia="Times New Roman" w:hAnsi="Times New Roman" w:cs="Times New Roman"/>
          <w:sz w:val="24"/>
          <w:szCs w:val="24"/>
          <w:lang w:val="en-GB" w:eastAsia="cs-CZ"/>
        </w:rPr>
        <w:t>on Pension Insurance, as amended, see Section 22 (4) and Section 23 (6) of the ZDP</w:t>
      </w:r>
      <w:r w:rsidRPr="00FA1502">
        <w:rPr>
          <w:rFonts w:ascii="Times New Roman" w:eastAsia="Times New Roman" w:hAnsi="Times New Roman" w:cs="Times New Roman"/>
          <w:sz w:val="24"/>
          <w:szCs w:val="24"/>
          <w:lang w:val="en-GB" w:eastAsia="cs-CZ"/>
        </w:rPr>
        <w:t>, the so-called pre-retirement</w:t>
      </w:r>
      <w:r w:rsidRPr="00FA1502" w:rsidR="0019042E">
        <w:rPr>
          <w:rFonts w:ascii="Times New Roman" w:eastAsia="Times New Roman" w:hAnsi="Times New Roman" w:cs="Times New Roman"/>
          <w:sz w:val="24"/>
          <w:szCs w:val="24"/>
          <w:lang w:val="en-GB" w:eastAsia="cs-CZ"/>
        </w:rPr>
        <w:t xml:space="preserve"> pension</w:t>
      </w:r>
      <w:r w:rsidRPr="00FA1502">
        <w:rPr>
          <w:rFonts w:ascii="Times New Roman" w:eastAsia="Times New Roman" w:hAnsi="Times New Roman" w:cs="Times New Roman"/>
          <w:sz w:val="24"/>
          <w:szCs w:val="24"/>
          <w:lang w:val="en-GB" w:eastAsia="cs-CZ"/>
        </w:rPr>
        <w:t>. This sets a special rule for this product, i</w:t>
      </w:r>
      <w:r w:rsidRPr="00FA1502" w:rsidR="0019042E">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19042E">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even in such a case, the supplementary pension insurance is consider</w:t>
      </w:r>
      <w:r w:rsidRPr="00FA1502" w:rsidR="0019042E">
        <w:rPr>
          <w:rFonts w:ascii="Times New Roman" w:eastAsia="Times New Roman" w:hAnsi="Times New Roman" w:cs="Times New Roman"/>
          <w:sz w:val="24"/>
          <w:szCs w:val="24"/>
          <w:lang w:val="en-GB" w:eastAsia="cs-CZ"/>
        </w:rPr>
        <w:t>ed to be a tax-supported retirement</w:t>
      </w:r>
      <w:r w:rsidRPr="00FA1502">
        <w:rPr>
          <w:rFonts w:ascii="Times New Roman" w:eastAsia="Times New Roman" w:hAnsi="Times New Roman" w:cs="Times New Roman"/>
          <w:sz w:val="24"/>
          <w:szCs w:val="24"/>
          <w:lang w:val="en-GB" w:eastAsia="cs-CZ"/>
        </w:rPr>
        <w:t xml:space="preserve"> savings product.</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 xml:space="preserve">Point 2 </w:t>
      </w:r>
      <w:r w:rsidRPr="00FA1502">
        <w:rPr>
          <w:rFonts w:ascii="Times New Roman" w:eastAsia="Times New Roman" w:hAnsi="Times New Roman" w:cs="Times New Roman"/>
          <w:sz w:val="24"/>
          <w:szCs w:val="24"/>
          <w:lang w:val="en-GB" w:eastAsia="cs-CZ"/>
        </w:rPr>
        <w:t xml:space="preserve">supplements point 1 as regards situations where the taxpayer's earning capacity is significantly reduced, namely that the taxpayer becomes disabled in the third instance. In this case, the disbursement of funds or benefits is not conditional on the product's duration, since the occurrence of third-degree </w:t>
      </w:r>
      <w:r w:rsidRPr="00FA1502" w:rsidR="0019042E">
        <w:rPr>
          <w:rFonts w:ascii="Times New Roman" w:eastAsia="Times New Roman" w:hAnsi="Times New Roman" w:cs="Times New Roman"/>
          <w:sz w:val="24"/>
          <w:szCs w:val="24"/>
          <w:lang w:val="en-GB" w:eastAsia="cs-CZ"/>
        </w:rPr>
        <w:t xml:space="preserve">of </w:t>
      </w:r>
      <w:r w:rsidRPr="00FA1502">
        <w:rPr>
          <w:rFonts w:ascii="Times New Roman" w:eastAsia="Times New Roman" w:hAnsi="Times New Roman" w:cs="Times New Roman"/>
          <w:sz w:val="24"/>
          <w:szCs w:val="24"/>
          <w:lang w:val="en-GB" w:eastAsia="cs-CZ"/>
        </w:rPr>
        <w:t>invalidity is an unforeseen and unforeseeable fact and is not intended to limit the taxpayer's tax advantages because it did not last long enough time. Payment of funds or performance of the invalidity taxpayer and in the third stage and leads the obligation to repay tax support, al</w:t>
      </w:r>
      <w:r w:rsidRPr="00FA1502" w:rsidR="007D54B3">
        <w:rPr>
          <w:rFonts w:ascii="Times New Roman" w:eastAsia="Times New Roman" w:hAnsi="Times New Roman" w:cs="Times New Roman"/>
          <w:sz w:val="24"/>
          <w:szCs w:val="24"/>
          <w:lang w:val="en-GB" w:eastAsia="cs-CZ"/>
        </w:rPr>
        <w:t>though the condition "the 60 calendar months, 60 years of age" is not met,</w:t>
      </w:r>
      <w:r w:rsidRPr="00FA1502">
        <w:rPr>
          <w:rFonts w:ascii="Times New Roman" w:eastAsia="Times New Roman" w:hAnsi="Times New Roman" w:cs="Times New Roman"/>
          <w:sz w:val="24"/>
          <w:szCs w:val="24"/>
          <w:lang w:val="en-GB" w:eastAsia="cs-CZ"/>
        </w:rPr>
        <w:t xml:space="preserve"> s</w:t>
      </w:r>
      <w:r w:rsidRPr="00FA1502" w:rsidR="007D54B3">
        <w:rPr>
          <w:rFonts w:ascii="Times New Roman" w:eastAsia="Times New Roman" w:hAnsi="Times New Roman" w:cs="Times New Roman"/>
          <w:sz w:val="24"/>
          <w:szCs w:val="24"/>
          <w:lang w:val="en-GB" w:eastAsia="cs-CZ"/>
        </w:rPr>
        <w:t>ee paragraph 4 (a).</w:t>
      </w:r>
      <w:r w:rsidRPr="00FA1502">
        <w:rPr>
          <w:rFonts w:ascii="Times New Roman" w:eastAsia="Times New Roman" w:hAnsi="Times New Roman" w:cs="Times New Roman"/>
          <w:sz w:val="24"/>
          <w:szCs w:val="24"/>
          <w:lang w:val="en-GB" w:eastAsia="cs-CZ"/>
        </w:rPr>
        <w:t>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 xml:space="preserve">Points 3 and 4 </w:t>
      </w:r>
      <w:r w:rsidRPr="00FA1502">
        <w:rPr>
          <w:rFonts w:ascii="Times New Roman" w:eastAsia="Times New Roman" w:hAnsi="Times New Roman" w:cs="Times New Roman"/>
          <w:sz w:val="24"/>
          <w:szCs w:val="24"/>
          <w:lang w:val="en-GB" w:eastAsia="cs-CZ"/>
        </w:rPr>
        <w:t>cover cases of disbursement of funds and services</w:t>
      </w:r>
      <w:r w:rsidRPr="00FA1502" w:rsidR="007D54B3">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which do not correspond to the pu</w:t>
      </w:r>
      <w:r w:rsidRPr="00FA1502" w:rsidR="007D54B3">
        <w:rPr>
          <w:rFonts w:ascii="Times New Roman" w:eastAsia="Times New Roman" w:hAnsi="Times New Roman" w:cs="Times New Roman"/>
          <w:sz w:val="24"/>
          <w:szCs w:val="24"/>
          <w:lang w:val="en-GB" w:eastAsia="cs-CZ"/>
        </w:rPr>
        <w:t>rpose of tax support for retirement</w:t>
      </w:r>
      <w:r w:rsidRPr="00FA1502">
        <w:rPr>
          <w:rFonts w:ascii="Times New Roman" w:eastAsia="Times New Roman" w:hAnsi="Times New Roman" w:cs="Times New Roman"/>
          <w:sz w:val="24"/>
          <w:szCs w:val="24"/>
          <w:lang w:val="en-GB" w:eastAsia="cs-CZ"/>
        </w:rPr>
        <w:t xml:space="preserve"> savings products</w:t>
      </w:r>
      <w:r w:rsidRPr="00FA1502" w:rsidR="007D54B3">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t>
      </w:r>
      <w:r w:rsidRPr="00FA1502" w:rsidR="007D54B3">
        <w:rPr>
          <w:rFonts w:ascii="Times New Roman" w:eastAsia="Times New Roman" w:hAnsi="Times New Roman" w:cs="Times New Roman"/>
          <w:sz w:val="24"/>
          <w:szCs w:val="24"/>
          <w:lang w:val="en-GB" w:eastAsia="cs-CZ"/>
        </w:rPr>
        <w:t>but are allowed for each retirement</w:t>
      </w:r>
      <w:r w:rsidRPr="00FA1502">
        <w:rPr>
          <w:rFonts w:ascii="Times New Roman" w:eastAsia="Times New Roman" w:hAnsi="Times New Roman" w:cs="Times New Roman"/>
          <w:sz w:val="24"/>
          <w:szCs w:val="24"/>
          <w:lang w:val="en-GB" w:eastAsia="cs-CZ"/>
        </w:rPr>
        <w:t xml:space="preserve"> savings product and must therefore be included in the provision; if it were established that only the payable products referred to in points 1 and 2 were t</w:t>
      </w:r>
      <w:r w:rsidRPr="00FA1502" w:rsidR="007D54B3">
        <w:rPr>
          <w:rFonts w:ascii="Times New Roman" w:eastAsia="Times New Roman" w:hAnsi="Times New Roman" w:cs="Times New Roman"/>
          <w:sz w:val="24"/>
          <w:szCs w:val="24"/>
          <w:lang w:val="en-GB" w:eastAsia="cs-CZ"/>
        </w:rPr>
        <w:t>axable, no product would fulfil</w:t>
      </w:r>
      <w:r w:rsidRPr="00FA1502">
        <w:rPr>
          <w:rFonts w:ascii="Times New Roman" w:eastAsia="Times New Roman" w:hAnsi="Times New Roman" w:cs="Times New Roman"/>
          <w:sz w:val="24"/>
          <w:szCs w:val="24"/>
          <w:lang w:val="en-GB" w:eastAsia="cs-CZ"/>
        </w:rPr>
        <w:t xml:space="preserve"> the condition of tax aid.</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According to </w:t>
      </w:r>
      <w:r w:rsidRPr="00FA1502">
        <w:rPr>
          <w:rFonts w:ascii="Times New Roman" w:eastAsia="Times New Roman" w:hAnsi="Times New Roman" w:cs="Times New Roman"/>
          <w:sz w:val="24"/>
          <w:szCs w:val="24"/>
          <w:u w:val="single"/>
          <w:lang w:val="en-GB" w:eastAsia="cs-CZ"/>
        </w:rPr>
        <w:t xml:space="preserve">point 3, </w:t>
      </w:r>
      <w:r w:rsidRPr="00FA1502">
        <w:rPr>
          <w:rFonts w:ascii="Times New Roman" w:eastAsia="Times New Roman" w:hAnsi="Times New Roman" w:cs="Times New Roman"/>
          <w:sz w:val="24"/>
          <w:szCs w:val="24"/>
          <w:lang w:val="en-GB" w:eastAsia="cs-CZ"/>
        </w:rPr>
        <w:t>this is the case where the taxpayer dies before the disbursement of funds or benefits from</w:t>
      </w:r>
      <w:r w:rsidRPr="00FA1502" w:rsidR="007D54B3">
        <w:rPr>
          <w:rFonts w:ascii="Times New Roman" w:eastAsia="Times New Roman" w:hAnsi="Times New Roman" w:cs="Times New Roman"/>
          <w:sz w:val="24"/>
          <w:szCs w:val="24"/>
          <w:lang w:val="en-GB" w:eastAsia="cs-CZ"/>
        </w:rPr>
        <w:t xml:space="preserve"> the retirement savings product. In such a case</w:t>
      </w:r>
      <w:r w:rsidRPr="00FA1502">
        <w:rPr>
          <w:rFonts w:ascii="Times New Roman" w:eastAsia="Times New Roman" w:hAnsi="Times New Roman" w:cs="Times New Roman"/>
          <w:sz w:val="24"/>
          <w:szCs w:val="24"/>
          <w:lang w:val="en-GB" w:eastAsia="cs-CZ"/>
        </w:rPr>
        <w:t>, in principle (</w:t>
      </w:r>
      <w:r w:rsidRPr="00FA1502" w:rsidR="007D54B3">
        <w:rPr>
          <w:rFonts w:ascii="Times New Roman" w:eastAsia="Times New Roman" w:hAnsi="Times New Roman" w:cs="Times New Roman"/>
          <w:sz w:val="24"/>
          <w:szCs w:val="24"/>
          <w:lang w:val="en-GB" w:eastAsia="cs-CZ"/>
        </w:rPr>
        <w:t>e</w:t>
      </w:r>
      <w:r w:rsidRPr="00FA1502">
        <w:rPr>
          <w:rFonts w:ascii="Times New Roman" w:eastAsia="Times New Roman" w:hAnsi="Times New Roman" w:cs="Times New Roman"/>
          <w:sz w:val="24"/>
          <w:szCs w:val="24"/>
          <w:lang w:val="en-GB" w:eastAsia="cs-CZ"/>
        </w:rPr>
        <w:t>xcept in cases</w:t>
      </w:r>
      <w:r w:rsidRPr="00FA1502" w:rsidR="007D54B3">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where the taxpayer managed to save only so little money that there is nothing to be paid at the time of his death), the funds or benefits are paid t</w:t>
      </w:r>
      <w:r w:rsidRPr="00FA1502" w:rsidR="007D54B3">
        <w:rPr>
          <w:rFonts w:ascii="Times New Roman" w:eastAsia="Times New Roman" w:hAnsi="Times New Roman" w:cs="Times New Roman"/>
          <w:sz w:val="24"/>
          <w:szCs w:val="24"/>
          <w:lang w:val="en-GB" w:eastAsia="cs-CZ"/>
        </w:rPr>
        <w:t>o a third party, either one-off</w:t>
      </w:r>
      <w:r w:rsidRPr="00FA1502">
        <w:rPr>
          <w:rFonts w:ascii="Times New Roman" w:eastAsia="Times New Roman" w:hAnsi="Times New Roman" w:cs="Times New Roman"/>
          <w:sz w:val="24"/>
          <w:szCs w:val="24"/>
          <w:lang w:val="en-GB" w:eastAsia="cs-CZ"/>
        </w:rPr>
        <w:t xml:space="preserve"> or long term, in the form of a survivor 's pension from supplementary</w:t>
      </w:r>
      <w:r w:rsidRPr="00FA1502" w:rsidR="007D54B3">
        <w:rPr>
          <w:rFonts w:ascii="Times New Roman" w:eastAsia="Times New Roman" w:hAnsi="Times New Roman" w:cs="Times New Roman"/>
          <w:sz w:val="24"/>
          <w:szCs w:val="24"/>
          <w:lang w:val="en-GB" w:eastAsia="cs-CZ"/>
        </w:rPr>
        <w:t xml:space="preserve"> pension insurance. Such a disbursement</w:t>
      </w:r>
      <w:r w:rsidRPr="00FA1502">
        <w:rPr>
          <w:rFonts w:ascii="Times New Roman" w:eastAsia="Times New Roman" w:hAnsi="Times New Roman" w:cs="Times New Roman"/>
          <w:sz w:val="24"/>
          <w:szCs w:val="24"/>
          <w:lang w:val="en-GB" w:eastAsia="cs-CZ"/>
        </w:rPr>
        <w:t xml:space="preserve"> of funds or performance as well as the obligations do not support a tax return, even if the </w:t>
      </w:r>
      <w:r w:rsidRPr="00FA1502" w:rsidR="007D54B3">
        <w:rPr>
          <w:rFonts w:ascii="Times New Roman" w:eastAsia="Times New Roman" w:hAnsi="Times New Roman" w:cs="Times New Roman"/>
          <w:sz w:val="24"/>
          <w:szCs w:val="24"/>
          <w:lang w:val="en-GB" w:eastAsia="cs-CZ"/>
        </w:rPr>
        <w:t xml:space="preserve">"60 calendar then shakes months, 60 years of age" </w:t>
      </w:r>
      <w:r w:rsidRPr="00FA1502">
        <w:rPr>
          <w:rFonts w:ascii="Times New Roman" w:eastAsia="Times New Roman" w:hAnsi="Times New Roman" w:cs="Times New Roman"/>
          <w:sz w:val="24"/>
          <w:szCs w:val="24"/>
          <w:lang w:val="en-GB" w:eastAsia="cs-CZ"/>
        </w:rPr>
        <w:t>condition has not been respected, s</w:t>
      </w:r>
      <w:r w:rsidRPr="00FA1502" w:rsidR="007D54B3">
        <w:rPr>
          <w:rFonts w:ascii="Times New Roman" w:eastAsia="Times New Roman" w:hAnsi="Times New Roman" w:cs="Times New Roman"/>
          <w:sz w:val="24"/>
          <w:szCs w:val="24"/>
          <w:lang w:val="en-GB" w:eastAsia="cs-CZ"/>
        </w:rPr>
        <w:t>ee paragraph 4 (a)</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 xml:space="preserve">Point 4 </w:t>
      </w:r>
      <w:r w:rsidRPr="00FA1502">
        <w:rPr>
          <w:rFonts w:ascii="Times New Roman" w:eastAsia="Times New Roman" w:hAnsi="Times New Roman" w:cs="Times New Roman"/>
          <w:sz w:val="24"/>
          <w:szCs w:val="24"/>
          <w:lang w:val="en-GB" w:eastAsia="cs-CZ"/>
        </w:rPr>
        <w:t>concerns the situation when</w:t>
      </w:r>
      <w:r w:rsidRPr="00FA1502" w:rsidR="007D54B3">
        <w:rPr>
          <w:rFonts w:ascii="Times New Roman" w:eastAsia="Times New Roman" w:hAnsi="Times New Roman" w:cs="Times New Roman"/>
          <w:sz w:val="24"/>
          <w:szCs w:val="24"/>
          <w:lang w:val="en-GB" w:eastAsia="cs-CZ"/>
        </w:rPr>
        <w:t xml:space="preserve"> the retirement savings product</w:t>
      </w:r>
      <w:r w:rsidRPr="00FA1502">
        <w:rPr>
          <w:rFonts w:ascii="Times New Roman" w:eastAsia="Times New Roman" w:hAnsi="Times New Roman" w:cs="Times New Roman"/>
          <w:sz w:val="24"/>
          <w:szCs w:val="24"/>
          <w:lang w:val="en-GB" w:eastAsia="cs-CZ"/>
        </w:rPr>
        <w:t xml:space="preserve"> ceases. Of course, the taxpayer always has the right to terminate the product, i</w:t>
      </w:r>
      <w:r w:rsidRPr="00FA1502" w:rsidR="007D54B3">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7D54B3">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to terminate </w:t>
      </w:r>
      <w:r w:rsidRPr="00FA1502" w:rsidR="007D54B3">
        <w:rPr>
          <w:rFonts w:ascii="Times New Roman" w:eastAsia="Times New Roman" w:hAnsi="Times New Roman" w:cs="Times New Roman"/>
          <w:sz w:val="24"/>
          <w:szCs w:val="24"/>
          <w:lang w:val="en-GB" w:eastAsia="cs-CZ"/>
        </w:rPr>
        <w:t>the contract that established this product</w:t>
      </w:r>
      <w:r w:rsidRPr="00FA1502">
        <w:rPr>
          <w:rFonts w:ascii="Times New Roman" w:eastAsia="Times New Roman" w:hAnsi="Times New Roman" w:cs="Times New Roman"/>
          <w:sz w:val="24"/>
          <w:szCs w:val="24"/>
          <w:lang w:val="en-GB" w:eastAsia="cs-CZ"/>
        </w:rPr>
        <w:t xml:space="preserve">. In this case, he or she usually has the right to receive savings , typically the right to surrender </w:t>
      </w:r>
      <w:r w:rsidRPr="00FA1502" w:rsidR="008237C6">
        <w:rPr>
          <w:rFonts w:ascii="Times New Roman" w:eastAsia="Times New Roman" w:hAnsi="Times New Roman" w:cs="Times New Roman"/>
          <w:sz w:val="24"/>
          <w:szCs w:val="24"/>
          <w:lang w:val="en-GB" w:eastAsia="cs-CZ"/>
        </w:rPr>
        <w:t xml:space="preserve">money </w:t>
      </w:r>
      <w:r w:rsidRPr="00FA1502">
        <w:rPr>
          <w:rFonts w:ascii="Times New Roman" w:eastAsia="Times New Roman" w:hAnsi="Times New Roman" w:cs="Times New Roman"/>
          <w:sz w:val="24"/>
          <w:szCs w:val="24"/>
          <w:lang w:val="en-GB" w:eastAsia="cs-CZ"/>
        </w:rPr>
        <w:t>in the case of supplementary pension insurance or supplementary pension savings and to the surrender</w:t>
      </w:r>
      <w:r w:rsidRPr="00FA1502" w:rsidR="008237C6">
        <w:rPr>
          <w:rFonts w:ascii="Times New Roman" w:eastAsia="Times New Roman" w:hAnsi="Times New Roman" w:cs="Times New Roman"/>
          <w:sz w:val="24"/>
          <w:szCs w:val="24"/>
          <w:lang w:val="en-GB" w:eastAsia="cs-CZ"/>
        </w:rPr>
        <w:t xml:space="preserve"> money</w:t>
      </w:r>
      <w:r w:rsidRPr="00FA1502">
        <w:rPr>
          <w:rFonts w:ascii="Times New Roman" w:eastAsia="Times New Roman" w:hAnsi="Times New Roman" w:cs="Times New Roman"/>
          <w:sz w:val="24"/>
          <w:szCs w:val="24"/>
          <w:lang w:val="en-GB" w:eastAsia="cs-CZ"/>
        </w:rPr>
        <w:t xml:space="preserve"> in the case of private life insurance; the exception is in particular the termination of the supplementary pension insurance contract </w:t>
      </w:r>
      <w:r w:rsidRPr="00FA1502" w:rsidR="008237C6">
        <w:rPr>
          <w:rFonts w:ascii="Times New Roman" w:eastAsia="Times New Roman" w:hAnsi="Times New Roman" w:cs="Times New Roman"/>
          <w:sz w:val="24"/>
          <w:szCs w:val="24"/>
          <w:lang w:val="en-GB" w:eastAsia="cs-CZ"/>
        </w:rPr>
        <w:t>within 12 calendar months, see Section 23 (1) of the Act on S</w:t>
      </w:r>
      <w:r w:rsidRPr="00FA1502">
        <w:rPr>
          <w:rFonts w:ascii="Times New Roman" w:eastAsia="Times New Roman" w:hAnsi="Times New Roman" w:cs="Times New Roman"/>
          <w:sz w:val="24"/>
          <w:szCs w:val="24"/>
          <w:lang w:val="en-GB" w:eastAsia="cs-CZ"/>
        </w:rPr>
        <w:t>uppl</w:t>
      </w:r>
      <w:r w:rsidRPr="00FA1502" w:rsidR="008237C6">
        <w:rPr>
          <w:rFonts w:ascii="Times New Roman" w:eastAsia="Times New Roman" w:hAnsi="Times New Roman" w:cs="Times New Roman"/>
          <w:sz w:val="24"/>
          <w:szCs w:val="24"/>
          <w:lang w:val="en-GB" w:eastAsia="cs-CZ"/>
        </w:rPr>
        <w:t>ementary P</w:t>
      </w:r>
      <w:r w:rsidRPr="00FA1502">
        <w:rPr>
          <w:rFonts w:ascii="Times New Roman" w:eastAsia="Times New Roman" w:hAnsi="Times New Roman" w:cs="Times New Roman"/>
          <w:sz w:val="24"/>
          <w:szCs w:val="24"/>
          <w:lang w:val="en-GB" w:eastAsia="cs-CZ"/>
        </w:rPr>
        <w:t xml:space="preserve">ension insurance, or supplementary pension savings </w:t>
      </w:r>
      <w:r w:rsidRPr="00FA1502" w:rsidR="008237C6">
        <w:rPr>
          <w:rFonts w:ascii="Times New Roman" w:eastAsia="Times New Roman" w:hAnsi="Times New Roman" w:cs="Times New Roman"/>
          <w:sz w:val="24"/>
          <w:szCs w:val="24"/>
          <w:lang w:val="en-GB" w:eastAsia="cs-CZ"/>
        </w:rPr>
        <w:t>within 24 calendar months, see Section 25</w:t>
      </w:r>
      <w:r w:rsidRPr="00FA1502">
        <w:rPr>
          <w:rFonts w:ascii="Times New Roman" w:eastAsia="Times New Roman" w:hAnsi="Times New Roman" w:cs="Times New Roman"/>
          <w:sz w:val="24"/>
          <w:szCs w:val="24"/>
          <w:lang w:val="en-GB" w:eastAsia="cs-CZ"/>
        </w:rPr>
        <w:t xml:space="preserve"> </w:t>
      </w:r>
      <w:r w:rsidRPr="00FA1502" w:rsidR="008237C6">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1</w:t>
      </w:r>
      <w:r w:rsidRPr="00FA1502" w:rsidR="008237C6">
        <w:rPr>
          <w:rFonts w:ascii="Times New Roman" w:eastAsia="Times New Roman" w:hAnsi="Times New Roman" w:cs="Times New Roman"/>
          <w:sz w:val="24"/>
          <w:szCs w:val="24"/>
          <w:lang w:val="en-GB" w:eastAsia="cs-CZ"/>
        </w:rPr>
        <w:t>) of the ZDS . The expiration of a retirement</w:t>
      </w:r>
      <w:r w:rsidRPr="00FA1502">
        <w:rPr>
          <w:rFonts w:ascii="Times New Roman" w:eastAsia="Times New Roman" w:hAnsi="Times New Roman" w:cs="Times New Roman"/>
          <w:sz w:val="24"/>
          <w:szCs w:val="24"/>
          <w:lang w:val="en-GB" w:eastAsia="cs-CZ"/>
        </w:rPr>
        <w:t xml:space="preserve"> savings product will generally result in an obligation to repay the tax aid, see paragraphs 4 and 5, as the taxpayer in this</w:t>
      </w:r>
      <w:r w:rsidRPr="00FA1502" w:rsidR="008237C6">
        <w:rPr>
          <w:rFonts w:ascii="Times New Roman" w:eastAsia="Times New Roman" w:hAnsi="Times New Roman" w:cs="Times New Roman"/>
          <w:sz w:val="24"/>
          <w:szCs w:val="24"/>
          <w:lang w:val="en-GB" w:eastAsia="cs-CZ"/>
        </w:rPr>
        <w:t xml:space="preserve"> case ceases to save for the retirement</w:t>
      </w:r>
      <w:r w:rsidRPr="00FA1502">
        <w:rPr>
          <w:rFonts w:ascii="Times New Roman" w:eastAsia="Times New Roman" w:hAnsi="Times New Roman" w:cs="Times New Roman"/>
          <w:sz w:val="24"/>
          <w:szCs w:val="24"/>
          <w:lang w:val="en-GB" w:eastAsia="cs-CZ"/>
        </w:rPr>
        <w:t xml:space="preserve"> </w:t>
      </w:r>
      <w:r w:rsidRPr="00FA1502" w:rsidR="008237C6">
        <w:rPr>
          <w:rFonts w:ascii="Times New Roman" w:eastAsia="Times New Roman" w:hAnsi="Times New Roman" w:cs="Times New Roman"/>
          <w:sz w:val="24"/>
          <w:szCs w:val="24"/>
          <w:lang w:val="en-GB" w:eastAsia="cs-CZ"/>
        </w:rPr>
        <w:t>and gets back</w:t>
      </w:r>
      <w:r w:rsidRPr="00FA1502">
        <w:rPr>
          <w:rFonts w:ascii="Times New Roman" w:eastAsia="Times New Roman" w:hAnsi="Times New Roman" w:cs="Times New Roman"/>
          <w:sz w:val="24"/>
          <w:szCs w:val="24"/>
          <w:lang w:val="en-GB" w:eastAsia="cs-CZ"/>
        </w:rPr>
        <w:t xml:space="preserve"> the saved funds, thus negating the purpose of the product's tax support.</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 xml:space="preserve">Paragraph 2 </w:t>
      </w:r>
      <w:r w:rsidRPr="00FA1502">
        <w:rPr>
          <w:rFonts w:ascii="Times New Roman" w:eastAsia="Times New Roman" w:hAnsi="Times New Roman" w:cs="Times New Roman"/>
          <w:sz w:val="24"/>
          <w:szCs w:val="24"/>
          <w:lang w:val="en-GB" w:eastAsia="cs-CZ"/>
        </w:rPr>
        <w:t>supplements the conditions of tax support for</w:t>
      </w:r>
      <w:r w:rsidRPr="00FA1502" w:rsidR="00CE7CE7">
        <w:rPr>
          <w:rFonts w:ascii="Times New Roman" w:eastAsia="Times New Roman" w:hAnsi="Times New Roman" w:cs="Times New Roman"/>
          <w:sz w:val="24"/>
          <w:szCs w:val="24"/>
          <w:lang w:val="en-GB" w:eastAsia="cs-CZ"/>
        </w:rPr>
        <w:t xml:space="preserve"> a retirement savings</w:t>
      </w:r>
      <w:r w:rsidRPr="00FA1502">
        <w:rPr>
          <w:rFonts w:ascii="Times New Roman" w:eastAsia="Times New Roman" w:hAnsi="Times New Roman" w:cs="Times New Roman"/>
          <w:sz w:val="24"/>
          <w:szCs w:val="24"/>
          <w:lang w:val="en-GB" w:eastAsia="cs-CZ"/>
        </w:rPr>
        <w:t xml:space="preserve"> product, and only for the purpose of exempting contributions paid by the employer to the employee's product </w:t>
      </w:r>
      <w:r w:rsidRPr="00FA1502">
        <w:rPr>
          <w:rFonts w:ascii="Times New Roman" w:eastAsia="Times New Roman" w:hAnsi="Times New Roman" w:cs="Times New Roman"/>
          <w:sz w:val="24"/>
          <w:szCs w:val="24"/>
          <w:lang w:val="en-GB" w:eastAsia="cs-CZ"/>
        </w:rPr>
        <w:t>from income tax p</w:t>
      </w:r>
      <w:r w:rsidRPr="00FA1502" w:rsidR="0025339B">
        <w:rPr>
          <w:rFonts w:ascii="Times New Roman" w:eastAsia="Times New Roman" w:hAnsi="Times New Roman" w:cs="Times New Roman"/>
          <w:sz w:val="24"/>
          <w:szCs w:val="24"/>
          <w:lang w:val="en-GB" w:eastAsia="cs-CZ"/>
        </w:rPr>
        <w:t>ursuant to Section 6 (9) (p) of the ZDP. If it was</w:t>
      </w:r>
      <w:r w:rsidRPr="00FA1502">
        <w:rPr>
          <w:rFonts w:ascii="Times New Roman" w:eastAsia="Times New Roman" w:hAnsi="Times New Roman" w:cs="Times New Roman"/>
          <w:sz w:val="24"/>
          <w:szCs w:val="24"/>
          <w:lang w:val="en-GB" w:eastAsia="cs-CZ"/>
        </w:rPr>
        <w:t xml:space="preserve"> agreed or otherwise determined that, in the event of the employee's death, funds or benefits from his savings product would flow to the employer, the employer would potentially contribute to his future income, which is not the intention of tax support. However, the taxpayer may deduct its own </w:t>
      </w:r>
      <w:r w:rsidRPr="00FA1502" w:rsidR="0025339B">
        <w:rPr>
          <w:rFonts w:ascii="Times New Roman" w:eastAsia="Times New Roman" w:hAnsi="Times New Roman" w:cs="Times New Roman"/>
          <w:sz w:val="24"/>
          <w:szCs w:val="24"/>
          <w:lang w:val="en-GB" w:eastAsia="cs-CZ"/>
        </w:rPr>
        <w:t>contributions to such a retirement</w:t>
      </w:r>
      <w:r w:rsidRPr="00FA1502">
        <w:rPr>
          <w:rFonts w:ascii="Times New Roman" w:eastAsia="Times New Roman" w:hAnsi="Times New Roman" w:cs="Times New Roman"/>
          <w:sz w:val="24"/>
          <w:szCs w:val="24"/>
          <w:lang w:val="en-GB" w:eastAsia="cs-CZ"/>
        </w:rPr>
        <w:t xml:space="preserve"> savings product from its tax base pursu</w:t>
      </w:r>
      <w:r w:rsidRPr="00FA1502" w:rsidR="0025339B">
        <w:rPr>
          <w:rFonts w:ascii="Times New Roman" w:eastAsia="Times New Roman" w:hAnsi="Times New Roman" w:cs="Times New Roman"/>
          <w:sz w:val="24"/>
          <w:szCs w:val="24"/>
          <w:lang w:val="en-GB" w:eastAsia="cs-CZ"/>
        </w:rPr>
        <w:t>ant to Section 15 (5) of the ZDP</w:t>
      </w:r>
      <w:r w:rsidRPr="00FA1502">
        <w:rPr>
          <w:rFonts w:ascii="Times New Roman" w:eastAsia="Times New Roman" w:hAnsi="Times New Roman" w:cs="Times New Roman"/>
          <w:sz w:val="24"/>
          <w:szCs w:val="24"/>
          <w:lang w:val="en-GB" w:eastAsia="cs-CZ"/>
        </w:rPr>
        <w:t>.</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 xml:space="preserve">Paragraph 3 </w:t>
      </w:r>
      <w:r w:rsidRPr="00FA1502">
        <w:rPr>
          <w:rFonts w:ascii="Times New Roman" w:eastAsia="Times New Roman" w:hAnsi="Times New Roman" w:cs="Times New Roman"/>
          <w:sz w:val="24"/>
          <w:szCs w:val="24"/>
          <w:lang w:val="en-GB" w:eastAsia="cs-CZ"/>
        </w:rPr>
        <w:t>lays down the obligation for a taxpayer</w:t>
      </w:r>
      <w:r w:rsidRPr="00FA1502" w:rsidR="0025339B">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who is an employee</w:t>
      </w:r>
      <w:r w:rsidRPr="00FA1502" w:rsidR="0025339B">
        <w:rPr>
          <w:rFonts w:ascii="Times New Roman" w:eastAsia="Times New Roman" w:hAnsi="Times New Roman" w:cs="Times New Roman"/>
          <w:sz w:val="24"/>
          <w:szCs w:val="24"/>
          <w:lang w:val="en-GB" w:eastAsia="cs-CZ"/>
        </w:rPr>
        <w:t>, and who receives</w:t>
      </w:r>
      <w:r w:rsidRPr="00FA1502">
        <w:rPr>
          <w:rFonts w:ascii="Times New Roman" w:eastAsia="Times New Roman" w:hAnsi="Times New Roman" w:cs="Times New Roman"/>
          <w:sz w:val="24"/>
          <w:szCs w:val="24"/>
          <w:lang w:val="en-GB" w:eastAsia="cs-CZ"/>
        </w:rPr>
        <w:t xml:space="preserve"> income from employment</w:t>
      </w:r>
      <w:r w:rsidRPr="00FA1502" w:rsidR="0025339B">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to notify his employer</w:t>
      </w:r>
      <w:r w:rsidRPr="00FA1502" w:rsidR="0025339B">
        <w:rPr>
          <w:rFonts w:ascii="Times New Roman" w:eastAsia="Times New Roman" w:hAnsi="Times New Roman" w:cs="Times New Roman"/>
          <w:sz w:val="24"/>
          <w:szCs w:val="24"/>
          <w:lang w:val="en-GB" w:eastAsia="cs-CZ"/>
        </w:rPr>
        <w:t xml:space="preserve"> if his tax-supported retirement</w:t>
      </w:r>
      <w:r w:rsidRPr="00FA1502">
        <w:rPr>
          <w:rFonts w:ascii="Times New Roman" w:eastAsia="Times New Roman" w:hAnsi="Times New Roman" w:cs="Times New Roman"/>
          <w:sz w:val="24"/>
          <w:szCs w:val="24"/>
          <w:lang w:val="en-GB" w:eastAsia="cs-CZ"/>
        </w:rPr>
        <w:t xml:space="preserve"> savings product has ceased to be tax-assisted by the end of the calendar month </w:t>
      </w:r>
      <w:r w:rsidRPr="00FA1502" w:rsidR="0025339B">
        <w:rPr>
          <w:rFonts w:ascii="Times New Roman" w:eastAsia="Times New Roman" w:hAnsi="Times New Roman" w:cs="Times New Roman"/>
          <w:sz w:val="24"/>
          <w:szCs w:val="24"/>
          <w:lang w:val="en-GB" w:eastAsia="cs-CZ"/>
        </w:rPr>
        <w:t>in which it occurred. Retirement</w:t>
      </w:r>
      <w:r w:rsidRPr="00FA1502">
        <w:rPr>
          <w:rFonts w:ascii="Times New Roman" w:eastAsia="Times New Roman" w:hAnsi="Times New Roman" w:cs="Times New Roman"/>
          <w:sz w:val="24"/>
          <w:szCs w:val="24"/>
          <w:lang w:val="en-GB" w:eastAsia="cs-CZ"/>
        </w:rPr>
        <w:t xml:space="preserve"> savings product ceases to be tax-assisted if it no longer meets any of the conditions set out in paragraph 1 or 2. The employer needs this information because it is a payer </w:t>
      </w:r>
      <w:r w:rsidRPr="00FA1502" w:rsidR="00CE5CA7">
        <w:rPr>
          <w:rFonts w:ascii="Times New Roman" w:eastAsia="Times New Roman" w:hAnsi="Times New Roman" w:cs="Times New Roman"/>
          <w:sz w:val="24"/>
          <w:szCs w:val="24"/>
          <w:lang w:val="en-GB" w:eastAsia="cs-CZ"/>
        </w:rPr>
        <w:t xml:space="preserve">of the </w:t>
      </w:r>
      <w:r w:rsidRPr="00FA1502" w:rsidR="002F6E2C">
        <w:rPr>
          <w:rFonts w:ascii="Times New Roman" w:eastAsia="Times New Roman" w:hAnsi="Times New Roman" w:cs="Times New Roman"/>
          <w:sz w:val="24"/>
          <w:szCs w:val="24"/>
          <w:lang w:val="en-GB" w:eastAsia="cs-CZ"/>
        </w:rPr>
        <w:t>income tax from the dependent work of a taxpayer</w:t>
      </w:r>
      <w:r w:rsidRPr="00FA1502">
        <w:rPr>
          <w:rFonts w:ascii="Times New Roman" w:eastAsia="Times New Roman" w:hAnsi="Times New Roman" w:cs="Times New Roman"/>
          <w:sz w:val="24"/>
          <w:szCs w:val="24"/>
          <w:lang w:val="en-GB" w:eastAsia="cs-CZ"/>
        </w:rPr>
        <w:t xml:space="preserve"> and it i</w:t>
      </w:r>
      <w:r w:rsidRPr="00FA1502" w:rsidR="002F6E2C">
        <w:rPr>
          <w:rFonts w:ascii="Times New Roman" w:eastAsia="Times New Roman" w:hAnsi="Times New Roman" w:cs="Times New Roman"/>
          <w:sz w:val="24"/>
          <w:szCs w:val="24"/>
          <w:lang w:val="en-GB" w:eastAsia="cs-CZ"/>
        </w:rPr>
        <w:t>s therefore necessary that the contributions, which</w:t>
      </w:r>
      <w:r w:rsidRPr="00FA1502">
        <w:rPr>
          <w:rFonts w:ascii="Times New Roman" w:eastAsia="Times New Roman" w:hAnsi="Times New Roman" w:cs="Times New Roman"/>
          <w:sz w:val="24"/>
          <w:szCs w:val="24"/>
          <w:lang w:val="en-GB" w:eastAsia="cs-CZ"/>
        </w:rPr>
        <w:t xml:space="preserve"> employees pay for this product, </w:t>
      </w:r>
      <w:r w:rsidRPr="00FA1502" w:rsidR="002F6E2C">
        <w:rPr>
          <w:rFonts w:ascii="Times New Roman" w:eastAsia="Times New Roman" w:hAnsi="Times New Roman" w:cs="Times New Roman"/>
          <w:sz w:val="24"/>
          <w:szCs w:val="24"/>
          <w:lang w:val="en-GB" w:eastAsia="cs-CZ"/>
        </w:rPr>
        <w:t xml:space="preserve">are no longer </w:t>
      </w:r>
      <w:r w:rsidRPr="00FA1502">
        <w:rPr>
          <w:rFonts w:ascii="Times New Roman" w:eastAsia="Times New Roman" w:hAnsi="Times New Roman" w:cs="Times New Roman"/>
          <w:sz w:val="24"/>
          <w:szCs w:val="24"/>
          <w:lang w:val="en-GB" w:eastAsia="cs-CZ"/>
        </w:rPr>
        <w:t>treat</w:t>
      </w:r>
      <w:r w:rsidRPr="00FA1502" w:rsidR="002F6E2C">
        <w:rPr>
          <w:rFonts w:ascii="Times New Roman" w:eastAsia="Times New Roman" w:hAnsi="Times New Roman" w:cs="Times New Roman"/>
          <w:sz w:val="24"/>
          <w:szCs w:val="24"/>
          <w:lang w:val="en-GB" w:eastAsia="cs-CZ"/>
        </w:rPr>
        <w:t>ed as tax exempt pursuant to Section 6 (9) (p) of the ZDP</w:t>
      </w:r>
      <w:r w:rsidRPr="00FA1502">
        <w:rPr>
          <w:rFonts w:ascii="Times New Roman" w:eastAsia="Times New Roman" w:hAnsi="Times New Roman" w:cs="Times New Roman"/>
          <w:sz w:val="24"/>
          <w:szCs w:val="24"/>
          <w:lang w:val="en-GB" w:eastAsia="cs-CZ"/>
        </w:rPr>
        <w:t xml:space="preserve">, but </w:t>
      </w:r>
      <w:r w:rsidRPr="00FA1502" w:rsidR="002F6E2C">
        <w:rPr>
          <w:rFonts w:ascii="Times New Roman" w:eastAsia="Times New Roman" w:hAnsi="Times New Roman" w:cs="Times New Roman"/>
          <w:sz w:val="24"/>
          <w:szCs w:val="24"/>
          <w:lang w:val="en-GB" w:eastAsia="cs-CZ"/>
        </w:rPr>
        <w:t>are included</w:t>
      </w:r>
      <w:r w:rsidRPr="00FA1502">
        <w:rPr>
          <w:rFonts w:ascii="Times New Roman" w:eastAsia="Times New Roman" w:hAnsi="Times New Roman" w:cs="Times New Roman"/>
          <w:sz w:val="24"/>
          <w:szCs w:val="24"/>
          <w:lang w:val="en-GB" w:eastAsia="cs-CZ"/>
        </w:rPr>
        <w:t xml:space="preserve"> in the sub-base of the taxable income of that taxpayer.</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 xml:space="preserve">Paragraph 4 </w:t>
      </w:r>
      <w:r w:rsidRPr="00FA1502">
        <w:rPr>
          <w:rFonts w:ascii="Times New Roman" w:eastAsia="Times New Roman" w:hAnsi="Times New Roman" w:cs="Times New Roman"/>
          <w:sz w:val="24"/>
          <w:szCs w:val="24"/>
          <w:lang w:val="en-GB" w:eastAsia="cs-CZ"/>
        </w:rPr>
        <w:t>defines situations</w:t>
      </w:r>
      <w:r w:rsidRPr="00FA1502" w:rsidR="002F6E2C">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where the taxpayer is obliged to repay the tax aid; the method of repayment of tax support is specified in paragraph 5. The basic prerequisite for the occurrence of the obligation to repay tax support is that 60 calendar months have not elapsed since the inception of</w:t>
      </w:r>
      <w:r w:rsidRPr="00FA1502" w:rsidR="00785A86">
        <w:rPr>
          <w:rFonts w:ascii="Times New Roman" w:eastAsia="Times New Roman" w:hAnsi="Times New Roman" w:cs="Times New Roman"/>
          <w:sz w:val="24"/>
          <w:szCs w:val="24"/>
          <w:lang w:val="en-GB" w:eastAsia="cs-CZ"/>
        </w:rPr>
        <w:t xml:space="preserve"> the retirement savings product</w:t>
      </w:r>
      <w:r w:rsidRPr="00FA1502">
        <w:rPr>
          <w:rFonts w:ascii="Times New Roman" w:eastAsia="Times New Roman" w:hAnsi="Times New Roman" w:cs="Times New Roman"/>
          <w:sz w:val="24"/>
          <w:szCs w:val="24"/>
          <w:lang w:val="en-GB" w:eastAsia="cs-CZ"/>
        </w:rPr>
        <w:t xml:space="preserve"> or </w:t>
      </w:r>
      <w:r w:rsidRPr="00FA1502" w:rsidR="00785A86">
        <w:rPr>
          <w:rFonts w:ascii="Times New Roman" w:eastAsia="Times New Roman" w:hAnsi="Times New Roman" w:cs="Times New Roman"/>
          <w:sz w:val="24"/>
          <w:szCs w:val="24"/>
          <w:lang w:val="en-GB" w:eastAsia="cs-CZ"/>
        </w:rPr>
        <w:t>a calendar ye</w:t>
      </w:r>
      <w:r w:rsidRPr="00FA1502" w:rsidR="004777D8">
        <w:rPr>
          <w:rFonts w:ascii="Times New Roman" w:eastAsia="Times New Roman" w:hAnsi="Times New Roman" w:cs="Times New Roman"/>
          <w:sz w:val="24"/>
          <w:szCs w:val="24"/>
          <w:lang w:val="en-GB" w:eastAsia="cs-CZ"/>
        </w:rPr>
        <w:t>a</w:t>
      </w:r>
      <w:r w:rsidRPr="00FA1502" w:rsidR="00785A86">
        <w:rPr>
          <w:rFonts w:ascii="Times New Roman" w:eastAsia="Times New Roman" w:hAnsi="Times New Roman" w:cs="Times New Roman"/>
          <w:sz w:val="24"/>
          <w:szCs w:val="24"/>
          <w:lang w:val="en-GB" w:eastAsia="cs-CZ"/>
        </w:rPr>
        <w:t>r,</w:t>
      </w:r>
      <w:r w:rsidRPr="00FA1502">
        <w:rPr>
          <w:rFonts w:ascii="Times New Roman" w:eastAsia="Times New Roman" w:hAnsi="Times New Roman" w:cs="Times New Roman"/>
          <w:sz w:val="24"/>
          <w:szCs w:val="24"/>
          <w:lang w:val="en-GB" w:eastAsia="cs-CZ"/>
        </w:rPr>
        <w:t xml:space="preserve"> in which the taxpayer reached 60 years</w:t>
      </w:r>
      <w:r w:rsidRPr="00FA1502" w:rsidR="00785A86">
        <w:rPr>
          <w:rFonts w:ascii="Times New Roman" w:eastAsia="Times New Roman" w:hAnsi="Times New Roman" w:cs="Times New Roman"/>
          <w:sz w:val="24"/>
          <w:szCs w:val="24"/>
          <w:lang w:val="en-GB" w:eastAsia="cs-CZ"/>
        </w:rPr>
        <w:t>, has not occurred yet</w:t>
      </w:r>
      <w:r w:rsidRPr="00FA1502">
        <w:rPr>
          <w:rFonts w:ascii="Times New Roman" w:eastAsia="Times New Roman" w:hAnsi="Times New Roman" w:cs="Times New Roman"/>
          <w:sz w:val="24"/>
          <w:szCs w:val="24"/>
          <w:lang w:val="en-GB" w:eastAsia="cs-CZ"/>
        </w:rPr>
        <w:t>. After the two moments have elapsed, tax refunds will never be reimbursed, regardless of the reason</w:t>
      </w:r>
      <w:r w:rsidRPr="00FA1502" w:rsidR="004777D8">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t>
      </w:r>
      <w:r w:rsidRPr="00FA1502" w:rsidR="00F4323F">
        <w:rPr>
          <w:rFonts w:ascii="Times New Roman" w:eastAsia="Times New Roman" w:hAnsi="Times New Roman" w:cs="Times New Roman"/>
          <w:sz w:val="24"/>
          <w:szCs w:val="24"/>
          <w:lang w:val="en-GB" w:eastAsia="cs-CZ"/>
        </w:rPr>
        <w:t>which subsequently leads to disbursement of the funds or performance of the product</w:t>
      </w:r>
      <w:r w:rsidRPr="00FA1502">
        <w:rPr>
          <w:rFonts w:ascii="Times New Roman" w:eastAsia="Times New Roman" w:hAnsi="Times New Roman" w:cs="Times New Roman"/>
          <w:sz w:val="24"/>
          <w:szCs w:val="24"/>
          <w:lang w:val="en-GB" w:eastAsia="cs-CZ"/>
        </w:rPr>
        <w:t xml:space="preserve"> (i</w:t>
      </w:r>
      <w:r w:rsidRPr="00FA1502" w:rsidR="00F4323F">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F4323F">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w:t>
      </w:r>
      <w:r w:rsidRPr="00FA1502" w:rsidR="00F4323F">
        <w:rPr>
          <w:rFonts w:ascii="Times New Roman" w:eastAsia="Times New Roman" w:hAnsi="Times New Roman" w:cs="Times New Roman"/>
          <w:sz w:val="24"/>
          <w:szCs w:val="24"/>
          <w:lang w:val="en-GB" w:eastAsia="cs-CZ"/>
        </w:rPr>
        <w:t>hether it is a 'regular' disbursement</w:t>
      </w:r>
      <w:r w:rsidRPr="00FA1502">
        <w:rPr>
          <w:rFonts w:ascii="Times New Roman" w:eastAsia="Times New Roman" w:hAnsi="Times New Roman" w:cs="Times New Roman"/>
          <w:sz w:val="24"/>
          <w:szCs w:val="24"/>
          <w:lang w:val="en-GB" w:eastAsia="cs-CZ"/>
        </w:rPr>
        <w:t xml:space="preserve"> of funds or performance as agreed</w:t>
      </w:r>
      <w:r w:rsidRPr="00FA1502" w:rsidR="00F4323F">
        <w:rPr>
          <w:rFonts w:ascii="Times New Roman" w:eastAsia="Times New Roman" w:hAnsi="Times New Roman" w:cs="Times New Roman"/>
          <w:sz w:val="24"/>
          <w:szCs w:val="24"/>
          <w:lang w:val="en-GB" w:eastAsia="cs-CZ"/>
        </w:rPr>
        <w:t>, or if the product is terminated from the side of a taxpayer</w:t>
      </w:r>
      <w:r w:rsidRPr="00FA1502">
        <w:rPr>
          <w:rFonts w:ascii="Times New Roman" w:eastAsia="Times New Roman" w:hAnsi="Times New Roman" w:cs="Times New Roman"/>
          <w:sz w:val="24"/>
          <w:szCs w:val="24"/>
          <w:lang w:val="en-GB" w:eastAsia="cs-CZ"/>
        </w:rPr>
        <w:t>) in the contract, or whether the product will be terminated by the taxpayer), or even if th</w:t>
      </w:r>
      <w:r w:rsidRPr="00FA1502" w:rsidR="00F4323F">
        <w:rPr>
          <w:rFonts w:ascii="Times New Roman" w:eastAsia="Times New Roman" w:hAnsi="Times New Roman" w:cs="Times New Roman"/>
          <w:sz w:val="24"/>
          <w:szCs w:val="24"/>
          <w:lang w:val="en-GB" w:eastAsia="cs-CZ"/>
        </w:rPr>
        <w:t>e product expires and no disbursement</w:t>
      </w:r>
      <w:r w:rsidRPr="00FA1502">
        <w:rPr>
          <w:rFonts w:ascii="Times New Roman" w:eastAsia="Times New Roman" w:hAnsi="Times New Roman" w:cs="Times New Roman"/>
          <w:sz w:val="24"/>
          <w:szCs w:val="24"/>
          <w:lang w:val="en-GB" w:eastAsia="cs-CZ"/>
        </w:rPr>
        <w:t xml:space="preserve"> or performance will occur at all (but this is rather a theoretical case, because after 60 calendar months</w:t>
      </w:r>
      <w:r w:rsidRPr="00FA1502" w:rsidR="00F4323F">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usually</w:t>
      </w:r>
      <w:r w:rsidRPr="00FA1502" w:rsidR="00F4323F">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the</w:t>
      </w:r>
      <w:r w:rsidRPr="00FA1502" w:rsidR="00F4323F">
        <w:rPr>
          <w:rFonts w:ascii="Times New Roman" w:eastAsia="Times New Roman" w:hAnsi="Times New Roman" w:cs="Times New Roman"/>
          <w:sz w:val="24"/>
          <w:szCs w:val="24"/>
          <w:lang w:val="en-GB" w:eastAsia="cs-CZ"/>
        </w:rPr>
        <w:t xml:space="preserve"> taxpayer will save enough funds</w:t>
      </w:r>
      <w:r w:rsidRPr="00FA1502">
        <w:rPr>
          <w:rFonts w:ascii="Times New Roman" w:eastAsia="Times New Roman" w:hAnsi="Times New Roman" w:cs="Times New Roman"/>
          <w:sz w:val="24"/>
          <w:szCs w:val="24"/>
          <w:lang w:val="en-GB" w:eastAsia="cs-CZ"/>
        </w:rPr>
        <w:t xml:space="preserve"> that even after the termination of the product</w:t>
      </w:r>
      <w:r w:rsidRPr="00FA1502" w:rsidR="00F4323F">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t>
      </w:r>
      <w:r w:rsidRPr="00FA1502" w:rsidR="00375147">
        <w:rPr>
          <w:rFonts w:ascii="Times New Roman" w:eastAsia="Times New Roman" w:hAnsi="Times New Roman" w:cs="Times New Roman"/>
          <w:sz w:val="24"/>
          <w:szCs w:val="24"/>
          <w:lang w:val="en-GB" w:eastAsia="cs-CZ"/>
        </w:rPr>
        <w:t xml:space="preserve">it could arise an </w:t>
      </w:r>
      <w:r w:rsidRPr="00FA1502">
        <w:rPr>
          <w:rFonts w:ascii="Times New Roman" w:eastAsia="Times New Roman" w:hAnsi="Times New Roman" w:cs="Times New Roman"/>
          <w:sz w:val="24"/>
          <w:szCs w:val="24"/>
          <w:lang w:val="en-GB" w:eastAsia="cs-CZ"/>
        </w:rPr>
        <w:t xml:space="preserve">entitlement to </w:t>
      </w:r>
      <w:r w:rsidRPr="00FA1502" w:rsidR="00375147">
        <w:rPr>
          <w:rFonts w:ascii="Times New Roman" w:eastAsia="Times New Roman" w:hAnsi="Times New Roman" w:cs="Times New Roman"/>
          <w:sz w:val="24"/>
          <w:szCs w:val="24"/>
          <w:lang w:val="en-GB" w:eastAsia="cs-CZ"/>
        </w:rPr>
        <w:t>a certain performance or disbursement of funds). B</w:t>
      </w:r>
      <w:r w:rsidRPr="00FA1502">
        <w:rPr>
          <w:rFonts w:ascii="Times New Roman" w:eastAsia="Times New Roman" w:hAnsi="Times New Roman" w:cs="Times New Roman"/>
          <w:sz w:val="24"/>
          <w:szCs w:val="24"/>
          <w:lang w:val="en-GB" w:eastAsia="cs-CZ"/>
        </w:rPr>
        <w:t>y attaining the aforementioned duration of the product and the age of the taxpayer, the product has</w:t>
      </w:r>
      <w:r w:rsidRPr="00FA1502" w:rsidR="00375147">
        <w:rPr>
          <w:rFonts w:ascii="Times New Roman" w:eastAsia="Times New Roman" w:hAnsi="Times New Roman" w:cs="Times New Roman"/>
          <w:sz w:val="24"/>
          <w:szCs w:val="24"/>
          <w:lang w:val="en-GB" w:eastAsia="cs-CZ"/>
        </w:rPr>
        <w:t xml:space="preserve"> namely</w:t>
      </w:r>
      <w:r w:rsidRPr="00FA1502">
        <w:rPr>
          <w:rFonts w:ascii="Times New Roman" w:eastAsia="Times New Roman" w:hAnsi="Times New Roman" w:cs="Times New Roman"/>
          <w:sz w:val="24"/>
          <w:szCs w:val="24"/>
          <w:lang w:val="en-GB" w:eastAsia="cs-CZ"/>
        </w:rPr>
        <w:t xml:space="preserve"> already fulfilled its purpose of long-term (five-year) </w:t>
      </w:r>
      <w:r w:rsidRPr="00FA1502" w:rsidR="00375147">
        <w:rPr>
          <w:rFonts w:ascii="Times New Roman" w:eastAsia="Times New Roman" w:hAnsi="Times New Roman" w:cs="Times New Roman"/>
          <w:sz w:val="24"/>
          <w:szCs w:val="24"/>
          <w:lang w:val="en-GB" w:eastAsia="cs-CZ"/>
        </w:rPr>
        <w:t>retirement savings</w:t>
      </w:r>
      <w:r w:rsidRPr="00FA1502">
        <w:rPr>
          <w:rFonts w:ascii="Times New Roman" w:eastAsia="Times New Roman" w:hAnsi="Times New Roman" w:cs="Times New Roman"/>
          <w:sz w:val="24"/>
          <w:szCs w:val="24"/>
          <w:lang w:val="en-GB" w:eastAsia="cs-CZ"/>
        </w:rPr>
        <w:t xml:space="preserve"> (i</w:t>
      </w:r>
      <w:r w:rsidRPr="00FA1502" w:rsidR="00375147">
        <w:rPr>
          <w:rFonts w:ascii="Times New Roman" w:eastAsia="Times New Roman" w:hAnsi="Times New Roman" w:cs="Times New Roman"/>
          <w:sz w:val="24"/>
          <w:szCs w:val="24"/>
          <w:lang w:val="en-GB" w:eastAsia="cs-CZ"/>
        </w:rPr>
        <w:t>.e.</w:t>
      </w:r>
      <w:r w:rsidRPr="00FA1502">
        <w:rPr>
          <w:rFonts w:ascii="Times New Roman" w:eastAsia="Times New Roman" w:hAnsi="Times New Roman" w:cs="Times New Roman"/>
          <w:sz w:val="24"/>
          <w:szCs w:val="24"/>
          <w:lang w:val="en-GB" w:eastAsia="cs-CZ"/>
        </w:rPr>
        <w:t xml:space="preserve"> the fact that the taxpayer has the money saved after the age of 60).</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Tax refunds are always recovered in the taxation period in which any of the circumstances referred to in points (a) or (b) occurred, so there is no need to file additional tax returns for the previous tax period in which the tax aid was used.</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Pursuant to </w:t>
      </w:r>
      <w:r w:rsidRPr="00FA1502">
        <w:rPr>
          <w:rFonts w:ascii="Times New Roman" w:eastAsia="Times New Roman" w:hAnsi="Times New Roman" w:cs="Times New Roman"/>
          <w:sz w:val="24"/>
          <w:szCs w:val="24"/>
          <w:u w:val="single"/>
          <w:lang w:val="en-GB" w:eastAsia="cs-CZ"/>
        </w:rPr>
        <w:t>point (a),</w:t>
      </w:r>
      <w:r w:rsidRPr="00FA1502">
        <w:rPr>
          <w:rFonts w:ascii="Times New Roman" w:eastAsia="Times New Roman" w:hAnsi="Times New Roman" w:cs="Times New Roman"/>
          <w:sz w:val="24"/>
          <w:szCs w:val="24"/>
          <w:lang w:val="en-GB" w:eastAsia="cs-CZ"/>
        </w:rPr>
        <w:t xml:space="preserve"> </w:t>
      </w:r>
      <w:r w:rsidRPr="00FA1502" w:rsidR="00B760C1">
        <w:rPr>
          <w:rFonts w:ascii="Times New Roman" w:eastAsia="Times New Roman" w:hAnsi="Times New Roman" w:cs="Times New Roman"/>
          <w:sz w:val="24"/>
          <w:szCs w:val="24"/>
          <w:lang w:val="en-GB" w:eastAsia="cs-CZ"/>
        </w:rPr>
        <w:t>tax aid shall be returned</w:t>
      </w:r>
      <w:r w:rsidRPr="00FA1502">
        <w:rPr>
          <w:rFonts w:ascii="Times New Roman" w:eastAsia="Times New Roman" w:hAnsi="Times New Roman" w:cs="Times New Roman"/>
          <w:sz w:val="24"/>
          <w:szCs w:val="24"/>
          <w:lang w:val="en-GB" w:eastAsia="cs-CZ"/>
        </w:rPr>
        <w:t xml:space="preserve"> if, before the expiry of 60 calendar months after t</w:t>
      </w:r>
      <w:r w:rsidRPr="00FA1502" w:rsidR="00B760C1">
        <w:rPr>
          <w:rFonts w:ascii="Times New Roman" w:eastAsia="Times New Roman" w:hAnsi="Times New Roman" w:cs="Times New Roman"/>
          <w:sz w:val="24"/>
          <w:szCs w:val="24"/>
          <w:lang w:val="en-GB" w:eastAsia="cs-CZ"/>
        </w:rPr>
        <w:t>he inception of t</w:t>
      </w:r>
      <w:r w:rsidRPr="00FA1502" w:rsidR="00F115E0">
        <w:rPr>
          <w:rFonts w:ascii="Times New Roman" w:eastAsia="Times New Roman" w:hAnsi="Times New Roman" w:cs="Times New Roman"/>
          <w:sz w:val="24"/>
          <w:szCs w:val="24"/>
          <w:lang w:val="en-GB" w:eastAsia="cs-CZ"/>
        </w:rPr>
        <w:t>he retirement savings product</w:t>
      </w:r>
      <w:r w:rsidRPr="00FA1502">
        <w:rPr>
          <w:rFonts w:ascii="Times New Roman" w:eastAsia="Times New Roman" w:hAnsi="Times New Roman" w:cs="Times New Roman"/>
          <w:sz w:val="24"/>
          <w:szCs w:val="24"/>
          <w:lang w:val="en-GB" w:eastAsia="cs-CZ"/>
        </w:rPr>
        <w:t xml:space="preserve"> or before the calendar year</w:t>
      </w:r>
      <w:r w:rsidRPr="00FA1502" w:rsidR="00F115E0">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in which the taxpayer reaches the</w:t>
      </w:r>
      <w:r w:rsidRPr="00FA1502" w:rsidR="00F115E0">
        <w:rPr>
          <w:rFonts w:ascii="Times New Roman" w:eastAsia="Times New Roman" w:hAnsi="Times New Roman" w:cs="Times New Roman"/>
          <w:sz w:val="24"/>
          <w:szCs w:val="24"/>
          <w:lang w:val="en-GB" w:eastAsia="cs-CZ"/>
        </w:rPr>
        <w:t xml:space="preserve"> age of 60, the funds are disbursed or the product comes about the </w:t>
      </w:r>
      <w:r w:rsidRPr="00FA1502" w:rsidR="00BE20CC">
        <w:rPr>
          <w:rFonts w:ascii="Times New Roman" w:eastAsia="Times New Roman" w:hAnsi="Times New Roman" w:cs="Times New Roman"/>
          <w:sz w:val="24"/>
          <w:szCs w:val="24"/>
          <w:lang w:val="en-GB" w:eastAsia="cs-CZ"/>
        </w:rPr>
        <w:t>benefits</w:t>
      </w:r>
      <w:r w:rsidRPr="00FA1502">
        <w:rPr>
          <w:rFonts w:ascii="Times New Roman" w:eastAsia="Times New Roman" w:hAnsi="Times New Roman" w:cs="Times New Roman"/>
          <w:sz w:val="24"/>
          <w:szCs w:val="24"/>
          <w:lang w:val="en-GB" w:eastAsia="cs-CZ"/>
        </w:rPr>
        <w:t>. Howev</w:t>
      </w:r>
      <w:r w:rsidRPr="00FA1502" w:rsidR="00F115E0">
        <w:rPr>
          <w:rFonts w:ascii="Times New Roman" w:eastAsia="Times New Roman" w:hAnsi="Times New Roman" w:cs="Times New Roman"/>
          <w:sz w:val="24"/>
          <w:szCs w:val="24"/>
          <w:lang w:val="en-GB" w:eastAsia="cs-CZ"/>
        </w:rPr>
        <w:t>er, an exemption is stated,</w:t>
      </w:r>
      <w:r w:rsidRPr="00FA1502">
        <w:rPr>
          <w:rFonts w:ascii="Times New Roman" w:eastAsia="Times New Roman" w:hAnsi="Times New Roman" w:cs="Times New Roman"/>
          <w:sz w:val="24"/>
          <w:szCs w:val="24"/>
          <w:lang w:val="en-GB" w:eastAsia="cs-CZ"/>
        </w:rPr>
        <w:t xml:space="preserve"> when such </w:t>
      </w:r>
      <w:r w:rsidRPr="00FA1502" w:rsidR="00F115E0">
        <w:rPr>
          <w:rFonts w:ascii="Times New Roman" w:eastAsia="Times New Roman" w:hAnsi="Times New Roman" w:cs="Times New Roman"/>
          <w:sz w:val="24"/>
          <w:szCs w:val="24"/>
          <w:lang w:val="en-GB" w:eastAsia="cs-CZ"/>
        </w:rPr>
        <w:t>a disbursement</w:t>
      </w:r>
      <w:r w:rsidRPr="00FA1502">
        <w:rPr>
          <w:rFonts w:ascii="Times New Roman" w:eastAsia="Times New Roman" w:hAnsi="Times New Roman" w:cs="Times New Roman"/>
          <w:sz w:val="24"/>
          <w:szCs w:val="24"/>
          <w:lang w:val="en-GB" w:eastAsia="cs-CZ"/>
        </w:rPr>
        <w:t xml:space="preserve"> or </w:t>
      </w:r>
      <w:r w:rsidRPr="00FA1502" w:rsidR="00BE20CC">
        <w:rPr>
          <w:rFonts w:ascii="Times New Roman" w:eastAsia="Times New Roman" w:hAnsi="Times New Roman" w:cs="Times New Roman"/>
          <w:sz w:val="24"/>
          <w:szCs w:val="24"/>
          <w:lang w:val="en-GB" w:eastAsia="cs-CZ"/>
        </w:rPr>
        <w:t>benefits are</w:t>
      </w:r>
      <w:r w:rsidRPr="00FA1502" w:rsidR="00F115E0">
        <w:rPr>
          <w:rFonts w:ascii="Times New Roman" w:eastAsia="Times New Roman" w:hAnsi="Times New Roman" w:cs="Times New Roman"/>
          <w:sz w:val="24"/>
          <w:szCs w:val="24"/>
          <w:lang w:val="en-GB" w:eastAsia="cs-CZ"/>
        </w:rPr>
        <w:t xml:space="preserve"> due to the third party</w:t>
      </w:r>
      <w:r w:rsidRPr="00FA1502">
        <w:rPr>
          <w:rFonts w:ascii="Times New Roman" w:eastAsia="Times New Roman" w:hAnsi="Times New Roman" w:cs="Times New Roman"/>
          <w:sz w:val="24"/>
          <w:szCs w:val="24"/>
          <w:lang w:val="en-GB" w:eastAsia="cs-CZ"/>
        </w:rPr>
        <w:t>'s inval</w:t>
      </w:r>
      <w:r w:rsidRPr="00FA1502" w:rsidR="00F115E0">
        <w:rPr>
          <w:rFonts w:ascii="Times New Roman" w:eastAsia="Times New Roman" w:hAnsi="Times New Roman" w:cs="Times New Roman"/>
          <w:sz w:val="24"/>
          <w:szCs w:val="24"/>
          <w:lang w:val="en-GB" w:eastAsia="cs-CZ"/>
        </w:rPr>
        <w:t>idity or death (points 1 and 2)</w:t>
      </w:r>
      <w:r w:rsidRPr="00FA1502">
        <w:rPr>
          <w:rFonts w:ascii="Times New Roman" w:eastAsia="Times New Roman" w:hAnsi="Times New Roman" w:cs="Times New Roman"/>
          <w:sz w:val="24"/>
          <w:szCs w:val="24"/>
          <w:lang w:val="en-GB" w:eastAsia="cs-CZ"/>
        </w:rPr>
        <w:t>. Invalidity in the third stage also constitutes the life event</w:t>
      </w:r>
      <w:r w:rsidRPr="00FA1502" w:rsidR="00F115E0">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for which the savings are i</w:t>
      </w:r>
      <w:r w:rsidRPr="00FA1502" w:rsidR="00F115E0">
        <w:rPr>
          <w:rFonts w:ascii="Times New Roman" w:eastAsia="Times New Roman" w:hAnsi="Times New Roman" w:cs="Times New Roman"/>
          <w:sz w:val="24"/>
          <w:szCs w:val="24"/>
          <w:lang w:val="en-GB" w:eastAsia="cs-CZ"/>
        </w:rPr>
        <w:t>ntended (see paragraph 1 (b) point b,</w:t>
      </w:r>
      <w:r w:rsidRPr="00FA1502">
        <w:rPr>
          <w:rFonts w:ascii="Times New Roman" w:eastAsia="Times New Roman" w:hAnsi="Times New Roman" w:cs="Times New Roman"/>
          <w:sz w:val="24"/>
          <w:szCs w:val="24"/>
          <w:lang w:val="en-GB" w:eastAsia="cs-CZ"/>
        </w:rPr>
        <w:t xml:space="preserve"> according to which it is possible under the conditions of the product to allow d</w:t>
      </w:r>
      <w:r w:rsidRPr="00FA1502" w:rsidR="00F115E0">
        <w:rPr>
          <w:rFonts w:ascii="Times New Roman" w:eastAsia="Times New Roman" w:hAnsi="Times New Roman" w:cs="Times New Roman"/>
          <w:sz w:val="24"/>
          <w:szCs w:val="24"/>
          <w:lang w:val="en-GB" w:eastAsia="cs-CZ"/>
        </w:rPr>
        <w:t xml:space="preserve">isbursement of </w:t>
      </w:r>
      <w:r w:rsidRPr="00FA1502" w:rsidR="00BE20CC">
        <w:rPr>
          <w:rFonts w:ascii="Times New Roman" w:eastAsia="Times New Roman" w:hAnsi="Times New Roman" w:cs="Times New Roman"/>
          <w:sz w:val="24"/>
          <w:szCs w:val="24"/>
          <w:lang w:val="en-GB" w:eastAsia="cs-CZ"/>
        </w:rPr>
        <w:t>funds or benefits</w:t>
      </w:r>
      <w:r w:rsidRPr="00FA1502">
        <w:rPr>
          <w:rFonts w:ascii="Times New Roman" w:eastAsia="Times New Roman" w:hAnsi="Times New Roman" w:cs="Times New Roman"/>
          <w:sz w:val="24"/>
          <w:szCs w:val="24"/>
          <w:lang w:val="en-GB" w:eastAsia="cs-CZ"/>
        </w:rPr>
        <w:t xml:space="preserve"> even in the event of disability in the third stage)</w:t>
      </w:r>
      <w:r w:rsidRPr="00FA1502" w:rsidR="00F115E0">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t>
      </w:r>
      <w:r w:rsidRPr="00FA1502" w:rsidR="00F115E0">
        <w:rPr>
          <w:rFonts w:ascii="Times New Roman" w:eastAsia="Times New Roman" w:hAnsi="Times New Roman" w:cs="Times New Roman"/>
          <w:sz w:val="24"/>
          <w:szCs w:val="24"/>
          <w:lang w:val="en-GB" w:eastAsia="cs-CZ"/>
        </w:rPr>
        <w:t xml:space="preserve">because </w:t>
      </w:r>
      <w:r w:rsidRPr="00FA1502">
        <w:rPr>
          <w:rFonts w:ascii="Times New Roman" w:eastAsia="Times New Roman" w:hAnsi="Times New Roman" w:cs="Times New Roman"/>
          <w:sz w:val="24"/>
          <w:szCs w:val="24"/>
          <w:lang w:val="en-GB" w:eastAsia="cs-CZ"/>
        </w:rPr>
        <w:t>even in this case the taxpayer's earning capacity is reduced. It is therefore not desirable to penalize him in this situation with the duty to repay the tax aid</w:t>
      </w:r>
      <w:r w:rsidRPr="00FA1502" w:rsidR="00F115E0">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which he had previously used for the tax-supported product. The</w:t>
      </w:r>
      <w:r w:rsidRPr="00FA1502" w:rsidR="00BE20CC">
        <w:rPr>
          <w:rFonts w:ascii="Times New Roman" w:eastAsia="Times New Roman" w:hAnsi="Times New Roman" w:cs="Times New Roman"/>
          <w:sz w:val="24"/>
          <w:szCs w:val="24"/>
          <w:lang w:val="en-GB" w:eastAsia="cs-CZ"/>
        </w:rPr>
        <w:t xml:space="preserve"> second exception is the disbursement</w:t>
      </w:r>
      <w:r w:rsidRPr="00FA1502">
        <w:rPr>
          <w:rFonts w:ascii="Times New Roman" w:eastAsia="Times New Roman" w:hAnsi="Times New Roman" w:cs="Times New Roman"/>
          <w:sz w:val="24"/>
          <w:szCs w:val="24"/>
          <w:lang w:val="en-GB" w:eastAsia="cs-CZ"/>
        </w:rPr>
        <w:t xml:space="preserve"> of funds or benefits due to the death of the tax</w:t>
      </w:r>
      <w:r w:rsidRPr="00FA1502" w:rsidR="00BE20CC">
        <w:rPr>
          <w:rFonts w:ascii="Times New Roman" w:eastAsia="Times New Roman" w:hAnsi="Times New Roman" w:cs="Times New Roman"/>
          <w:sz w:val="24"/>
          <w:szCs w:val="24"/>
          <w:lang w:val="en-GB" w:eastAsia="cs-CZ"/>
        </w:rPr>
        <w:t>payer; it is therefore a disbursement</w:t>
      </w:r>
      <w:r w:rsidRPr="00FA1502">
        <w:rPr>
          <w:rFonts w:ascii="Times New Roman" w:eastAsia="Times New Roman" w:hAnsi="Times New Roman" w:cs="Times New Roman"/>
          <w:sz w:val="24"/>
          <w:szCs w:val="24"/>
          <w:lang w:val="en-GB" w:eastAsia="cs-CZ"/>
        </w:rPr>
        <w:t xml:space="preserve"> of funds or benefits to a person other than the taxpayer</w:t>
      </w:r>
      <w:r w:rsidRPr="00FA1502" w:rsidR="00BE20CC">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who arranged the </w:t>
      </w:r>
      <w:r w:rsidRPr="00FA1502" w:rsidR="00BE20CC">
        <w:rPr>
          <w:rFonts w:ascii="Times New Roman" w:eastAsia="Times New Roman" w:hAnsi="Times New Roman" w:cs="Times New Roman"/>
          <w:sz w:val="24"/>
          <w:szCs w:val="24"/>
          <w:lang w:val="en-GB" w:eastAsia="cs-CZ"/>
        </w:rPr>
        <w:t>retirement savings product</w:t>
      </w:r>
      <w:r w:rsidRPr="00FA1502">
        <w:rPr>
          <w:rFonts w:ascii="Times New Roman" w:eastAsia="Times New Roman" w:hAnsi="Times New Roman" w:cs="Times New Roman"/>
          <w:sz w:val="24"/>
          <w:szCs w:val="24"/>
          <w:lang w:val="en-GB" w:eastAsia="cs-CZ"/>
        </w:rPr>
        <w:t xml:space="preserve">. In this case </w:t>
      </w:r>
      <w:r w:rsidRPr="00FA1502" w:rsidR="00BE20CC">
        <w:rPr>
          <w:rFonts w:ascii="Times New Roman" w:eastAsia="Times New Roman" w:hAnsi="Times New Roman" w:cs="Times New Roman"/>
          <w:sz w:val="24"/>
          <w:szCs w:val="24"/>
          <w:lang w:val="en-GB" w:eastAsia="cs-CZ"/>
        </w:rPr>
        <w:t>too, it is not desirable to state an obligation to return</w:t>
      </w:r>
      <w:r w:rsidRPr="00FA1502">
        <w:rPr>
          <w:rFonts w:ascii="Times New Roman" w:eastAsia="Times New Roman" w:hAnsi="Times New Roman" w:cs="Times New Roman"/>
          <w:sz w:val="24"/>
          <w:szCs w:val="24"/>
          <w:lang w:val="en-GB" w:eastAsia="cs-CZ"/>
        </w:rPr>
        <w:t xml:space="preserve"> the tax aid already received.</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Another exception is provided in the case of supplementary pension savings, which under the </w:t>
      </w:r>
      <w:r w:rsidRPr="00FA1502">
        <w:rPr>
          <w:rFonts w:ascii="Times New Roman" w:eastAsia="Times New Roman" w:hAnsi="Times New Roman" w:cs="Times New Roman"/>
          <w:sz w:val="24"/>
          <w:szCs w:val="24"/>
          <w:lang w:val="en-GB" w:eastAsia="cs-CZ"/>
        </w:rPr>
        <w:t>Act on Supplementary Pe</w:t>
      </w:r>
      <w:r w:rsidRPr="00FA1502" w:rsidR="00C51015">
        <w:rPr>
          <w:rFonts w:ascii="Times New Roman" w:eastAsia="Times New Roman" w:hAnsi="Times New Roman" w:cs="Times New Roman"/>
          <w:sz w:val="24"/>
          <w:szCs w:val="24"/>
          <w:lang w:val="en-GB" w:eastAsia="cs-CZ"/>
        </w:rPr>
        <w:t>nsion Savings is tied to the attainment</w:t>
      </w:r>
      <w:r w:rsidRPr="00FA1502">
        <w:rPr>
          <w:rFonts w:ascii="Times New Roman" w:eastAsia="Times New Roman" w:hAnsi="Times New Roman" w:cs="Times New Roman"/>
          <w:sz w:val="24"/>
          <w:szCs w:val="24"/>
          <w:lang w:val="en-GB" w:eastAsia="cs-CZ"/>
        </w:rPr>
        <w:t xml:space="preserve"> of</w:t>
      </w:r>
      <w:r w:rsidRPr="00FA1502" w:rsidR="00C51015">
        <w:rPr>
          <w:rFonts w:ascii="Times New Roman" w:eastAsia="Times New Roman" w:hAnsi="Times New Roman" w:cs="Times New Roman"/>
          <w:sz w:val="24"/>
          <w:szCs w:val="24"/>
          <w:lang w:val="en-GB" w:eastAsia="cs-CZ"/>
        </w:rPr>
        <w:t xml:space="preserve"> the age which is</w:t>
      </w:r>
      <w:r w:rsidRPr="00FA1502">
        <w:rPr>
          <w:rFonts w:ascii="Times New Roman" w:eastAsia="Times New Roman" w:hAnsi="Times New Roman" w:cs="Times New Roman"/>
          <w:sz w:val="24"/>
          <w:szCs w:val="24"/>
          <w:lang w:val="en-GB" w:eastAsia="cs-CZ"/>
        </w:rPr>
        <w:t xml:space="preserve"> 5 years lower than the retirement age under Act No. 155/1995 Coll., On Pension Insu</w:t>
      </w:r>
      <w:r w:rsidRPr="00FA1502" w:rsidR="00C51015">
        <w:rPr>
          <w:rFonts w:ascii="Times New Roman" w:eastAsia="Times New Roman" w:hAnsi="Times New Roman" w:cs="Times New Roman"/>
          <w:sz w:val="24"/>
          <w:szCs w:val="24"/>
          <w:lang w:val="en-GB" w:eastAsia="cs-CZ"/>
        </w:rPr>
        <w:t>rance, as amended, see Section 22 (4) and Section 23 (6)</w:t>
      </w:r>
      <w:r w:rsidRPr="00FA1502">
        <w:rPr>
          <w:rFonts w:ascii="Times New Roman" w:eastAsia="Times New Roman" w:hAnsi="Times New Roman" w:cs="Times New Roman"/>
          <w:sz w:val="24"/>
          <w:szCs w:val="24"/>
          <w:lang w:val="en-GB" w:eastAsia="cs-CZ"/>
        </w:rPr>
        <w:t xml:space="preserve"> </w:t>
      </w:r>
      <w:r w:rsidRPr="00FA1502" w:rsidR="00C51015">
        <w:rPr>
          <w:rFonts w:ascii="Times New Roman" w:eastAsia="Times New Roman" w:hAnsi="Times New Roman" w:cs="Times New Roman"/>
          <w:sz w:val="24"/>
          <w:szCs w:val="24"/>
          <w:lang w:val="en-GB" w:eastAsia="cs-CZ"/>
        </w:rPr>
        <w:t xml:space="preserve">of the </w:t>
      </w:r>
      <w:r w:rsidRPr="00FA1502">
        <w:rPr>
          <w:rFonts w:ascii="Times New Roman" w:eastAsia="Times New Roman" w:hAnsi="Times New Roman" w:cs="Times New Roman"/>
          <w:sz w:val="24"/>
          <w:szCs w:val="24"/>
          <w:lang w:val="en-GB" w:eastAsia="cs-CZ"/>
        </w:rPr>
        <w:t xml:space="preserve">ZDPS </w:t>
      </w:r>
      <w:r w:rsidRPr="00FA1502" w:rsidR="00C51015">
        <w:rPr>
          <w:rFonts w:ascii="Times New Roman" w:eastAsia="Times New Roman" w:hAnsi="Times New Roman" w:cs="Times New Roman"/>
          <w:sz w:val="24"/>
          <w:szCs w:val="24"/>
          <w:lang w:val="en-GB" w:eastAsia="cs-CZ"/>
        </w:rPr>
        <w:t>so-called pre-retirement pension.</w:t>
      </w:r>
      <w:r w:rsidRPr="00FA1502">
        <w:rPr>
          <w:rFonts w:ascii="Times New Roman" w:eastAsia="Times New Roman" w:hAnsi="Times New Roman" w:cs="Times New Roman"/>
          <w:sz w:val="24"/>
          <w:szCs w:val="24"/>
          <w:lang w:val="en-GB" w:eastAsia="cs-CZ"/>
        </w:rPr>
        <w:t xml:space="preserve"> In the event of such benefits</w:t>
      </w:r>
      <w:r w:rsidRPr="00FA1502" w:rsidR="00C51015">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t>
      </w:r>
      <w:r w:rsidRPr="00FA1502" w:rsidR="00C51015">
        <w:rPr>
          <w:rFonts w:ascii="Times New Roman" w:eastAsia="Times New Roman" w:hAnsi="Times New Roman" w:cs="Times New Roman"/>
          <w:sz w:val="24"/>
          <w:szCs w:val="24"/>
          <w:lang w:val="en-GB" w:eastAsia="cs-CZ"/>
        </w:rPr>
        <w:t>it does not arise an obligation to return</w:t>
      </w:r>
      <w:r w:rsidRPr="00FA1502">
        <w:rPr>
          <w:rFonts w:ascii="Times New Roman" w:eastAsia="Times New Roman" w:hAnsi="Times New Roman" w:cs="Times New Roman"/>
          <w:sz w:val="24"/>
          <w:szCs w:val="24"/>
          <w:lang w:val="en-GB" w:eastAsia="cs-CZ"/>
        </w:rPr>
        <w:t xml:space="preserve"> </w:t>
      </w:r>
      <w:r w:rsidRPr="00FA1502" w:rsidR="00C51015">
        <w:rPr>
          <w:rFonts w:ascii="Times New Roman" w:eastAsia="Times New Roman" w:hAnsi="Times New Roman" w:cs="Times New Roman"/>
          <w:sz w:val="24"/>
          <w:szCs w:val="24"/>
          <w:lang w:val="en-GB" w:eastAsia="cs-CZ"/>
        </w:rPr>
        <w:t xml:space="preserve">the </w:t>
      </w:r>
      <w:r w:rsidRPr="00FA1502">
        <w:rPr>
          <w:rFonts w:ascii="Times New Roman" w:eastAsia="Times New Roman" w:hAnsi="Times New Roman" w:cs="Times New Roman"/>
          <w:sz w:val="24"/>
          <w:szCs w:val="24"/>
          <w:lang w:val="en-GB" w:eastAsia="cs-CZ"/>
        </w:rPr>
        <w:t xml:space="preserve">tax aid under </w:t>
      </w:r>
      <w:r w:rsidRPr="00FA1502" w:rsidR="00C51015">
        <w:rPr>
          <w:rFonts w:ascii="Times New Roman" w:eastAsia="Times New Roman" w:hAnsi="Times New Roman" w:cs="Times New Roman"/>
          <w:sz w:val="24"/>
          <w:szCs w:val="24"/>
          <w:lang w:val="en-GB" w:eastAsia="cs-CZ"/>
        </w:rPr>
        <w:t xml:space="preserve">the </w:t>
      </w:r>
      <w:r w:rsidRPr="00FA1502">
        <w:rPr>
          <w:rFonts w:ascii="Times New Roman" w:eastAsia="Times New Roman" w:hAnsi="Times New Roman" w:cs="Times New Roman"/>
          <w:sz w:val="24"/>
          <w:szCs w:val="24"/>
          <w:lang w:val="en-GB" w:eastAsia="cs-CZ"/>
        </w:rPr>
        <w:t>paragraphs 4 and 5.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If the </w:t>
      </w:r>
      <w:r w:rsidRPr="00FA1502" w:rsidR="00C51015">
        <w:rPr>
          <w:rFonts w:ascii="Times New Roman" w:eastAsia="Times New Roman" w:hAnsi="Times New Roman" w:cs="Times New Roman"/>
          <w:sz w:val="24"/>
          <w:szCs w:val="24"/>
          <w:lang w:val="en-GB" w:eastAsia="cs-CZ"/>
        </w:rPr>
        <w:t>funds or benefits from the tax-</w:t>
      </w:r>
      <w:r w:rsidRPr="00FA1502">
        <w:rPr>
          <w:rFonts w:ascii="Times New Roman" w:eastAsia="Times New Roman" w:hAnsi="Times New Roman" w:cs="Times New Roman"/>
          <w:sz w:val="24"/>
          <w:szCs w:val="24"/>
          <w:lang w:val="en-GB" w:eastAsia="cs-CZ"/>
        </w:rPr>
        <w:t>supporte</w:t>
      </w:r>
      <w:r w:rsidRPr="00FA1502" w:rsidR="00C51015">
        <w:rPr>
          <w:rFonts w:ascii="Times New Roman" w:eastAsia="Times New Roman" w:hAnsi="Times New Roman" w:cs="Times New Roman"/>
          <w:sz w:val="24"/>
          <w:szCs w:val="24"/>
          <w:lang w:val="en-GB" w:eastAsia="cs-CZ"/>
        </w:rPr>
        <w:t>d product of retirement savings</w:t>
      </w:r>
      <w:r w:rsidRPr="00FA1502">
        <w:rPr>
          <w:rFonts w:ascii="Times New Roman" w:eastAsia="Times New Roman" w:hAnsi="Times New Roman" w:cs="Times New Roman"/>
          <w:sz w:val="24"/>
          <w:szCs w:val="24"/>
          <w:lang w:val="en-GB" w:eastAsia="cs-CZ"/>
        </w:rPr>
        <w:t xml:space="preserve"> are paid without the taxpayer be</w:t>
      </w:r>
      <w:r w:rsidRPr="00FA1502" w:rsidR="00C51015">
        <w:rPr>
          <w:rFonts w:ascii="Times New Roman" w:eastAsia="Times New Roman" w:hAnsi="Times New Roman" w:cs="Times New Roman"/>
          <w:sz w:val="24"/>
          <w:szCs w:val="24"/>
          <w:lang w:val="en-GB" w:eastAsia="cs-CZ"/>
        </w:rPr>
        <w:t>ing disabled in the third stage</w:t>
      </w:r>
      <w:r w:rsidRPr="00FA1502">
        <w:rPr>
          <w:rFonts w:ascii="Times New Roman" w:eastAsia="Times New Roman" w:hAnsi="Times New Roman" w:cs="Times New Roman"/>
          <w:sz w:val="24"/>
          <w:szCs w:val="24"/>
          <w:lang w:val="en-GB" w:eastAsia="cs-CZ"/>
        </w:rPr>
        <w:t>, dying or entitled to the</w:t>
      </w:r>
      <w:r w:rsidRPr="00FA1502" w:rsidR="00C51015">
        <w:rPr>
          <w:rFonts w:ascii="Times New Roman" w:eastAsia="Times New Roman" w:hAnsi="Times New Roman" w:cs="Times New Roman"/>
          <w:sz w:val="24"/>
          <w:szCs w:val="24"/>
          <w:lang w:val="en-GB" w:eastAsia="cs-CZ"/>
        </w:rPr>
        <w:t xml:space="preserve"> so-called pre-retirement pensions</w:t>
      </w:r>
      <w:r w:rsidRPr="00FA1502">
        <w:rPr>
          <w:rFonts w:ascii="Times New Roman" w:eastAsia="Times New Roman" w:hAnsi="Times New Roman" w:cs="Times New Roman"/>
          <w:sz w:val="24"/>
          <w:szCs w:val="24"/>
          <w:lang w:val="en-GB" w:eastAsia="cs-CZ"/>
        </w:rPr>
        <w:t>, the conditions of the</w:t>
      </w:r>
      <w:r w:rsidRPr="00FA1502" w:rsidR="00C51015">
        <w:rPr>
          <w:rFonts w:ascii="Times New Roman" w:eastAsia="Times New Roman" w:hAnsi="Times New Roman" w:cs="Times New Roman"/>
          <w:sz w:val="24"/>
          <w:szCs w:val="24"/>
          <w:lang w:val="en-GB" w:eastAsia="cs-CZ"/>
        </w:rPr>
        <w:t xml:space="preserve"> given product or its expiration must have been changed, because</w:t>
      </w:r>
      <w:r w:rsidRPr="00FA1502">
        <w:rPr>
          <w:rFonts w:ascii="Times New Roman" w:eastAsia="Times New Roman" w:hAnsi="Times New Roman" w:cs="Times New Roman"/>
          <w:sz w:val="24"/>
          <w:szCs w:val="24"/>
          <w:lang w:val="en-GB" w:eastAsia="cs-CZ"/>
        </w:rPr>
        <w:t xml:space="preserve"> </w:t>
      </w:r>
      <w:r w:rsidRPr="00FA1502" w:rsidR="00353D2D">
        <w:rPr>
          <w:rFonts w:ascii="Times New Roman" w:eastAsia="Times New Roman" w:hAnsi="Times New Roman" w:cs="Times New Roman"/>
          <w:sz w:val="24"/>
          <w:szCs w:val="24"/>
          <w:lang w:val="en-GB" w:eastAsia="cs-CZ"/>
        </w:rPr>
        <w:t xml:space="preserve">according to </w:t>
      </w:r>
      <w:r w:rsidRPr="00FA1502">
        <w:rPr>
          <w:rFonts w:ascii="Times New Roman" w:eastAsia="Times New Roman" w:hAnsi="Times New Roman" w:cs="Times New Roman"/>
          <w:sz w:val="24"/>
          <w:szCs w:val="24"/>
          <w:lang w:val="en-GB" w:eastAsia="cs-CZ"/>
        </w:rPr>
        <w:t>the conditions ref</w:t>
      </w:r>
      <w:r w:rsidRPr="00FA1502" w:rsidR="00C51015">
        <w:rPr>
          <w:rFonts w:ascii="Times New Roman" w:eastAsia="Times New Roman" w:hAnsi="Times New Roman" w:cs="Times New Roman"/>
          <w:sz w:val="24"/>
          <w:szCs w:val="24"/>
          <w:lang w:val="en-GB" w:eastAsia="cs-CZ"/>
        </w:rPr>
        <w:t>erred to in paragraph 1 (b)</w:t>
      </w:r>
      <w:r w:rsidRPr="00FA1502" w:rsidR="00353D2D">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such disbursement </w:t>
      </w:r>
      <w:r w:rsidRPr="00FA1502" w:rsidR="00353D2D">
        <w:rPr>
          <w:rFonts w:ascii="Times New Roman" w:eastAsia="Times New Roman" w:hAnsi="Times New Roman" w:cs="Times New Roman"/>
          <w:sz w:val="24"/>
          <w:szCs w:val="24"/>
          <w:lang w:val="en-GB" w:eastAsia="cs-CZ"/>
        </w:rPr>
        <w:t xml:space="preserve">of funds </w:t>
      </w:r>
      <w:r w:rsidRPr="00FA1502">
        <w:rPr>
          <w:rFonts w:ascii="Times New Roman" w:eastAsia="Times New Roman" w:hAnsi="Times New Roman" w:cs="Times New Roman"/>
          <w:sz w:val="24"/>
          <w:szCs w:val="24"/>
          <w:lang w:val="en-GB" w:eastAsia="cs-CZ"/>
        </w:rPr>
        <w:t xml:space="preserve">or </w:t>
      </w:r>
      <w:r w:rsidRPr="00FA1502" w:rsidR="00353D2D">
        <w:rPr>
          <w:rFonts w:ascii="Times New Roman" w:eastAsia="Times New Roman" w:hAnsi="Times New Roman" w:cs="Times New Roman"/>
          <w:sz w:val="24"/>
          <w:szCs w:val="24"/>
          <w:lang w:val="en-GB" w:eastAsia="cs-CZ"/>
        </w:rPr>
        <w:t xml:space="preserve">benefits </w:t>
      </w:r>
      <w:r w:rsidRPr="00FA1502">
        <w:rPr>
          <w:rFonts w:ascii="Times New Roman" w:eastAsia="Times New Roman" w:hAnsi="Times New Roman" w:cs="Times New Roman"/>
          <w:sz w:val="24"/>
          <w:szCs w:val="24"/>
          <w:lang w:val="en-GB" w:eastAsia="cs-CZ"/>
        </w:rPr>
        <w:t xml:space="preserve">performance could not take place. It follows </w:t>
      </w:r>
      <w:r w:rsidRPr="00FA1502" w:rsidR="00353D2D">
        <w:rPr>
          <w:rFonts w:ascii="Times New Roman" w:eastAsia="Times New Roman" w:hAnsi="Times New Roman" w:cs="Times New Roman"/>
          <w:sz w:val="24"/>
          <w:szCs w:val="24"/>
          <w:lang w:val="en-GB" w:eastAsia="cs-CZ"/>
        </w:rPr>
        <w:t xml:space="preserve">the </w:t>
      </w:r>
      <w:r w:rsidRPr="00FA1502">
        <w:rPr>
          <w:rFonts w:ascii="Times New Roman" w:eastAsia="Times New Roman" w:hAnsi="Times New Roman" w:cs="Times New Roman"/>
          <w:sz w:val="24"/>
          <w:szCs w:val="24"/>
          <w:lang w:val="en-GB" w:eastAsia="cs-CZ"/>
        </w:rPr>
        <w:t xml:space="preserve">implicitly that the product is no longer </w:t>
      </w:r>
      <w:r w:rsidRPr="00FA1502" w:rsidR="00353D2D">
        <w:rPr>
          <w:rFonts w:ascii="Times New Roman" w:eastAsia="Times New Roman" w:hAnsi="Times New Roman" w:cs="Times New Roman"/>
          <w:sz w:val="24"/>
          <w:szCs w:val="24"/>
          <w:lang w:val="en-GB" w:eastAsia="cs-CZ"/>
        </w:rPr>
        <w:t>tax-supported [either no longer fulfi</w:t>
      </w:r>
      <w:r w:rsidRPr="00FA1502">
        <w:rPr>
          <w:rFonts w:ascii="Times New Roman" w:eastAsia="Times New Roman" w:hAnsi="Times New Roman" w:cs="Times New Roman"/>
          <w:sz w:val="24"/>
          <w:szCs w:val="24"/>
          <w:lang w:val="en-GB" w:eastAsia="cs-CZ"/>
        </w:rPr>
        <w:t>ls the conditio</w:t>
      </w:r>
      <w:r w:rsidRPr="00FA1502" w:rsidR="00353D2D">
        <w:rPr>
          <w:rFonts w:ascii="Times New Roman" w:eastAsia="Times New Roman" w:hAnsi="Times New Roman" w:cs="Times New Roman"/>
          <w:sz w:val="24"/>
          <w:szCs w:val="24"/>
          <w:lang w:val="en-GB" w:eastAsia="cs-CZ"/>
        </w:rPr>
        <w:t>ns set out in paragraph 1 (b), or expired]</w:t>
      </w:r>
      <w:r w:rsidRPr="00FA1502">
        <w:rPr>
          <w:rFonts w:ascii="Times New Roman" w:eastAsia="Times New Roman" w:hAnsi="Times New Roman" w:cs="Times New Roman"/>
          <w:sz w:val="24"/>
          <w:szCs w:val="24"/>
          <w:lang w:val="en-GB" w:eastAsia="cs-CZ"/>
        </w:rPr>
        <w:t>, and it is therefore not possible in</w:t>
      </w:r>
      <w:r w:rsidRPr="00FA1502" w:rsidR="00353D2D">
        <w:rPr>
          <w:rFonts w:ascii="Times New Roman" w:eastAsia="Times New Roman" w:hAnsi="Times New Roman" w:cs="Times New Roman"/>
          <w:sz w:val="24"/>
          <w:szCs w:val="24"/>
          <w:lang w:val="en-GB" w:eastAsia="cs-CZ"/>
        </w:rPr>
        <w:t xml:space="preserve"> the future to take advantage stated in</w:t>
      </w:r>
      <w:r w:rsidRPr="00FA1502">
        <w:rPr>
          <w:rFonts w:ascii="Times New Roman" w:eastAsia="Times New Roman" w:hAnsi="Times New Roman" w:cs="Times New Roman"/>
          <w:sz w:val="24"/>
          <w:szCs w:val="24"/>
          <w:lang w:val="en-GB" w:eastAsia="cs-CZ"/>
        </w:rPr>
        <w:t xml:space="preserve"> </w:t>
      </w:r>
      <w:r w:rsidRPr="00FA1502" w:rsidR="00353D2D">
        <w:rPr>
          <w:rFonts w:ascii="Times New Roman" w:eastAsia="Times New Roman" w:hAnsi="Times New Roman" w:cs="Times New Roman"/>
          <w:sz w:val="24"/>
          <w:szCs w:val="24"/>
          <w:lang w:val="en-GB" w:eastAsia="cs-CZ"/>
        </w:rPr>
        <w:t>the Section 6 (9)</w:t>
      </w:r>
      <w:r w:rsidRPr="00FA1502">
        <w:rPr>
          <w:rFonts w:ascii="Times New Roman" w:eastAsia="Times New Roman" w:hAnsi="Times New Roman" w:cs="Times New Roman"/>
          <w:sz w:val="24"/>
          <w:szCs w:val="24"/>
          <w:lang w:val="en-GB" w:eastAsia="cs-CZ"/>
        </w:rPr>
        <w:t xml:space="preserve"> </w:t>
      </w:r>
      <w:r w:rsidRPr="00FA1502" w:rsidR="00353D2D">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p) nor in</w:t>
      </w:r>
      <w:r w:rsidRPr="00FA1502" w:rsidR="00353D2D">
        <w:rPr>
          <w:rFonts w:ascii="Times New Roman" w:eastAsia="Times New Roman" w:hAnsi="Times New Roman" w:cs="Times New Roman"/>
          <w:sz w:val="24"/>
          <w:szCs w:val="24"/>
          <w:lang w:val="en-GB" w:eastAsia="cs-CZ"/>
        </w:rPr>
        <w:t xml:space="preserve"> the Section 15 (5) of the ZDP</w:t>
      </w:r>
      <w:r w:rsidRPr="00FA1502">
        <w:rPr>
          <w:rFonts w:ascii="Times New Roman" w:eastAsia="Times New Roman" w:hAnsi="Times New Roman" w:cs="Times New Roman"/>
          <w:sz w:val="24"/>
          <w:szCs w:val="24"/>
          <w:lang w:val="en-GB" w:eastAsia="cs-CZ"/>
        </w:rPr>
        <w:t>.</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 xml:space="preserve">Point (b) </w:t>
      </w:r>
      <w:r w:rsidRPr="00FA1502" w:rsidR="008F5218">
        <w:rPr>
          <w:rFonts w:ascii="Times New Roman" w:eastAsia="Times New Roman" w:hAnsi="Times New Roman" w:cs="Times New Roman"/>
          <w:sz w:val="24"/>
          <w:szCs w:val="24"/>
          <w:lang w:val="en-GB" w:eastAsia="cs-CZ"/>
        </w:rPr>
        <w:t>states the return</w:t>
      </w:r>
      <w:r w:rsidRPr="00FA1502">
        <w:rPr>
          <w:rFonts w:ascii="Times New Roman" w:eastAsia="Times New Roman" w:hAnsi="Times New Roman" w:cs="Times New Roman"/>
          <w:sz w:val="24"/>
          <w:szCs w:val="24"/>
          <w:lang w:val="en-GB" w:eastAsia="cs-CZ"/>
        </w:rPr>
        <w:t xml:space="preserve"> of the tax aid in the event that the </w:t>
      </w:r>
      <w:r w:rsidRPr="00FA1502" w:rsidR="008F5218">
        <w:rPr>
          <w:rFonts w:ascii="Times New Roman" w:eastAsia="Times New Roman" w:hAnsi="Times New Roman" w:cs="Times New Roman"/>
          <w:sz w:val="24"/>
          <w:szCs w:val="24"/>
          <w:lang w:val="en-GB" w:eastAsia="cs-CZ"/>
        </w:rPr>
        <w:t>retirement savings product</w:t>
      </w:r>
      <w:r w:rsidRPr="00FA1502">
        <w:rPr>
          <w:rFonts w:ascii="Times New Roman" w:eastAsia="Times New Roman" w:hAnsi="Times New Roman" w:cs="Times New Roman"/>
          <w:sz w:val="24"/>
          <w:szCs w:val="24"/>
          <w:lang w:val="en-GB" w:eastAsia="cs-CZ"/>
        </w:rPr>
        <w:t xml:space="preserve"> ceases to exist </w:t>
      </w:r>
      <w:r w:rsidRPr="00FA1502" w:rsidR="008F5218">
        <w:rPr>
          <w:rFonts w:ascii="Times New Roman" w:eastAsia="Times New Roman" w:hAnsi="Times New Roman" w:cs="Times New Roman"/>
          <w:sz w:val="24"/>
          <w:szCs w:val="24"/>
          <w:lang w:val="en-GB" w:eastAsia="cs-CZ"/>
        </w:rPr>
        <w:t>without any funds or benefits being disbursed</w:t>
      </w:r>
      <w:r w:rsidRPr="00FA1502">
        <w:rPr>
          <w:rFonts w:ascii="Times New Roman" w:eastAsia="Times New Roman" w:hAnsi="Times New Roman" w:cs="Times New Roman"/>
          <w:sz w:val="24"/>
          <w:szCs w:val="24"/>
          <w:lang w:val="en-GB" w:eastAsia="cs-CZ"/>
        </w:rPr>
        <w:t>. These are not very frequent cases</w:t>
      </w:r>
      <w:r w:rsidRPr="00FA1502" w:rsidR="008F5218">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when the product expires and at the same time the taxpayer did not save enough amo</w:t>
      </w:r>
      <w:r w:rsidRPr="00FA1502" w:rsidR="008F5218">
        <w:rPr>
          <w:rFonts w:ascii="Times New Roman" w:eastAsia="Times New Roman" w:hAnsi="Times New Roman" w:cs="Times New Roman"/>
          <w:sz w:val="24"/>
          <w:szCs w:val="24"/>
          <w:lang w:val="en-GB" w:eastAsia="cs-CZ"/>
        </w:rPr>
        <w:t>unt to qualify for any performance</w:t>
      </w:r>
      <w:r w:rsidRPr="00FA1502">
        <w:rPr>
          <w:rFonts w:ascii="Times New Roman" w:eastAsia="Times New Roman" w:hAnsi="Times New Roman" w:cs="Times New Roman"/>
          <w:sz w:val="24"/>
          <w:szCs w:val="24"/>
          <w:lang w:val="en-GB" w:eastAsia="cs-CZ"/>
        </w:rPr>
        <w:t xml:space="preserve"> or disbursement from it, in the case of supplementary pension insurance and supplementary pension savings, these may be situations</w:t>
      </w:r>
      <w:r w:rsidRPr="00FA1502" w:rsidR="008F5218">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where these products are terminated by the taxpayer before the surrender</w:t>
      </w:r>
      <w:r w:rsidRPr="00FA1502" w:rsidR="008F5218">
        <w:rPr>
          <w:rFonts w:ascii="Times New Roman" w:eastAsia="Times New Roman" w:hAnsi="Times New Roman" w:cs="Times New Roman"/>
          <w:sz w:val="24"/>
          <w:szCs w:val="24"/>
          <w:lang w:val="en-GB" w:eastAsia="cs-CZ"/>
        </w:rPr>
        <w:t xml:space="preserve"> payment</w:t>
      </w:r>
      <w:r w:rsidRPr="00FA1502">
        <w:rPr>
          <w:rFonts w:ascii="Times New Roman" w:eastAsia="Times New Roman" w:hAnsi="Times New Roman" w:cs="Times New Roman"/>
          <w:sz w:val="24"/>
          <w:szCs w:val="24"/>
          <w:lang w:val="en-GB" w:eastAsia="cs-CZ"/>
        </w:rPr>
        <w:t xml:space="preserve"> entitlement arises, see above. The exemp</w:t>
      </w:r>
      <w:r w:rsidRPr="00FA1502" w:rsidR="008F5218">
        <w:rPr>
          <w:rFonts w:ascii="Times New Roman" w:eastAsia="Times New Roman" w:hAnsi="Times New Roman" w:cs="Times New Roman"/>
          <w:sz w:val="24"/>
          <w:szCs w:val="24"/>
          <w:lang w:val="en-GB" w:eastAsia="cs-CZ"/>
        </w:rPr>
        <w:t>tion is again set for termination</w:t>
      </w:r>
      <w:r w:rsidRPr="00FA1502">
        <w:rPr>
          <w:rFonts w:ascii="Times New Roman" w:eastAsia="Times New Roman" w:hAnsi="Times New Roman" w:cs="Times New Roman"/>
          <w:sz w:val="24"/>
          <w:szCs w:val="24"/>
          <w:lang w:val="en-GB" w:eastAsia="cs-CZ"/>
        </w:rPr>
        <w:t xml:space="preserve"> due to the death of the taxpayer and also for the situation</w:t>
      </w:r>
      <w:r w:rsidRPr="00FA1502" w:rsidR="008F5218">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where the </w:t>
      </w:r>
      <w:r w:rsidRPr="00FA1502" w:rsidR="008F5218">
        <w:rPr>
          <w:rFonts w:ascii="Times New Roman" w:eastAsia="Times New Roman" w:hAnsi="Times New Roman" w:cs="Times New Roman"/>
          <w:sz w:val="24"/>
          <w:szCs w:val="24"/>
          <w:lang w:val="en-GB" w:eastAsia="cs-CZ"/>
        </w:rPr>
        <w:t>retirement savings product</w:t>
      </w:r>
      <w:r w:rsidRPr="00FA1502">
        <w:rPr>
          <w:rFonts w:ascii="Times New Roman" w:eastAsia="Times New Roman" w:hAnsi="Times New Roman" w:cs="Times New Roman"/>
          <w:sz w:val="24"/>
          <w:szCs w:val="24"/>
          <w:lang w:val="en-GB" w:eastAsia="cs-CZ"/>
        </w:rPr>
        <w:t xml:space="preserve"> ceases to exist, but the taxpayer also transfers the saved funds to another tax-supported savings product of the same kind. </w:t>
      </w:r>
      <w:r w:rsidRPr="00FA1502" w:rsidR="00216928">
        <w:rPr>
          <w:rFonts w:ascii="Times New Roman" w:eastAsia="Times New Roman" w:hAnsi="Times New Roman" w:cs="Times New Roman"/>
          <w:sz w:val="24"/>
          <w:szCs w:val="24"/>
          <w:lang w:val="en-GB" w:eastAsia="cs-CZ"/>
        </w:rPr>
        <w:t>By t</w:t>
      </w:r>
      <w:r w:rsidRPr="00FA1502">
        <w:rPr>
          <w:rFonts w:ascii="Times New Roman" w:eastAsia="Times New Roman" w:hAnsi="Times New Roman" w:cs="Times New Roman"/>
          <w:sz w:val="24"/>
          <w:szCs w:val="24"/>
          <w:lang w:val="en-GB" w:eastAsia="cs-CZ"/>
        </w:rPr>
        <w:t xml:space="preserve">he type of </w:t>
      </w:r>
      <w:r w:rsidRPr="00FA1502" w:rsidR="00216928">
        <w:rPr>
          <w:rFonts w:ascii="Times New Roman" w:eastAsia="Times New Roman" w:hAnsi="Times New Roman" w:cs="Times New Roman"/>
          <w:sz w:val="24"/>
          <w:szCs w:val="24"/>
          <w:lang w:val="en-GB" w:eastAsia="cs-CZ"/>
        </w:rPr>
        <w:t xml:space="preserve">retirement </w:t>
      </w:r>
      <w:r w:rsidRPr="00FA1502">
        <w:rPr>
          <w:rFonts w:ascii="Times New Roman" w:eastAsia="Times New Roman" w:hAnsi="Times New Roman" w:cs="Times New Roman"/>
          <w:sz w:val="24"/>
          <w:szCs w:val="24"/>
          <w:lang w:val="en-GB" w:eastAsia="cs-CZ"/>
        </w:rPr>
        <w:t xml:space="preserve">savings product </w:t>
      </w:r>
      <w:r w:rsidRPr="00FA1502" w:rsidR="00216928">
        <w:rPr>
          <w:rFonts w:ascii="Times New Roman" w:eastAsia="Times New Roman" w:hAnsi="Times New Roman" w:cs="Times New Roman"/>
          <w:sz w:val="24"/>
          <w:szCs w:val="24"/>
          <w:lang w:val="en-GB" w:eastAsia="cs-CZ"/>
        </w:rPr>
        <w:t>are meant</w:t>
      </w:r>
      <w:r w:rsidRPr="00FA1502">
        <w:rPr>
          <w:rFonts w:ascii="Times New Roman" w:eastAsia="Times New Roman" w:hAnsi="Times New Roman" w:cs="Times New Roman"/>
          <w:sz w:val="24"/>
          <w:szCs w:val="24"/>
          <w:lang w:val="en-GB" w:eastAsia="cs-CZ"/>
        </w:rPr>
        <w:t xml:space="preserve"> the items in the individual lette</w:t>
      </w:r>
      <w:r w:rsidRPr="00FA1502" w:rsidR="00216928">
        <w:rPr>
          <w:rFonts w:ascii="Times New Roman" w:eastAsia="Times New Roman" w:hAnsi="Times New Roman" w:cs="Times New Roman"/>
          <w:sz w:val="24"/>
          <w:szCs w:val="24"/>
          <w:lang w:val="en-GB" w:eastAsia="cs-CZ"/>
        </w:rPr>
        <w:t>rs of Section 15a (1) of the ZDP</w:t>
      </w:r>
      <w:r w:rsidRPr="00FA1502">
        <w:rPr>
          <w:rFonts w:ascii="Times New Roman" w:eastAsia="Times New Roman" w:hAnsi="Times New Roman" w:cs="Times New Roman"/>
          <w:sz w:val="24"/>
          <w:szCs w:val="24"/>
          <w:lang w:val="en-GB" w:eastAsia="cs-CZ"/>
        </w:rPr>
        <w:t>. The exempt</w:t>
      </w:r>
      <w:r w:rsidRPr="00FA1502" w:rsidR="00216928">
        <w:rPr>
          <w:rFonts w:ascii="Times New Roman" w:eastAsia="Times New Roman" w:hAnsi="Times New Roman" w:cs="Times New Roman"/>
          <w:sz w:val="24"/>
          <w:szCs w:val="24"/>
          <w:lang w:val="en-GB" w:eastAsia="cs-CZ"/>
        </w:rPr>
        <w:t>ion from the obligation to return</w:t>
      </w:r>
      <w:r w:rsidRPr="00FA1502">
        <w:rPr>
          <w:rFonts w:ascii="Times New Roman" w:eastAsia="Times New Roman" w:hAnsi="Times New Roman" w:cs="Times New Roman"/>
          <w:sz w:val="24"/>
          <w:szCs w:val="24"/>
          <w:lang w:val="en-GB" w:eastAsia="cs-CZ"/>
        </w:rPr>
        <w:t xml:space="preserve"> tax support in the case of transferring saved funds to another tax-supported savings product of the same type allows taxpayers to change the counterparty where they have </w:t>
      </w:r>
      <w:r w:rsidRPr="00FA1502" w:rsidR="00216928">
        <w:rPr>
          <w:rFonts w:ascii="Times New Roman" w:eastAsia="Times New Roman" w:hAnsi="Times New Roman" w:cs="Times New Roman"/>
          <w:sz w:val="24"/>
          <w:szCs w:val="24"/>
          <w:lang w:val="en-GB" w:eastAsia="cs-CZ"/>
        </w:rPr>
        <w:t>set up the product</w:t>
      </w:r>
      <w:r w:rsidRPr="00FA1502">
        <w:rPr>
          <w:rFonts w:ascii="Times New Roman" w:eastAsia="Times New Roman" w:hAnsi="Times New Roman" w:cs="Times New Roman"/>
          <w:sz w:val="24"/>
          <w:szCs w:val="24"/>
          <w:lang w:val="en-GB" w:eastAsia="cs-CZ"/>
        </w:rPr>
        <w:t xml:space="preserve"> (e</w:t>
      </w:r>
      <w:r w:rsidRPr="00FA1502" w:rsidR="00216928">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g</w:t>
      </w:r>
      <w:r w:rsidRPr="00FA1502" w:rsidR="00216928">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because of hi</w:t>
      </w:r>
      <w:r w:rsidRPr="00FA1502" w:rsidR="00216928">
        <w:rPr>
          <w:rFonts w:ascii="Times New Roman" w:eastAsia="Times New Roman" w:hAnsi="Times New Roman" w:cs="Times New Roman"/>
          <w:sz w:val="24"/>
          <w:szCs w:val="24"/>
          <w:lang w:val="en-GB" w:eastAsia="cs-CZ"/>
        </w:rPr>
        <w:t>gher interest or lower fees</w:t>
      </w:r>
      <w:r w:rsidRPr="00FA1502">
        <w:rPr>
          <w:rFonts w:ascii="Times New Roman" w:eastAsia="Times New Roman" w:hAnsi="Times New Roman" w:cs="Times New Roman"/>
          <w:sz w:val="24"/>
          <w:szCs w:val="24"/>
          <w:lang w:val="en-GB" w:eastAsia="cs-CZ"/>
        </w:rPr>
        <w:t xml:space="preserve"> fo</w:t>
      </w:r>
      <w:r w:rsidRPr="00FA1502" w:rsidR="00216928">
        <w:rPr>
          <w:rFonts w:ascii="Times New Roman" w:eastAsia="Times New Roman" w:hAnsi="Times New Roman" w:cs="Times New Roman"/>
          <w:sz w:val="24"/>
          <w:szCs w:val="24"/>
          <w:lang w:val="en-GB" w:eastAsia="cs-CZ"/>
        </w:rPr>
        <w:t>r product management) without lo</w:t>
      </w:r>
      <w:r w:rsidRPr="00FA1502">
        <w:rPr>
          <w:rFonts w:ascii="Times New Roman" w:eastAsia="Times New Roman" w:hAnsi="Times New Roman" w:cs="Times New Roman"/>
          <w:sz w:val="24"/>
          <w:szCs w:val="24"/>
          <w:lang w:val="en-GB" w:eastAsia="cs-CZ"/>
        </w:rPr>
        <w:t>sing tax support due to early product termination. Such a transfer preserves the sense of tax support, the saved funds are only transferred elsewhere and the taxpay</w:t>
      </w:r>
      <w:r w:rsidRPr="00FA1502" w:rsidR="00216928">
        <w:rPr>
          <w:rFonts w:ascii="Times New Roman" w:eastAsia="Times New Roman" w:hAnsi="Times New Roman" w:cs="Times New Roman"/>
          <w:sz w:val="24"/>
          <w:szCs w:val="24"/>
          <w:lang w:val="en-GB" w:eastAsia="cs-CZ"/>
        </w:rPr>
        <w:t>er continues to save for retirement</w:t>
      </w:r>
      <w:r w:rsidRPr="00FA1502">
        <w:rPr>
          <w:rFonts w:ascii="Times New Roman" w:eastAsia="Times New Roman" w:hAnsi="Times New Roman" w:cs="Times New Roman"/>
          <w:sz w:val="24"/>
          <w:szCs w:val="24"/>
          <w:lang w:val="en-GB" w:eastAsia="cs-CZ"/>
        </w:rPr>
        <w:t>. As a special case, there is an exception for the transfer of saved funds from supplementary pension insurance to supplementary pension savings, which is al</w:t>
      </w:r>
      <w:r w:rsidRPr="00FA1502" w:rsidR="00216928">
        <w:rPr>
          <w:rFonts w:ascii="Times New Roman" w:eastAsia="Times New Roman" w:hAnsi="Times New Roman" w:cs="Times New Roman"/>
          <w:sz w:val="24"/>
          <w:szCs w:val="24"/>
          <w:lang w:val="en-GB" w:eastAsia="cs-CZ"/>
        </w:rPr>
        <w:t>lowed in Section 191 of the ZDPS</w:t>
      </w:r>
      <w:r w:rsidRPr="00FA1502">
        <w:rPr>
          <w:rFonts w:ascii="Times New Roman" w:eastAsia="Times New Roman" w:hAnsi="Times New Roman" w:cs="Times New Roman"/>
          <w:sz w:val="24"/>
          <w:szCs w:val="24"/>
          <w:lang w:val="en-GB" w:eastAsia="cs-CZ"/>
        </w:rPr>
        <w:t>.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 xml:space="preserve">Paragraph 5 </w:t>
      </w:r>
      <w:r w:rsidRPr="00FA1502">
        <w:rPr>
          <w:rFonts w:ascii="Times New Roman" w:eastAsia="Times New Roman" w:hAnsi="Times New Roman" w:cs="Times New Roman"/>
          <w:sz w:val="24"/>
          <w:szCs w:val="24"/>
          <w:lang w:val="en-GB" w:eastAsia="cs-CZ"/>
        </w:rPr>
        <w:t>sets out</w:t>
      </w:r>
      <w:r w:rsidRPr="00FA1502" w:rsidR="00A21AE8">
        <w:rPr>
          <w:rFonts w:ascii="Times New Roman" w:eastAsia="Times New Roman" w:hAnsi="Times New Roman" w:cs="Times New Roman"/>
          <w:sz w:val="24"/>
          <w:szCs w:val="24"/>
          <w:lang w:val="en-GB" w:eastAsia="cs-CZ"/>
        </w:rPr>
        <w:t>, what is meant by the return</w:t>
      </w:r>
      <w:r w:rsidRPr="00FA1502">
        <w:rPr>
          <w:rFonts w:ascii="Times New Roman" w:eastAsia="Times New Roman" w:hAnsi="Times New Roman" w:cs="Times New Roman"/>
          <w:sz w:val="24"/>
          <w:szCs w:val="24"/>
          <w:lang w:val="en-GB" w:eastAsia="cs-CZ"/>
        </w:rPr>
        <w:t xml:space="preserve"> of the tax support to the </w:t>
      </w:r>
      <w:r w:rsidRPr="00FA1502" w:rsidR="00A21AE8">
        <w:rPr>
          <w:rFonts w:ascii="Times New Roman" w:eastAsia="Times New Roman" w:hAnsi="Times New Roman" w:cs="Times New Roman"/>
          <w:sz w:val="24"/>
          <w:szCs w:val="24"/>
          <w:lang w:val="en-GB" w:eastAsia="cs-CZ"/>
        </w:rPr>
        <w:t>retirement savings product</w:t>
      </w:r>
      <w:r w:rsidRPr="00FA1502">
        <w:rPr>
          <w:rFonts w:ascii="Times New Roman" w:eastAsia="Times New Roman" w:hAnsi="Times New Roman" w:cs="Times New Roman"/>
          <w:sz w:val="24"/>
          <w:szCs w:val="24"/>
          <w:lang w:val="en-GB" w:eastAsia="cs-CZ"/>
        </w:rPr>
        <w:t>. If any of the circumstances referred to in paragraph 4 arise, this entails four co</w:t>
      </w:r>
      <w:r w:rsidRPr="00FA1502" w:rsidR="00A21AE8">
        <w:rPr>
          <w:rFonts w:ascii="Times New Roman" w:eastAsia="Times New Roman" w:hAnsi="Times New Roman" w:cs="Times New Roman"/>
          <w:sz w:val="24"/>
          <w:szCs w:val="24"/>
          <w:lang w:val="en-GB" w:eastAsia="cs-CZ"/>
        </w:rPr>
        <w:t>nsequences for the taxpayer</w:t>
      </w:r>
      <w:r w:rsidRPr="00FA1502">
        <w:rPr>
          <w:rFonts w:ascii="Times New Roman" w:eastAsia="Times New Roman" w:hAnsi="Times New Roman" w:cs="Times New Roman"/>
          <w:sz w:val="24"/>
          <w:szCs w:val="24"/>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Pursuant to </w:t>
      </w:r>
      <w:r w:rsidRPr="00FA1502" w:rsidR="00A21AE8">
        <w:rPr>
          <w:rFonts w:ascii="Times New Roman" w:eastAsia="Times New Roman" w:hAnsi="Times New Roman" w:cs="Times New Roman"/>
          <w:sz w:val="24"/>
          <w:szCs w:val="24"/>
          <w:u w:val="single"/>
          <w:lang w:val="en-GB" w:eastAsia="cs-CZ"/>
        </w:rPr>
        <w:t>point</w:t>
      </w:r>
      <w:r w:rsidRPr="00FA1502">
        <w:rPr>
          <w:rFonts w:ascii="Times New Roman" w:eastAsia="Times New Roman" w:hAnsi="Times New Roman" w:cs="Times New Roman"/>
          <w:sz w:val="24"/>
          <w:szCs w:val="24"/>
          <w:u w:val="single"/>
          <w:lang w:val="en-GB" w:eastAsia="cs-CZ"/>
        </w:rPr>
        <w:t xml:space="preserve"> (a)</w:t>
      </w:r>
      <w:r w:rsidRPr="00FA1502">
        <w:rPr>
          <w:rFonts w:ascii="Times New Roman" w:eastAsia="Times New Roman" w:hAnsi="Times New Roman" w:cs="Times New Roman"/>
          <w:sz w:val="24"/>
          <w:szCs w:val="24"/>
          <w:lang w:val="en-GB" w:eastAsia="cs-CZ"/>
        </w:rPr>
        <w:t>, the taxpayer shall receive income p</w:t>
      </w:r>
      <w:r w:rsidRPr="00FA1502" w:rsidR="00A21AE8">
        <w:rPr>
          <w:rFonts w:ascii="Times New Roman" w:eastAsia="Times New Roman" w:hAnsi="Times New Roman" w:cs="Times New Roman"/>
          <w:sz w:val="24"/>
          <w:szCs w:val="24"/>
          <w:lang w:val="en-GB" w:eastAsia="cs-CZ"/>
        </w:rPr>
        <w:t>ursuant to Section 10 of the ZDP</w:t>
      </w:r>
      <w:r w:rsidRPr="00FA1502">
        <w:rPr>
          <w:rFonts w:ascii="Times New Roman" w:eastAsia="Times New Roman" w:hAnsi="Times New Roman" w:cs="Times New Roman"/>
          <w:sz w:val="24"/>
          <w:szCs w:val="24"/>
          <w:lang w:val="en-GB" w:eastAsia="cs-CZ"/>
        </w:rPr>
        <w:t xml:space="preserve"> in the amount of the total contributions paid for the </w:t>
      </w:r>
      <w:r w:rsidRPr="00FA1502" w:rsidR="00A21AE8">
        <w:rPr>
          <w:rFonts w:ascii="Times New Roman" w:eastAsia="Times New Roman" w:hAnsi="Times New Roman" w:cs="Times New Roman"/>
          <w:sz w:val="24"/>
          <w:szCs w:val="24"/>
          <w:lang w:val="en-GB" w:eastAsia="cs-CZ"/>
        </w:rPr>
        <w:t xml:space="preserve">retirement savings </w:t>
      </w:r>
      <w:r w:rsidRPr="00FA1502">
        <w:rPr>
          <w:rFonts w:ascii="Times New Roman" w:eastAsia="Times New Roman" w:hAnsi="Times New Roman" w:cs="Times New Roman"/>
          <w:sz w:val="24"/>
          <w:szCs w:val="24"/>
          <w:lang w:val="en-GB" w:eastAsia="cs-CZ"/>
        </w:rPr>
        <w:t>product</w:t>
      </w:r>
      <w:r w:rsidRPr="00FA1502" w:rsidR="00A21AE8">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t>
      </w:r>
      <w:r w:rsidRPr="00FA1502" w:rsidR="00A21AE8">
        <w:rPr>
          <w:rFonts w:ascii="Times New Roman" w:eastAsia="Times New Roman" w:hAnsi="Times New Roman" w:cs="Times New Roman"/>
          <w:sz w:val="24"/>
          <w:szCs w:val="24"/>
          <w:lang w:val="en-GB" w:eastAsia="cs-CZ"/>
        </w:rPr>
        <w:t xml:space="preserve">to </w:t>
      </w:r>
      <w:r w:rsidRPr="00FA1502">
        <w:rPr>
          <w:rFonts w:ascii="Times New Roman" w:eastAsia="Times New Roman" w:hAnsi="Times New Roman" w:cs="Times New Roman"/>
          <w:sz w:val="24"/>
          <w:szCs w:val="24"/>
          <w:lang w:val="en-GB" w:eastAsia="cs-CZ"/>
        </w:rPr>
        <w:t>which</w:t>
      </w:r>
      <w:r w:rsidRPr="00FA1502" w:rsidR="00A21AE8">
        <w:rPr>
          <w:rFonts w:ascii="Times New Roman" w:eastAsia="Times New Roman" w:hAnsi="Times New Roman" w:cs="Times New Roman"/>
          <w:sz w:val="24"/>
          <w:szCs w:val="24"/>
          <w:lang w:val="en-GB" w:eastAsia="cs-CZ"/>
        </w:rPr>
        <w:t xml:space="preserve"> is referred to in paragraph 4,</w:t>
      </w:r>
      <w:r w:rsidRPr="00FA1502">
        <w:rPr>
          <w:rFonts w:ascii="Times New Roman" w:eastAsia="Times New Roman" w:hAnsi="Times New Roman" w:cs="Times New Roman"/>
          <w:sz w:val="24"/>
          <w:szCs w:val="24"/>
          <w:lang w:val="en-GB" w:eastAsia="cs-CZ"/>
        </w:rPr>
        <w:t xml:space="preserve"> </w:t>
      </w:r>
      <w:r w:rsidRPr="00FA1502" w:rsidR="00A21AE8">
        <w:rPr>
          <w:rFonts w:ascii="Times New Roman" w:eastAsia="Times New Roman" w:hAnsi="Times New Roman" w:cs="Times New Roman"/>
          <w:sz w:val="24"/>
          <w:szCs w:val="24"/>
          <w:lang w:val="en-GB" w:eastAsia="cs-CZ"/>
        </w:rPr>
        <w:t xml:space="preserve">which were </w:t>
      </w:r>
      <w:r w:rsidRPr="00FA1502">
        <w:rPr>
          <w:rFonts w:ascii="Times New Roman" w:eastAsia="Times New Roman" w:hAnsi="Times New Roman" w:cs="Times New Roman"/>
          <w:sz w:val="24"/>
          <w:szCs w:val="24"/>
          <w:lang w:val="en-GB" w:eastAsia="cs-CZ"/>
        </w:rPr>
        <w:t>deducted from the tax base for the immediately preceding 10 taxation periods. This increases the tax base by the amount that was reduced in the previous 10 taxation periods. The ten-year period chosen respects the maximum period for determining the tax, as well as the period</w:t>
      </w:r>
      <w:r w:rsidRPr="00FA1502" w:rsidR="00A21AE8">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for which </w:t>
      </w:r>
      <w:r w:rsidRPr="00FA1502" w:rsidR="00A21AE8">
        <w:rPr>
          <w:rFonts w:ascii="Times New Roman" w:eastAsia="Times New Roman" w:hAnsi="Times New Roman" w:cs="Times New Roman"/>
          <w:sz w:val="24"/>
          <w:szCs w:val="24"/>
          <w:lang w:val="en-GB" w:eastAsia="cs-CZ"/>
        </w:rPr>
        <w:t>it is possible to request preserve receipt</w:t>
      </w:r>
      <w:r w:rsidRPr="00FA1502">
        <w:rPr>
          <w:rFonts w:ascii="Times New Roman" w:eastAsia="Times New Roman" w:hAnsi="Times New Roman" w:cs="Times New Roman"/>
          <w:sz w:val="24"/>
          <w:szCs w:val="24"/>
          <w:lang w:val="en-GB" w:eastAsia="cs-CZ"/>
        </w:rPr>
        <w:t xml:space="preserve"> of the tax-deductible contributions and the contributions paid by the employer, which have</w:t>
      </w:r>
      <w:r w:rsidRPr="00FA1502" w:rsidR="00A21AE8">
        <w:rPr>
          <w:rFonts w:ascii="Times New Roman" w:eastAsia="Times New Roman" w:hAnsi="Times New Roman" w:cs="Times New Roman"/>
          <w:sz w:val="24"/>
          <w:szCs w:val="24"/>
          <w:lang w:val="en-GB" w:eastAsia="cs-CZ"/>
        </w:rPr>
        <w:t xml:space="preserve"> been exempted.</w:t>
      </w:r>
      <w:r w:rsidRPr="00FA1502">
        <w:rPr>
          <w:rFonts w:ascii="Times New Roman" w:eastAsia="Times New Roman" w:hAnsi="Times New Roman" w:cs="Times New Roman"/>
          <w:sz w:val="24"/>
          <w:szCs w:val="24"/>
          <w:lang w:val="en-GB" w:eastAsia="cs-CZ"/>
        </w:rPr>
        <w:t>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 xml:space="preserve">Point (b) </w:t>
      </w:r>
      <w:r w:rsidRPr="00FA1502">
        <w:rPr>
          <w:rFonts w:ascii="Times New Roman" w:eastAsia="Times New Roman" w:hAnsi="Times New Roman" w:cs="Times New Roman"/>
          <w:sz w:val="24"/>
          <w:szCs w:val="24"/>
          <w:lang w:val="en-GB" w:eastAsia="cs-CZ"/>
        </w:rPr>
        <w:t>supplements the rule referred to in point (a) and applies to situations</w:t>
      </w:r>
      <w:r w:rsidRPr="00FA1502" w:rsidR="00BC0CBE">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in which some of the circumstances referred to in paragraph 4 occur during the tax year and the taxpayer has already paid contributions to th</w:t>
      </w:r>
      <w:r w:rsidRPr="00FA1502" w:rsidR="00BC0CBE">
        <w:rPr>
          <w:rFonts w:ascii="Times New Roman" w:eastAsia="Times New Roman" w:hAnsi="Times New Roman" w:cs="Times New Roman"/>
          <w:sz w:val="24"/>
          <w:szCs w:val="24"/>
          <w:lang w:val="en-GB" w:eastAsia="cs-CZ"/>
        </w:rPr>
        <w:t>e savings product in the period of</w:t>
      </w:r>
      <w:r w:rsidRPr="00FA1502">
        <w:rPr>
          <w:rFonts w:ascii="Times New Roman" w:eastAsia="Times New Roman" w:hAnsi="Times New Roman" w:cs="Times New Roman"/>
          <w:sz w:val="24"/>
          <w:szCs w:val="24"/>
          <w:lang w:val="en-GB" w:eastAsia="cs-CZ"/>
        </w:rPr>
        <w:t xml:space="preserve"> one of the previous calendar months, </w:t>
      </w:r>
      <w:r w:rsidRPr="00FA1502" w:rsidR="00BC0CBE">
        <w:rPr>
          <w:rFonts w:ascii="Times New Roman" w:eastAsia="Times New Roman" w:hAnsi="Times New Roman" w:cs="Times New Roman"/>
          <w:sz w:val="24"/>
          <w:szCs w:val="24"/>
          <w:lang w:val="en-GB" w:eastAsia="cs-CZ"/>
        </w:rPr>
        <w:t xml:space="preserve">thus the </w:t>
      </w:r>
      <w:r w:rsidRPr="00FA1502">
        <w:rPr>
          <w:rFonts w:ascii="Times New Roman" w:eastAsia="Times New Roman" w:hAnsi="Times New Roman" w:cs="Times New Roman"/>
          <w:sz w:val="24"/>
          <w:szCs w:val="24"/>
          <w:lang w:val="en-GB" w:eastAsia="cs-CZ"/>
        </w:rPr>
        <w:t>month</w:t>
      </w:r>
      <w:r w:rsidRPr="00FA1502" w:rsidR="00BC0CBE">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when the product was still tax-supported. Indeed, the product ceases to be tax-assisted at the point in time when one of the circumstances referred to in paragraph 4 occurs. Point (b) therefore prevents the taxpayer from reducing his tax base by the contributions </w:t>
      </w:r>
      <w:r w:rsidRPr="00FA1502">
        <w:rPr>
          <w:rFonts w:ascii="Times New Roman" w:eastAsia="Times New Roman" w:hAnsi="Times New Roman" w:cs="Times New Roman"/>
          <w:sz w:val="24"/>
          <w:szCs w:val="24"/>
          <w:lang w:val="en-GB" w:eastAsia="cs-CZ"/>
        </w:rPr>
        <w:t xml:space="preserve">paid for the </w:t>
      </w:r>
      <w:r w:rsidRPr="00FA1502" w:rsidR="00BC0CBE">
        <w:rPr>
          <w:rFonts w:ascii="Times New Roman" w:eastAsia="Times New Roman" w:hAnsi="Times New Roman" w:cs="Times New Roman"/>
          <w:sz w:val="24"/>
          <w:szCs w:val="24"/>
          <w:lang w:val="en-GB" w:eastAsia="cs-CZ"/>
        </w:rPr>
        <w:t>retirement savings product</w:t>
      </w:r>
      <w:r w:rsidRPr="00FA1502">
        <w:rPr>
          <w:rFonts w:ascii="Times New Roman" w:eastAsia="Times New Roman" w:hAnsi="Times New Roman" w:cs="Times New Roman"/>
          <w:sz w:val="24"/>
          <w:szCs w:val="24"/>
          <w:lang w:val="en-GB" w:eastAsia="cs-CZ"/>
        </w:rPr>
        <w:t xml:space="preserve"> before ceasing be tax-supported.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Pursuant to </w:t>
      </w:r>
      <w:r w:rsidRPr="00FA1502">
        <w:rPr>
          <w:rFonts w:ascii="Times New Roman" w:eastAsia="Times New Roman" w:hAnsi="Times New Roman" w:cs="Times New Roman"/>
          <w:sz w:val="24"/>
          <w:szCs w:val="24"/>
          <w:u w:val="single"/>
          <w:lang w:val="en-GB" w:eastAsia="cs-CZ"/>
        </w:rPr>
        <w:t>point</w:t>
      </w:r>
      <w:r w:rsidRPr="00FA1502">
        <w:rPr>
          <w:rFonts w:ascii="Times New Roman" w:eastAsia="Times New Roman" w:hAnsi="Times New Roman" w:cs="Times New Roman"/>
          <w:sz w:val="24"/>
          <w:szCs w:val="24"/>
          <w:u w:val="single"/>
          <w:lang w:val="en-GB" w:eastAsia="cs-CZ"/>
        </w:rPr>
        <w:t xml:space="preserve"> (c)</w:t>
      </w:r>
      <w:r w:rsidRPr="00FA1502">
        <w:rPr>
          <w:rFonts w:ascii="Times New Roman" w:eastAsia="Times New Roman" w:hAnsi="Times New Roman" w:cs="Times New Roman"/>
          <w:sz w:val="24"/>
          <w:szCs w:val="24"/>
          <w:lang w:val="en-GB" w:eastAsia="cs-CZ"/>
        </w:rPr>
        <w:t xml:space="preserve">, the taxpayer receives income under </w:t>
      </w:r>
      <w:r w:rsidRPr="00FA1502">
        <w:rPr>
          <w:rFonts w:ascii="Times New Roman" w:eastAsia="Times New Roman" w:hAnsi="Times New Roman" w:cs="Times New Roman"/>
          <w:sz w:val="24"/>
          <w:szCs w:val="24"/>
          <w:lang w:val="en-GB" w:eastAsia="cs-CZ"/>
        </w:rPr>
        <w:t>the Section 6 of the ZDP</w:t>
      </w:r>
      <w:r w:rsidRPr="00FA1502">
        <w:rPr>
          <w:rFonts w:ascii="Times New Roman" w:eastAsia="Times New Roman" w:hAnsi="Times New Roman" w:cs="Times New Roman"/>
          <w:sz w:val="24"/>
          <w:szCs w:val="24"/>
          <w:lang w:val="en-GB" w:eastAsia="cs-CZ"/>
        </w:rPr>
        <w:t>, i</w:t>
      </w:r>
      <w:r w:rsidRPr="00FA1502">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income from employment, in the amount of the total contributions paid by the employer for t</w:t>
      </w:r>
      <w:r w:rsidRPr="00FA1502">
        <w:rPr>
          <w:rFonts w:ascii="Times New Roman" w:eastAsia="Times New Roman" w:hAnsi="Times New Roman" w:cs="Times New Roman"/>
          <w:sz w:val="24"/>
          <w:szCs w:val="24"/>
          <w:lang w:val="en-GB" w:eastAsia="cs-CZ"/>
        </w:rPr>
        <w:t>his product, which were</w:t>
      </w:r>
      <w:r w:rsidRPr="00FA1502">
        <w:rPr>
          <w:rFonts w:ascii="Times New Roman" w:eastAsia="Times New Roman" w:hAnsi="Times New Roman" w:cs="Times New Roman"/>
          <w:sz w:val="24"/>
          <w:szCs w:val="24"/>
          <w:lang w:val="en-GB" w:eastAsia="cs-CZ"/>
        </w:rPr>
        <w:t xml:space="preserve"> during the tax period</w:t>
      </w:r>
      <w:r w:rsidRPr="00FA1502">
        <w:rPr>
          <w:rFonts w:ascii="Times New Roman" w:eastAsia="Times New Roman" w:hAnsi="Times New Roman" w:cs="Times New Roman"/>
          <w:sz w:val="24"/>
          <w:szCs w:val="24"/>
          <w:lang w:val="en-GB" w:eastAsia="cs-CZ"/>
        </w:rPr>
        <w:t>, in which the tax support is returned</w:t>
      </w:r>
      <w:r w:rsidRPr="00FA1502" w:rsidR="00E64379">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and </w:t>
      </w:r>
      <w:r w:rsidRPr="00FA1502" w:rsidR="00E64379">
        <w:rPr>
          <w:rFonts w:ascii="Times New Roman" w:eastAsia="Times New Roman" w:hAnsi="Times New Roman" w:cs="Times New Roman"/>
          <w:sz w:val="24"/>
          <w:szCs w:val="24"/>
          <w:lang w:val="en-GB" w:eastAsia="cs-CZ"/>
        </w:rPr>
        <w:t xml:space="preserve">in </w:t>
      </w:r>
      <w:r w:rsidRPr="00FA1502">
        <w:rPr>
          <w:rFonts w:ascii="Times New Roman" w:eastAsia="Times New Roman" w:hAnsi="Times New Roman" w:cs="Times New Roman"/>
          <w:sz w:val="24"/>
          <w:szCs w:val="24"/>
          <w:lang w:val="en-GB" w:eastAsia="cs-CZ"/>
        </w:rPr>
        <w:t>10 immediately preceding 10</w:t>
      </w:r>
      <w:r w:rsidRPr="00FA1502">
        <w:rPr>
          <w:rFonts w:ascii="Times New Roman" w:eastAsia="Times New Roman" w:hAnsi="Times New Roman" w:cs="Times New Roman"/>
          <w:sz w:val="24"/>
          <w:szCs w:val="24"/>
          <w:lang w:val="en-GB" w:eastAsia="cs-CZ"/>
        </w:rPr>
        <w:t xml:space="preserve"> </w:t>
      </w:r>
      <w:r w:rsidRPr="00FA1502" w:rsidR="00E64379">
        <w:rPr>
          <w:rFonts w:ascii="Times New Roman" w:eastAsia="Times New Roman" w:hAnsi="Times New Roman" w:cs="Times New Roman"/>
          <w:sz w:val="24"/>
          <w:szCs w:val="24"/>
          <w:lang w:val="en-GB" w:eastAsia="cs-CZ"/>
        </w:rPr>
        <w:t xml:space="preserve">months, exempted </w:t>
      </w:r>
      <w:r w:rsidRPr="00FA1502">
        <w:rPr>
          <w:rFonts w:ascii="Times New Roman" w:eastAsia="Times New Roman" w:hAnsi="Times New Roman" w:cs="Times New Roman"/>
          <w:sz w:val="24"/>
          <w:szCs w:val="24"/>
          <w:lang w:val="en-GB" w:eastAsia="cs-CZ"/>
        </w:rPr>
        <w:t xml:space="preserve">from income tax. This leads </w:t>
      </w:r>
      <w:r w:rsidRPr="00FA1502">
        <w:rPr>
          <w:rFonts w:ascii="Times New Roman" w:eastAsia="Times New Roman" w:hAnsi="Times New Roman" w:cs="Times New Roman"/>
          <w:i/>
          <w:iCs/>
          <w:sz w:val="24"/>
          <w:szCs w:val="24"/>
          <w:lang w:val="en-GB" w:eastAsia="cs-CZ"/>
        </w:rPr>
        <w:t xml:space="preserve">de facto </w:t>
      </w:r>
      <w:r w:rsidRPr="00FA1502">
        <w:rPr>
          <w:rFonts w:ascii="Times New Roman" w:eastAsia="Times New Roman" w:hAnsi="Times New Roman" w:cs="Times New Roman"/>
          <w:sz w:val="24"/>
          <w:szCs w:val="24"/>
          <w:lang w:val="en-GB" w:eastAsia="cs-CZ"/>
        </w:rPr>
        <w:t xml:space="preserve">to increase the tax base by employer contributions that were in the </w:t>
      </w:r>
      <w:r w:rsidRPr="00FA1502" w:rsidR="00E64379">
        <w:rPr>
          <w:rFonts w:ascii="Times New Roman" w:eastAsia="Times New Roman" w:hAnsi="Times New Roman" w:cs="Times New Roman"/>
          <w:sz w:val="24"/>
          <w:szCs w:val="24"/>
          <w:lang w:val="en-GB" w:eastAsia="cs-CZ"/>
        </w:rPr>
        <w:t xml:space="preserve">aforementioned </w:t>
      </w:r>
      <w:r w:rsidRPr="00FA1502">
        <w:rPr>
          <w:rFonts w:ascii="Times New Roman" w:eastAsia="Times New Roman" w:hAnsi="Times New Roman" w:cs="Times New Roman"/>
          <w:sz w:val="24"/>
          <w:szCs w:val="24"/>
          <w:lang w:val="en-GB" w:eastAsia="cs-CZ"/>
        </w:rPr>
        <w:t>time periods exempt. Unlike in</w:t>
      </w:r>
      <w:r w:rsidRPr="00FA1502" w:rsidR="00E64379">
        <w:rPr>
          <w:rFonts w:ascii="Times New Roman" w:eastAsia="Times New Roman" w:hAnsi="Times New Roman" w:cs="Times New Roman"/>
          <w:sz w:val="24"/>
          <w:szCs w:val="24"/>
          <w:lang w:val="en-GB" w:eastAsia="cs-CZ"/>
        </w:rPr>
        <w:t>come pursuant to Section 10 of the ZDP pursuant to point</w:t>
      </w:r>
      <w:r w:rsidRPr="00FA1502">
        <w:rPr>
          <w:rFonts w:ascii="Times New Roman" w:eastAsia="Times New Roman" w:hAnsi="Times New Roman" w:cs="Times New Roman"/>
          <w:sz w:val="24"/>
          <w:szCs w:val="24"/>
          <w:lang w:val="en-GB" w:eastAsia="cs-CZ"/>
        </w:rPr>
        <w:t xml:space="preserve"> (a), </w:t>
      </w:r>
      <w:r w:rsidRPr="00FA1502" w:rsidR="00E64379">
        <w:rPr>
          <w:rFonts w:ascii="Times New Roman" w:eastAsia="Times New Roman" w:hAnsi="Times New Roman" w:cs="Times New Roman"/>
          <w:sz w:val="24"/>
          <w:szCs w:val="24"/>
          <w:lang w:val="en-GB" w:eastAsia="cs-CZ"/>
        </w:rPr>
        <w:t>here also</w:t>
      </w:r>
      <w:r w:rsidRPr="00FA1502">
        <w:rPr>
          <w:rFonts w:ascii="Times New Roman" w:eastAsia="Times New Roman" w:hAnsi="Times New Roman" w:cs="Times New Roman"/>
          <w:sz w:val="24"/>
          <w:szCs w:val="24"/>
          <w:lang w:val="en-GB" w:eastAsia="cs-CZ"/>
        </w:rPr>
        <w:t xml:space="preserve"> arises </w:t>
      </w:r>
      <w:r w:rsidRPr="00FA1502" w:rsidR="00E64379">
        <w:rPr>
          <w:rFonts w:ascii="Times New Roman" w:eastAsia="Times New Roman" w:hAnsi="Times New Roman" w:cs="Times New Roman"/>
          <w:sz w:val="24"/>
          <w:szCs w:val="24"/>
          <w:lang w:val="en-GB" w:eastAsia="cs-CZ"/>
        </w:rPr>
        <w:t xml:space="preserve">the income </w:t>
      </w:r>
      <w:r w:rsidRPr="00FA1502">
        <w:rPr>
          <w:rFonts w:ascii="Times New Roman" w:eastAsia="Times New Roman" w:hAnsi="Times New Roman" w:cs="Times New Roman"/>
          <w:sz w:val="24"/>
          <w:szCs w:val="24"/>
          <w:lang w:val="en-GB" w:eastAsia="cs-CZ"/>
        </w:rPr>
        <w:t>in the amount of the employer's contributions paid in the taxable period</w:t>
      </w:r>
      <w:r w:rsidRPr="00FA1502" w:rsidR="00512584">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in which the tax refund is due, because the employer pays monthly advance payments </w:t>
      </w:r>
      <w:r w:rsidRPr="00FA1502" w:rsidR="00512584">
        <w:rPr>
          <w:rFonts w:ascii="Times New Roman" w:eastAsia="Times New Roman" w:hAnsi="Times New Roman" w:cs="Times New Roman"/>
          <w:sz w:val="24"/>
          <w:szCs w:val="24"/>
          <w:lang w:val="en-GB" w:eastAsia="cs-CZ"/>
        </w:rPr>
        <w:t xml:space="preserve">for </w:t>
      </w:r>
      <w:r w:rsidRPr="00FA1502">
        <w:rPr>
          <w:rFonts w:ascii="Times New Roman" w:eastAsia="Times New Roman" w:hAnsi="Times New Roman" w:cs="Times New Roman"/>
          <w:sz w:val="24"/>
          <w:szCs w:val="24"/>
          <w:lang w:val="en-GB" w:eastAsia="cs-CZ"/>
        </w:rPr>
        <w:t xml:space="preserve">the income from employment and the exemption of contributions paid by the employer for the preceding part of the tax period, which was still a tax-supported product, had already been reflected in these advances. In order to prevent the employer from correcting the advance payments already paid, it is stipulated in the part of the sentence after the semicolon that </w:t>
      </w:r>
      <w:r w:rsidRPr="00FA1502" w:rsidR="00512584">
        <w:rPr>
          <w:rFonts w:ascii="Times New Roman" w:eastAsia="Times New Roman" w:hAnsi="Times New Roman" w:cs="Times New Roman"/>
          <w:sz w:val="24"/>
          <w:szCs w:val="24"/>
          <w:lang w:val="en-GB" w:eastAsia="cs-CZ"/>
        </w:rPr>
        <w:t>the income thus generated pursuant to Section 6 of the ZDP</w:t>
      </w:r>
      <w:r w:rsidRPr="00FA1502">
        <w:rPr>
          <w:rFonts w:ascii="Times New Roman" w:eastAsia="Times New Roman" w:hAnsi="Times New Roman" w:cs="Times New Roman"/>
          <w:sz w:val="24"/>
          <w:szCs w:val="24"/>
          <w:lang w:val="en-GB" w:eastAsia="cs-CZ"/>
        </w:rPr>
        <w:t xml:space="preserve"> is not considered income paid by the payer of income tax</w:t>
      </w:r>
      <w:r w:rsidRPr="00FA1502" w:rsidR="00512584">
        <w:rPr>
          <w:rFonts w:ascii="Times New Roman" w:eastAsia="Times New Roman" w:hAnsi="Times New Roman" w:cs="Times New Roman"/>
          <w:sz w:val="24"/>
          <w:szCs w:val="24"/>
          <w:lang w:val="en-GB" w:eastAsia="cs-CZ"/>
        </w:rPr>
        <w:t xml:space="preserve"> from employment. Thus, advanced payments</w:t>
      </w:r>
      <w:r w:rsidRPr="00FA1502">
        <w:rPr>
          <w:rFonts w:ascii="Times New Roman" w:eastAsia="Times New Roman" w:hAnsi="Times New Roman" w:cs="Times New Roman"/>
          <w:sz w:val="24"/>
          <w:szCs w:val="24"/>
          <w:lang w:val="en-GB" w:eastAsia="cs-CZ"/>
        </w:rPr>
        <w:t xml:space="preserve"> by the employer remain unchanged even if any of the facts set out in paragraph 4 arises, and the employee is oblige</w:t>
      </w:r>
      <w:r w:rsidRPr="00FA1502" w:rsidR="00512584">
        <w:rPr>
          <w:rFonts w:ascii="Times New Roman" w:eastAsia="Times New Roman" w:hAnsi="Times New Roman" w:cs="Times New Roman"/>
          <w:sz w:val="24"/>
          <w:szCs w:val="24"/>
          <w:lang w:val="en-GB" w:eastAsia="cs-CZ"/>
        </w:rPr>
        <w:t>d to return</w:t>
      </w:r>
      <w:r w:rsidRPr="00FA1502">
        <w:rPr>
          <w:rFonts w:ascii="Times New Roman" w:eastAsia="Times New Roman" w:hAnsi="Times New Roman" w:cs="Times New Roman"/>
          <w:sz w:val="24"/>
          <w:szCs w:val="24"/>
          <w:lang w:val="en-GB" w:eastAsia="cs-CZ"/>
        </w:rPr>
        <w:t xml:space="preserve"> the tax support by stating the income</w:t>
      </w:r>
      <w:r w:rsidRPr="00FA1502" w:rsidR="00512584">
        <w:rPr>
          <w:rFonts w:ascii="Times New Roman" w:eastAsia="Times New Roman" w:hAnsi="Times New Roman" w:cs="Times New Roman"/>
          <w:sz w:val="24"/>
          <w:szCs w:val="24"/>
          <w:lang w:val="en-GB" w:eastAsia="cs-CZ"/>
        </w:rPr>
        <w:t xml:space="preserve"> in a tax return in accordance with Section</w:t>
      </w:r>
      <w:r w:rsidRPr="00FA1502">
        <w:rPr>
          <w:rFonts w:ascii="Times New Roman" w:eastAsia="Times New Roman" w:hAnsi="Times New Roman" w:cs="Times New Roman"/>
          <w:sz w:val="24"/>
          <w:szCs w:val="24"/>
          <w:lang w:val="en-GB" w:eastAsia="cs-CZ"/>
        </w:rPr>
        <w:t xml:space="preserve"> 15b </w:t>
      </w:r>
      <w:r w:rsidRPr="00FA1502" w:rsidR="00512584">
        <w:rPr>
          <w:rFonts w:ascii="Times New Roman" w:eastAsia="Times New Roman" w:hAnsi="Times New Roman" w:cs="Times New Roman"/>
          <w:sz w:val="24"/>
          <w:szCs w:val="24"/>
          <w:lang w:val="en-GB" w:eastAsia="cs-CZ"/>
        </w:rPr>
        <w:t>(5) (c) of the ZDP.</w:t>
      </w:r>
      <w:r w:rsidRPr="00FA1502">
        <w:rPr>
          <w:rFonts w:ascii="Times New Roman" w:eastAsia="Times New Roman" w:hAnsi="Times New Roman" w:cs="Times New Roman"/>
          <w:sz w:val="24"/>
          <w:szCs w:val="24"/>
          <w:lang w:val="en-GB" w:eastAsia="cs-CZ"/>
        </w:rPr>
        <w:t>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Pursuant to </w:t>
      </w:r>
      <w:r w:rsidRPr="00FA1502" w:rsidR="00A63E0A">
        <w:rPr>
          <w:rFonts w:ascii="Times New Roman" w:eastAsia="Times New Roman" w:hAnsi="Times New Roman" w:cs="Times New Roman"/>
          <w:sz w:val="24"/>
          <w:szCs w:val="24"/>
          <w:u w:val="single"/>
          <w:lang w:val="en-GB" w:eastAsia="cs-CZ"/>
        </w:rPr>
        <w:t>point (d)</w:t>
      </w:r>
      <w:r w:rsidRPr="00FA1502" w:rsidR="00A63E0A">
        <w:rPr>
          <w:rFonts w:ascii="Times New Roman" w:eastAsia="Times New Roman" w:hAnsi="Times New Roman" w:cs="Times New Roman"/>
          <w:sz w:val="24"/>
          <w:szCs w:val="24"/>
          <w:lang w:val="en-GB" w:eastAsia="cs-CZ"/>
        </w:rPr>
        <w:t>, the repayment of the tax support</w:t>
      </w:r>
      <w:r w:rsidRPr="00FA1502">
        <w:rPr>
          <w:rFonts w:ascii="Times New Roman" w:eastAsia="Times New Roman" w:hAnsi="Times New Roman" w:cs="Times New Roman"/>
          <w:sz w:val="24"/>
          <w:szCs w:val="24"/>
          <w:lang w:val="en-GB" w:eastAsia="cs-CZ"/>
        </w:rPr>
        <w:t xml:space="preserve"> concerns the determination of the taxable amount for the taxation </w:t>
      </w:r>
      <w:r w:rsidRPr="00FA1502" w:rsidR="00A63E0A">
        <w:rPr>
          <w:rFonts w:ascii="Times New Roman" w:eastAsia="Times New Roman" w:hAnsi="Times New Roman" w:cs="Times New Roman"/>
          <w:sz w:val="24"/>
          <w:szCs w:val="24"/>
          <w:lang w:val="en-GB" w:eastAsia="cs-CZ"/>
        </w:rPr>
        <w:t>of benefits arising from retirement</w:t>
      </w:r>
      <w:r w:rsidRPr="00FA1502">
        <w:rPr>
          <w:rFonts w:ascii="Times New Roman" w:eastAsia="Times New Roman" w:hAnsi="Times New Roman" w:cs="Times New Roman"/>
          <w:sz w:val="24"/>
          <w:szCs w:val="24"/>
          <w:lang w:val="en-GB" w:eastAsia="cs-CZ"/>
        </w:rPr>
        <w:t xml:space="preserve"> savings products purs</w:t>
      </w:r>
      <w:r w:rsidRPr="00FA1502" w:rsidR="00A63E0A">
        <w:rPr>
          <w:rFonts w:ascii="Times New Roman" w:eastAsia="Times New Roman" w:hAnsi="Times New Roman" w:cs="Times New Roman"/>
          <w:sz w:val="24"/>
          <w:szCs w:val="24"/>
          <w:lang w:val="en-GB" w:eastAsia="cs-CZ"/>
        </w:rPr>
        <w:t>uant to Section 8 (6) of the ZDP</w:t>
      </w:r>
      <w:r w:rsidRPr="00FA1502">
        <w:rPr>
          <w:rFonts w:ascii="Times New Roman" w:eastAsia="Times New Roman" w:hAnsi="Times New Roman" w:cs="Times New Roman"/>
          <w:sz w:val="24"/>
          <w:szCs w:val="24"/>
          <w:lang w:val="en-GB" w:eastAsia="cs-CZ"/>
        </w:rPr>
        <w:t>, i</w:t>
      </w:r>
      <w:r w:rsidRPr="00FA1502" w:rsidR="00A63E0A">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A63E0A">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only supplementary pension insurance with </w:t>
      </w:r>
      <w:r w:rsidRPr="00FA1502" w:rsidR="00A63E0A">
        <w:rPr>
          <w:rFonts w:ascii="Times New Roman" w:eastAsia="Times New Roman" w:hAnsi="Times New Roman" w:cs="Times New Roman"/>
          <w:sz w:val="24"/>
          <w:szCs w:val="24"/>
          <w:lang w:val="en-GB" w:eastAsia="cs-CZ"/>
        </w:rPr>
        <w:t>state support, pension insurance</w:t>
      </w:r>
      <w:r w:rsidRPr="00FA1502">
        <w:rPr>
          <w:rFonts w:ascii="Times New Roman" w:eastAsia="Times New Roman" w:hAnsi="Times New Roman" w:cs="Times New Roman"/>
          <w:sz w:val="24"/>
          <w:szCs w:val="24"/>
          <w:lang w:val="en-GB" w:eastAsia="cs-CZ"/>
        </w:rPr>
        <w:t>, supplementary pension savings and private life insurance. This provision does not a</w:t>
      </w:r>
      <w:r w:rsidRPr="00FA1502" w:rsidR="00A63E0A">
        <w:rPr>
          <w:rFonts w:ascii="Times New Roman" w:eastAsia="Times New Roman" w:hAnsi="Times New Roman" w:cs="Times New Roman"/>
          <w:sz w:val="24"/>
          <w:szCs w:val="24"/>
          <w:lang w:val="en-GB" w:eastAsia="cs-CZ"/>
        </w:rPr>
        <w:t>pply to the individual savings</w:t>
      </w:r>
      <w:r w:rsidRPr="00FA1502">
        <w:rPr>
          <w:rFonts w:ascii="Times New Roman" w:eastAsia="Times New Roman" w:hAnsi="Times New Roman" w:cs="Times New Roman"/>
          <w:sz w:val="24"/>
          <w:szCs w:val="24"/>
          <w:lang w:val="en-GB" w:eastAsia="cs-CZ"/>
        </w:rPr>
        <w:t xml:space="preserve"> account or to a similar account held in the territory of another Mem</w:t>
      </w:r>
      <w:r w:rsidRPr="00FA1502" w:rsidR="00A63E0A">
        <w:rPr>
          <w:rFonts w:ascii="Times New Roman" w:eastAsia="Times New Roman" w:hAnsi="Times New Roman" w:cs="Times New Roman"/>
          <w:sz w:val="24"/>
          <w:szCs w:val="24"/>
          <w:lang w:val="en-GB" w:eastAsia="cs-CZ"/>
        </w:rPr>
        <w:t>ber State of the European Union</w:t>
      </w:r>
      <w:r w:rsidRPr="00FA1502">
        <w:rPr>
          <w:rFonts w:ascii="Times New Roman" w:eastAsia="Times New Roman" w:hAnsi="Times New Roman" w:cs="Times New Roman"/>
          <w:sz w:val="24"/>
          <w:szCs w:val="24"/>
          <w:lang w:val="en-GB" w:eastAsia="cs-CZ"/>
        </w:rPr>
        <w:t>, as these products</w:t>
      </w:r>
      <w:r w:rsidRPr="00FA1502" w:rsidR="00A63E0A">
        <w:rPr>
          <w:rFonts w:ascii="Times New Roman" w:eastAsia="Times New Roman" w:hAnsi="Times New Roman" w:cs="Times New Roman"/>
          <w:sz w:val="24"/>
          <w:szCs w:val="24"/>
          <w:lang w:val="en-GB" w:eastAsia="cs-CZ"/>
        </w:rPr>
        <w:t xml:space="preserve"> do not result in benefits</w:t>
      </w:r>
      <w:r w:rsidRPr="00FA1502">
        <w:rPr>
          <w:rFonts w:ascii="Times New Roman" w:eastAsia="Times New Roman" w:hAnsi="Times New Roman" w:cs="Times New Roman"/>
          <w:sz w:val="24"/>
          <w:szCs w:val="24"/>
          <w:lang w:val="en-GB" w:eastAsia="cs-CZ"/>
        </w:rPr>
        <w:t xml:space="preserve">. This method of repayment of tax aid is based on the existing legislation contained in the current Section 8 (6) and (7) of </w:t>
      </w:r>
      <w:r w:rsidRPr="00FA1502" w:rsidR="00A63E0A">
        <w:rPr>
          <w:rFonts w:ascii="Times New Roman" w:eastAsia="Times New Roman" w:hAnsi="Times New Roman" w:cs="Times New Roman"/>
          <w:sz w:val="24"/>
          <w:szCs w:val="24"/>
          <w:lang w:val="en-GB" w:eastAsia="cs-CZ"/>
        </w:rPr>
        <w:t>the ZDP</w:t>
      </w:r>
      <w:r w:rsidRPr="00FA1502">
        <w:rPr>
          <w:rFonts w:ascii="Times New Roman" w:eastAsia="Times New Roman" w:hAnsi="Times New Roman" w:cs="Times New Roman"/>
          <w:sz w:val="24"/>
          <w:szCs w:val="24"/>
          <w:lang w:val="en-GB" w:eastAsia="cs-CZ"/>
        </w:rPr>
        <w:t>, which limited the reduction of the tax by contributions paid by t</w:t>
      </w:r>
      <w:r w:rsidRPr="00FA1502" w:rsidR="00A63E0A">
        <w:rPr>
          <w:rFonts w:ascii="Times New Roman" w:eastAsia="Times New Roman" w:hAnsi="Times New Roman" w:cs="Times New Roman"/>
          <w:sz w:val="24"/>
          <w:szCs w:val="24"/>
          <w:lang w:val="en-GB" w:eastAsia="cs-CZ"/>
        </w:rPr>
        <w:t>he employer by certain benefits of the mentioned</w:t>
      </w:r>
      <w:r w:rsidRPr="00FA1502">
        <w:rPr>
          <w:rFonts w:ascii="Times New Roman" w:eastAsia="Times New Roman" w:hAnsi="Times New Roman" w:cs="Times New Roman"/>
          <w:sz w:val="24"/>
          <w:szCs w:val="24"/>
          <w:lang w:val="en-GB" w:eastAsia="cs-CZ"/>
        </w:rPr>
        <w:t xml:space="preserve"> products. In the conte</w:t>
      </w:r>
      <w:r w:rsidRPr="00FA1502" w:rsidR="005B7CF5">
        <w:rPr>
          <w:rFonts w:ascii="Times New Roman" w:eastAsia="Times New Roman" w:hAnsi="Times New Roman" w:cs="Times New Roman"/>
          <w:sz w:val="24"/>
          <w:szCs w:val="24"/>
          <w:lang w:val="en-GB" w:eastAsia="cs-CZ"/>
        </w:rPr>
        <w:t>xt of the new concept of tax support</w:t>
      </w:r>
      <w:r w:rsidRPr="00FA1502">
        <w:rPr>
          <w:rFonts w:ascii="Times New Roman" w:eastAsia="Times New Roman" w:hAnsi="Times New Roman" w:cs="Times New Roman"/>
          <w:sz w:val="24"/>
          <w:szCs w:val="24"/>
          <w:lang w:val="en-GB" w:eastAsia="cs-CZ"/>
        </w:rPr>
        <w:t>, this rule is generall</w:t>
      </w:r>
      <w:r w:rsidRPr="00FA1502" w:rsidR="005B7CF5">
        <w:rPr>
          <w:rFonts w:ascii="Times New Roman" w:eastAsia="Times New Roman" w:hAnsi="Times New Roman" w:cs="Times New Roman"/>
          <w:sz w:val="24"/>
          <w:szCs w:val="24"/>
          <w:lang w:val="en-GB" w:eastAsia="cs-CZ"/>
        </w:rPr>
        <w:t>y laid down for all benefits</w:t>
      </w:r>
      <w:r w:rsidRPr="00FA1502">
        <w:rPr>
          <w:rFonts w:ascii="Times New Roman" w:eastAsia="Times New Roman" w:hAnsi="Times New Roman" w:cs="Times New Roman"/>
          <w:sz w:val="24"/>
          <w:szCs w:val="24"/>
          <w:lang w:val="en-GB" w:eastAsia="cs-CZ"/>
        </w:rPr>
        <w:t xml:space="preserve"> that result from these products </w:t>
      </w:r>
      <w:r w:rsidRPr="00FA1502" w:rsidR="005B7CF5">
        <w:rPr>
          <w:rFonts w:ascii="Times New Roman" w:eastAsia="Times New Roman" w:hAnsi="Times New Roman" w:cs="Times New Roman"/>
          <w:sz w:val="24"/>
          <w:szCs w:val="24"/>
          <w:lang w:val="en-GB" w:eastAsia="cs-CZ"/>
        </w:rPr>
        <w:t>after the conditions for tax support</w:t>
      </w:r>
      <w:r w:rsidRPr="00FA1502">
        <w:rPr>
          <w:rFonts w:ascii="Times New Roman" w:eastAsia="Times New Roman" w:hAnsi="Times New Roman" w:cs="Times New Roman"/>
          <w:sz w:val="24"/>
          <w:szCs w:val="24"/>
          <w:lang w:val="en-GB" w:eastAsia="cs-CZ"/>
        </w:rPr>
        <w:t xml:space="preserve"> have been violated.</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However, there are three exceptions. According to </w:t>
      </w:r>
      <w:r w:rsidRPr="00FA1502" w:rsidR="005B7CF5">
        <w:rPr>
          <w:rFonts w:ascii="Times New Roman" w:eastAsia="Times New Roman" w:hAnsi="Times New Roman" w:cs="Times New Roman"/>
          <w:sz w:val="24"/>
          <w:szCs w:val="24"/>
          <w:u w:val="single"/>
          <w:lang w:val="en-GB" w:eastAsia="cs-CZ"/>
        </w:rPr>
        <w:t>point 1</w:t>
      </w:r>
      <w:r w:rsidRPr="00FA1502">
        <w:rPr>
          <w:rFonts w:ascii="Times New Roman" w:eastAsia="Times New Roman" w:hAnsi="Times New Roman" w:cs="Times New Roman"/>
          <w:sz w:val="24"/>
          <w:szCs w:val="24"/>
          <w:lang w:val="en-GB" w:eastAsia="cs-CZ"/>
        </w:rPr>
        <w:t xml:space="preserve">, the contributions of employers that represent income under point (c) of this provision will be taken into account for the determination of the tax base, since their non-recognition in determining the taxable amount for the product would result in double </w:t>
      </w:r>
      <w:r w:rsidRPr="00FA1502" w:rsidR="005B7CF5">
        <w:rPr>
          <w:rFonts w:ascii="Times New Roman" w:eastAsia="Times New Roman" w:hAnsi="Times New Roman" w:cs="Times New Roman"/>
          <w:sz w:val="24"/>
          <w:szCs w:val="24"/>
          <w:lang w:val="en-GB" w:eastAsia="cs-CZ"/>
        </w:rPr>
        <w:t>taxation (once as income under the Section</w:t>
      </w:r>
      <w:r w:rsidRPr="00FA1502">
        <w:rPr>
          <w:rFonts w:ascii="Times New Roman" w:eastAsia="Times New Roman" w:hAnsi="Times New Roman" w:cs="Times New Roman"/>
          <w:sz w:val="24"/>
          <w:szCs w:val="24"/>
          <w:lang w:val="en-GB" w:eastAsia="cs-CZ"/>
        </w:rPr>
        <w:t xml:space="preserve"> 6 and within the scope of the product performance, which would not be reduced by the amount of these contributions for the purposes of determining the tax base). The second exception, referred to in </w:t>
      </w:r>
      <w:r w:rsidRPr="00FA1502" w:rsidR="005B7CF5">
        <w:rPr>
          <w:rFonts w:ascii="Times New Roman" w:eastAsia="Times New Roman" w:hAnsi="Times New Roman" w:cs="Times New Roman"/>
          <w:sz w:val="24"/>
          <w:szCs w:val="24"/>
          <w:u w:val="single"/>
          <w:lang w:val="en-GB" w:eastAsia="cs-CZ"/>
        </w:rPr>
        <w:t>point 2</w:t>
      </w:r>
      <w:r w:rsidRPr="00FA1502" w:rsidR="005B7CF5">
        <w:rPr>
          <w:rFonts w:ascii="Times New Roman" w:eastAsia="Times New Roman" w:hAnsi="Times New Roman" w:cs="Times New Roman"/>
          <w:sz w:val="24"/>
          <w:szCs w:val="24"/>
          <w:lang w:val="en-GB" w:eastAsia="cs-CZ"/>
        </w:rPr>
        <w:t>, is taken from Section 8 (6) of the ZDP and addresses</w:t>
      </w:r>
      <w:r w:rsidRPr="00FA1502">
        <w:rPr>
          <w:rFonts w:ascii="Times New Roman" w:eastAsia="Times New Roman" w:hAnsi="Times New Roman" w:cs="Times New Roman"/>
          <w:sz w:val="24"/>
          <w:szCs w:val="24"/>
          <w:lang w:val="en-GB" w:eastAsia="cs-CZ"/>
        </w:rPr>
        <w:t xml:space="preserve"> situations</w:t>
      </w:r>
      <w:r w:rsidRPr="00FA1502" w:rsidR="005B7CF5">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w:t>
      </w:r>
      <w:r w:rsidRPr="00FA1502" w:rsidR="005B7CF5">
        <w:rPr>
          <w:rFonts w:ascii="Times New Roman" w:eastAsia="Times New Roman" w:hAnsi="Times New Roman" w:cs="Times New Roman"/>
          <w:sz w:val="24"/>
          <w:szCs w:val="24"/>
          <w:lang w:val="en-GB" w:eastAsia="cs-CZ"/>
        </w:rPr>
        <w:t>here, after the effectiveness</w:t>
      </w:r>
      <w:r w:rsidRPr="00FA1502">
        <w:rPr>
          <w:rFonts w:ascii="Times New Roman" w:eastAsia="Times New Roman" w:hAnsi="Times New Roman" w:cs="Times New Roman"/>
          <w:sz w:val="24"/>
          <w:szCs w:val="24"/>
          <w:lang w:val="en-GB" w:eastAsia="cs-CZ"/>
        </w:rPr>
        <w:t xml:space="preserve"> of this Act, a taxpayer would transfer to his newly created supplementary pension </w:t>
      </w:r>
      <w:r w:rsidRPr="00FA1502" w:rsidR="00E42019">
        <w:rPr>
          <w:rFonts w:ascii="Times New Roman" w:eastAsia="Times New Roman" w:hAnsi="Times New Roman" w:cs="Times New Roman"/>
          <w:sz w:val="24"/>
          <w:szCs w:val="24"/>
          <w:lang w:val="en-GB" w:eastAsia="cs-CZ"/>
        </w:rPr>
        <w:t>savings funds</w:t>
      </w:r>
      <w:r w:rsidRPr="00FA1502">
        <w:rPr>
          <w:rFonts w:ascii="Times New Roman" w:eastAsia="Times New Roman" w:hAnsi="Times New Roman" w:cs="Times New Roman"/>
          <w:sz w:val="24"/>
          <w:szCs w:val="24"/>
          <w:lang w:val="en-GB" w:eastAsia="cs-CZ"/>
        </w:rPr>
        <w:t xml:space="preserve"> </w:t>
      </w:r>
      <w:r w:rsidRPr="00FA1502" w:rsidR="00E42019">
        <w:rPr>
          <w:rFonts w:ascii="Times New Roman" w:eastAsia="Times New Roman" w:hAnsi="Times New Roman" w:cs="Times New Roman"/>
          <w:sz w:val="24"/>
          <w:szCs w:val="24"/>
          <w:lang w:val="en-GB" w:eastAsia="cs-CZ"/>
        </w:rPr>
        <w:t xml:space="preserve">from supplementary </w:t>
      </w:r>
      <w:r w:rsidRPr="00FA1502">
        <w:rPr>
          <w:rFonts w:ascii="Times New Roman" w:eastAsia="Times New Roman" w:hAnsi="Times New Roman" w:cs="Times New Roman"/>
          <w:sz w:val="24"/>
          <w:szCs w:val="24"/>
          <w:lang w:val="en-GB" w:eastAsia="cs-CZ"/>
        </w:rPr>
        <w:t>pension insurance with a state contribution for the employer contributed before 1 January 2000. The employer contributions paid at that time were not exempt from income tax on the part of the taxpayer; they were already taxed once and must be red</w:t>
      </w:r>
      <w:r w:rsidRPr="00FA1502" w:rsidR="00E42019">
        <w:rPr>
          <w:rFonts w:ascii="Times New Roman" w:eastAsia="Times New Roman" w:hAnsi="Times New Roman" w:cs="Times New Roman"/>
          <w:sz w:val="24"/>
          <w:szCs w:val="24"/>
          <w:lang w:val="en-GB" w:eastAsia="cs-CZ"/>
        </w:rPr>
        <w:t>uced by the tax base when disbursing</w:t>
      </w:r>
      <w:r w:rsidRPr="00FA1502">
        <w:rPr>
          <w:rFonts w:ascii="Times New Roman" w:eastAsia="Times New Roman" w:hAnsi="Times New Roman" w:cs="Times New Roman"/>
          <w:sz w:val="24"/>
          <w:szCs w:val="24"/>
          <w:lang w:val="en-GB" w:eastAsia="cs-CZ"/>
        </w:rPr>
        <w:t xml:space="preserve"> </w:t>
      </w:r>
      <w:r w:rsidRPr="00FA1502" w:rsidR="00E42019">
        <w:rPr>
          <w:rFonts w:ascii="Times New Roman" w:eastAsia="Times New Roman" w:hAnsi="Times New Roman" w:cs="Times New Roman"/>
          <w:sz w:val="24"/>
          <w:szCs w:val="24"/>
          <w:lang w:val="en-GB" w:eastAsia="cs-CZ"/>
        </w:rPr>
        <w:t xml:space="preserve">the </w:t>
      </w:r>
      <w:r w:rsidRPr="00FA1502">
        <w:rPr>
          <w:rFonts w:ascii="Times New Roman" w:eastAsia="Times New Roman" w:hAnsi="Times New Roman" w:cs="Times New Roman"/>
          <w:sz w:val="24"/>
          <w:szCs w:val="24"/>
          <w:lang w:val="en-GB" w:eastAsia="cs-CZ"/>
        </w:rPr>
        <w:t xml:space="preserve">supplementary pension savings, otherwise they would </w:t>
      </w:r>
      <w:r w:rsidRPr="00FA1502" w:rsidR="00E42019">
        <w:rPr>
          <w:rFonts w:ascii="Times New Roman" w:eastAsia="Times New Roman" w:hAnsi="Times New Roman" w:cs="Times New Roman"/>
          <w:sz w:val="24"/>
          <w:szCs w:val="24"/>
          <w:lang w:val="en-GB" w:eastAsia="cs-CZ"/>
        </w:rPr>
        <w:t>be double taxed</w:t>
      </w:r>
      <w:r w:rsidRPr="00FA1502">
        <w:rPr>
          <w:rFonts w:ascii="Times New Roman" w:eastAsia="Times New Roman" w:hAnsi="Times New Roman" w:cs="Times New Roman"/>
          <w:sz w:val="24"/>
          <w:szCs w:val="24"/>
          <w:lang w:val="en-GB" w:eastAsia="cs-CZ"/>
        </w:rPr>
        <w:t xml:space="preserve">. The third exception, referred to in </w:t>
      </w:r>
      <w:r w:rsidRPr="00FA1502" w:rsidR="00E42019">
        <w:rPr>
          <w:rFonts w:ascii="Times New Roman" w:eastAsia="Times New Roman" w:hAnsi="Times New Roman" w:cs="Times New Roman"/>
          <w:sz w:val="24"/>
          <w:szCs w:val="24"/>
          <w:u w:val="single"/>
          <w:lang w:val="en-GB" w:eastAsia="cs-CZ"/>
        </w:rPr>
        <w:t>point 3</w:t>
      </w:r>
      <w:r w:rsidRPr="00FA1502" w:rsidR="00E42019">
        <w:rPr>
          <w:rFonts w:ascii="Times New Roman" w:eastAsia="Times New Roman" w:hAnsi="Times New Roman" w:cs="Times New Roman"/>
          <w:sz w:val="24"/>
          <w:szCs w:val="24"/>
          <w:lang w:val="en-GB" w:eastAsia="cs-CZ"/>
        </w:rPr>
        <w:t>, is similar to that pursuant to</w:t>
      </w:r>
      <w:r w:rsidRPr="00FA1502">
        <w:rPr>
          <w:rFonts w:ascii="Times New Roman" w:eastAsia="Times New Roman" w:hAnsi="Times New Roman" w:cs="Times New Roman"/>
          <w:sz w:val="24"/>
          <w:szCs w:val="24"/>
          <w:lang w:val="en-GB" w:eastAsia="cs-CZ"/>
        </w:rPr>
        <w:t xml:space="preserve"> point 2 and is taken over f</w:t>
      </w:r>
      <w:r w:rsidRPr="00FA1502" w:rsidR="00E42019">
        <w:rPr>
          <w:rFonts w:ascii="Times New Roman" w:eastAsia="Times New Roman" w:hAnsi="Times New Roman" w:cs="Times New Roman"/>
          <w:sz w:val="24"/>
          <w:szCs w:val="24"/>
          <w:lang w:val="en-GB" w:eastAsia="cs-CZ"/>
        </w:rPr>
        <w:t>rom the current Section 8 ​​(7) of the ZDP</w:t>
      </w:r>
      <w:r w:rsidRPr="00FA1502">
        <w:rPr>
          <w:rFonts w:ascii="Times New Roman" w:eastAsia="Times New Roman" w:hAnsi="Times New Roman" w:cs="Times New Roman"/>
          <w:sz w:val="24"/>
          <w:szCs w:val="24"/>
          <w:lang w:val="en-GB" w:eastAsia="cs-CZ"/>
        </w:rPr>
        <w:t>. It refers to situations</w:t>
      </w:r>
      <w:r w:rsidRPr="00FA1502" w:rsidR="00E42019">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where a taxpayer has transferred his funds from one private life insurance to another after t</w:t>
      </w:r>
      <w:r w:rsidRPr="00FA1502" w:rsidR="00E42019">
        <w:rPr>
          <w:rFonts w:ascii="Times New Roman" w:eastAsia="Times New Roman" w:hAnsi="Times New Roman" w:cs="Times New Roman"/>
          <w:sz w:val="24"/>
          <w:szCs w:val="24"/>
          <w:lang w:val="en-GB" w:eastAsia="cs-CZ"/>
        </w:rPr>
        <w:t>he effectiveness of this Act</w:t>
      </w:r>
      <w:r w:rsidRPr="00FA1502">
        <w:rPr>
          <w:rFonts w:ascii="Times New Roman" w:eastAsia="Times New Roman" w:hAnsi="Times New Roman" w:cs="Times New Roman"/>
          <w:sz w:val="24"/>
          <w:szCs w:val="24"/>
          <w:lang w:val="en-GB" w:eastAsia="cs-CZ"/>
        </w:rPr>
        <w:t xml:space="preserve">. If the employer had contributed to his original private life insurance before 1 January 2001, those contributions were not exempt </w:t>
      </w:r>
      <w:r w:rsidRPr="00FA1502" w:rsidR="00E42019">
        <w:rPr>
          <w:rFonts w:ascii="Times New Roman" w:eastAsia="Times New Roman" w:hAnsi="Times New Roman" w:cs="Times New Roman"/>
          <w:sz w:val="24"/>
          <w:szCs w:val="24"/>
          <w:lang w:val="en-GB" w:eastAsia="cs-CZ"/>
        </w:rPr>
        <w:t xml:space="preserve">from tax </w:t>
      </w:r>
      <w:r w:rsidRPr="00FA1502">
        <w:rPr>
          <w:rFonts w:ascii="Times New Roman" w:eastAsia="Times New Roman" w:hAnsi="Times New Roman" w:cs="Times New Roman"/>
          <w:sz w:val="24"/>
          <w:szCs w:val="24"/>
          <w:lang w:val="en-GB" w:eastAsia="cs-CZ"/>
        </w:rPr>
        <w:t>and therefore the taxable amount must be reduced in order to prevent them from being taxed twice. The provisions of points 2 and 3 shall not apply to situations other than those referred to above for the transfer of funds between two retir</w:t>
      </w:r>
      <w:r w:rsidRPr="00FA1502" w:rsidR="00E42019">
        <w:rPr>
          <w:rFonts w:ascii="Times New Roman" w:eastAsia="Times New Roman" w:hAnsi="Times New Roman" w:cs="Times New Roman"/>
          <w:sz w:val="24"/>
          <w:szCs w:val="24"/>
          <w:lang w:val="en-GB" w:eastAsia="cs-CZ"/>
        </w:rPr>
        <w:t>ement savings products, as pursuant</w:t>
      </w:r>
      <w:r w:rsidRPr="00FA1502">
        <w:rPr>
          <w:rFonts w:ascii="Times New Roman" w:eastAsia="Times New Roman" w:hAnsi="Times New Roman" w:cs="Times New Roman"/>
          <w:sz w:val="24"/>
          <w:szCs w:val="24"/>
          <w:lang w:val="en-GB" w:eastAsia="cs-CZ"/>
        </w:rPr>
        <w:t xml:space="preserve"> the transitional provision under point 2</w:t>
      </w:r>
      <w:r w:rsidRPr="00FA1502" w:rsidR="00E42019">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this proposed new regulation applies only to retirement savings products incurred af</w:t>
      </w:r>
      <w:r w:rsidRPr="00FA1502" w:rsidR="00E42019">
        <w:rPr>
          <w:rFonts w:ascii="Times New Roman" w:eastAsia="Times New Roman" w:hAnsi="Times New Roman" w:cs="Times New Roman"/>
          <w:sz w:val="24"/>
          <w:szCs w:val="24"/>
          <w:lang w:val="en-GB" w:eastAsia="cs-CZ"/>
        </w:rPr>
        <w:t xml:space="preserve">ter </w:t>
      </w:r>
      <w:r w:rsidRPr="00FA1502" w:rsidR="00E42019">
        <w:rPr>
          <w:rFonts w:ascii="Times New Roman" w:eastAsia="Times New Roman" w:hAnsi="Times New Roman" w:cs="Times New Roman"/>
          <w:sz w:val="24"/>
          <w:szCs w:val="24"/>
          <w:lang w:val="en-GB" w:eastAsia="cs-CZ"/>
        </w:rPr>
        <w:t>the effectiveness of this</w:t>
      </w:r>
      <w:r w:rsidRPr="00FA1502">
        <w:rPr>
          <w:rFonts w:ascii="Times New Roman" w:eastAsia="Times New Roman" w:hAnsi="Times New Roman" w:cs="Times New Roman"/>
          <w:sz w:val="24"/>
          <w:szCs w:val="24"/>
          <w:lang w:val="en-GB" w:eastAsia="cs-CZ"/>
        </w:rPr>
        <w:t xml:space="preserve"> Act; for </w:t>
      </w:r>
      <w:r w:rsidRPr="00FA1502" w:rsidR="00E42019">
        <w:rPr>
          <w:rFonts w:ascii="Times New Roman" w:eastAsia="Times New Roman" w:hAnsi="Times New Roman" w:cs="Times New Roman"/>
          <w:sz w:val="24"/>
          <w:szCs w:val="24"/>
          <w:lang w:val="en-GB" w:eastAsia="cs-CZ"/>
        </w:rPr>
        <w:t>retirement products</w:t>
      </w:r>
      <w:r w:rsidRPr="00FA1502">
        <w:rPr>
          <w:rFonts w:ascii="Times New Roman" w:eastAsia="Times New Roman" w:hAnsi="Times New Roman" w:cs="Times New Roman"/>
          <w:sz w:val="24"/>
          <w:szCs w:val="24"/>
          <w:lang w:val="en-GB" w:eastAsia="cs-CZ"/>
        </w:rPr>
        <w:t xml:space="preserve"> created before the effective date of this Act, to which the employer contrib</w:t>
      </w:r>
      <w:r w:rsidRPr="00FA1502" w:rsidR="00464B86">
        <w:rPr>
          <w:rFonts w:ascii="Times New Roman" w:eastAsia="Times New Roman" w:hAnsi="Times New Roman" w:cs="Times New Roman"/>
          <w:sz w:val="24"/>
          <w:szCs w:val="24"/>
          <w:lang w:val="en-GB" w:eastAsia="cs-CZ"/>
        </w:rPr>
        <w:t>uted before 1 January 2000 or before</w:t>
      </w:r>
      <w:r w:rsidRPr="00FA1502">
        <w:rPr>
          <w:rFonts w:ascii="Times New Roman" w:eastAsia="Times New Roman" w:hAnsi="Times New Roman" w:cs="Times New Roman"/>
          <w:sz w:val="24"/>
          <w:szCs w:val="24"/>
          <w:lang w:val="en-GB" w:eastAsia="cs-CZ"/>
        </w:rPr>
        <w:t xml:space="preserve"> 1 January 2001, the existing legislation, including </w:t>
      </w:r>
      <w:r w:rsidRPr="00FA1502" w:rsidR="00464B86">
        <w:rPr>
          <w:rFonts w:ascii="Times New Roman" w:eastAsia="Times New Roman" w:hAnsi="Times New Roman" w:cs="Times New Roman"/>
          <w:sz w:val="24"/>
          <w:szCs w:val="24"/>
          <w:lang w:val="en-GB" w:eastAsia="cs-CZ"/>
        </w:rPr>
        <w:t>Section 8 (6) and (7) of the ZDP</w:t>
      </w:r>
      <w:r w:rsidRPr="00FA1502">
        <w:rPr>
          <w:rFonts w:ascii="Times New Roman" w:eastAsia="Times New Roman" w:hAnsi="Times New Roman" w:cs="Times New Roman"/>
          <w:sz w:val="24"/>
          <w:szCs w:val="24"/>
          <w:lang w:val="en-GB" w:eastAsia="cs-CZ"/>
        </w:rPr>
        <w:t>, shall apply.</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10</w:t>
      </w:r>
      <w:r w:rsidRPr="00FA1502" w:rsidR="00464B86">
        <w:rPr>
          <w:rFonts w:ascii="Times New Roman" w:eastAsia="Times New Roman" w:hAnsi="Times New Roman" w:cs="Times New Roman"/>
          <w:b/>
          <w:bCs/>
          <w:sz w:val="24"/>
          <w:szCs w:val="24"/>
          <w:u w:val="single"/>
          <w:lang w:val="en-GB" w:eastAsia="cs-CZ"/>
        </w:rPr>
        <w:t xml:space="preserve"> </w:t>
      </w:r>
      <w:r w:rsidRPr="00FA1502" w:rsidR="00464B86">
        <w:rPr>
          <w:b/>
          <w:sz w:val="24"/>
          <w:szCs w:val="24"/>
          <w:u w:val="single"/>
        </w:rPr>
        <w:t>[</w:t>
      </w:r>
      <w:r w:rsidRPr="00FA1502" w:rsidR="00464B86">
        <w:rPr>
          <w:rFonts w:ascii="Times New Roman" w:eastAsia="Times New Roman" w:hAnsi="Times New Roman" w:cs="Times New Roman"/>
          <w:b/>
          <w:bCs/>
          <w:sz w:val="24"/>
          <w:szCs w:val="24"/>
          <w:u w:val="single"/>
          <w:lang w:val="en-GB" w:eastAsia="cs-CZ"/>
        </w:rPr>
        <w:t>(Section 17 (1) (d)</w:t>
      </w:r>
      <w:r w:rsidRPr="00FA1502" w:rsidR="00464B86">
        <w:rPr>
          <w:b/>
          <w:sz w:val="24"/>
          <w:szCs w:val="24"/>
          <w:u w:val="single"/>
        </w:rPr>
        <w:t>]</w:t>
      </w:r>
      <w:r w:rsidRPr="00FA1502">
        <w:rPr>
          <w:rFonts w:ascii="Times New Roman" w:eastAsia="Times New Roman" w:hAnsi="Times New Roman" w:cs="Times New Roman"/>
          <w:b/>
          <w:bCs/>
          <w:sz w:val="24"/>
          <w:szCs w:val="24"/>
          <w:u w:val="single"/>
          <w:lang w:val="en-GB" w:eastAsia="cs-CZ"/>
        </w:rPr>
        <w:t>: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In connection with the proposed amendments </w:t>
      </w:r>
      <w:r w:rsidRPr="00FA1502" w:rsidR="00464B86">
        <w:rPr>
          <w:rFonts w:ascii="Times New Roman" w:eastAsia="Times New Roman" w:hAnsi="Times New Roman" w:cs="Times New Roman"/>
          <w:sz w:val="24"/>
          <w:szCs w:val="24"/>
          <w:lang w:val="en-GB" w:eastAsia="cs-CZ"/>
        </w:rPr>
        <w:t>of the ZISIF when in Section</w:t>
      </w:r>
      <w:r w:rsidRPr="00FA1502">
        <w:rPr>
          <w:rFonts w:ascii="Times New Roman" w:eastAsia="Times New Roman" w:hAnsi="Times New Roman" w:cs="Times New Roman"/>
          <w:sz w:val="24"/>
          <w:szCs w:val="24"/>
          <w:lang w:val="en-GB" w:eastAsia="cs-CZ"/>
        </w:rPr>
        <w:t xml:space="preserve"> 170 </w:t>
      </w:r>
      <w:r w:rsidRPr="00FA1502" w:rsidR="00464B86">
        <w:rPr>
          <w:rFonts w:ascii="Times New Roman" w:eastAsia="Times New Roman" w:hAnsi="Times New Roman" w:cs="Times New Roman"/>
          <w:sz w:val="24"/>
          <w:szCs w:val="24"/>
          <w:lang w:val="en-GB" w:eastAsia="cs-CZ"/>
        </w:rPr>
        <w:t xml:space="preserve">of the </w:t>
      </w:r>
      <w:r w:rsidRPr="00FA1502">
        <w:rPr>
          <w:rFonts w:ascii="Times New Roman" w:eastAsia="Times New Roman" w:hAnsi="Times New Roman" w:cs="Times New Roman"/>
          <w:sz w:val="24"/>
          <w:szCs w:val="24"/>
          <w:lang w:val="en-GB" w:eastAsia="cs-CZ"/>
        </w:rPr>
        <w:t xml:space="preserve">ZISIF </w:t>
      </w:r>
      <w:r w:rsidRPr="00FA1502" w:rsidR="00464B86">
        <w:rPr>
          <w:rFonts w:ascii="Times New Roman" w:eastAsia="Times New Roman" w:hAnsi="Times New Roman" w:cs="Times New Roman"/>
          <w:sz w:val="24"/>
          <w:szCs w:val="24"/>
          <w:lang w:val="en-GB" w:eastAsia="cs-CZ"/>
        </w:rPr>
        <w:t xml:space="preserve">it is newly allowed to </w:t>
      </w:r>
      <w:r w:rsidRPr="00FA1502">
        <w:rPr>
          <w:rFonts w:ascii="Times New Roman" w:eastAsia="Times New Roman" w:hAnsi="Times New Roman" w:cs="Times New Roman"/>
          <w:sz w:val="24"/>
          <w:szCs w:val="24"/>
          <w:lang w:val="en-GB" w:eastAsia="cs-CZ"/>
        </w:rPr>
        <w:t xml:space="preserve">an investment fund that is a limited partnership </w:t>
      </w:r>
      <w:r w:rsidRPr="00FA1502" w:rsidR="00464B86">
        <w:rPr>
          <w:rFonts w:ascii="Times New Roman" w:eastAsia="Times New Roman" w:hAnsi="Times New Roman" w:cs="Times New Roman"/>
          <w:sz w:val="24"/>
          <w:szCs w:val="24"/>
          <w:lang w:val="en-GB" w:eastAsia="cs-CZ"/>
        </w:rPr>
        <w:t xml:space="preserve">with </w:t>
      </w:r>
      <w:r w:rsidRPr="00FA1502">
        <w:rPr>
          <w:rFonts w:ascii="Times New Roman" w:eastAsia="Times New Roman" w:hAnsi="Times New Roman" w:cs="Times New Roman"/>
          <w:sz w:val="24"/>
          <w:szCs w:val="24"/>
          <w:lang w:val="en-GB" w:eastAsia="cs-CZ"/>
        </w:rPr>
        <w:t xml:space="preserve">investment certificates, </w:t>
      </w:r>
      <w:r w:rsidRPr="00FA1502" w:rsidR="00464B86">
        <w:rPr>
          <w:rFonts w:ascii="Times New Roman" w:eastAsia="Times New Roman" w:hAnsi="Times New Roman" w:cs="Times New Roman"/>
          <w:sz w:val="24"/>
          <w:szCs w:val="24"/>
          <w:lang w:val="en-GB" w:eastAsia="cs-CZ"/>
        </w:rPr>
        <w:t>to create sub-funds, and in Section</w:t>
      </w:r>
      <w:r w:rsidRPr="00FA1502">
        <w:rPr>
          <w:rFonts w:ascii="Times New Roman" w:eastAsia="Times New Roman" w:hAnsi="Times New Roman" w:cs="Times New Roman"/>
          <w:sz w:val="24"/>
          <w:szCs w:val="24"/>
          <w:lang w:val="en-GB" w:eastAsia="cs-CZ"/>
        </w:rPr>
        <w:t xml:space="preserve"> 186a </w:t>
      </w:r>
      <w:r w:rsidRPr="00FA1502" w:rsidR="00464B86">
        <w:rPr>
          <w:rFonts w:ascii="Times New Roman" w:eastAsia="Times New Roman" w:hAnsi="Times New Roman" w:cs="Times New Roman"/>
          <w:sz w:val="24"/>
          <w:szCs w:val="24"/>
          <w:lang w:val="en-GB" w:eastAsia="cs-CZ"/>
        </w:rPr>
        <w:t xml:space="preserve">of the </w:t>
      </w:r>
      <w:r w:rsidRPr="00FA1502">
        <w:rPr>
          <w:rFonts w:ascii="Times New Roman" w:eastAsia="Times New Roman" w:hAnsi="Times New Roman" w:cs="Times New Roman"/>
          <w:sz w:val="24"/>
          <w:szCs w:val="24"/>
          <w:lang w:val="en-GB" w:eastAsia="cs-CZ"/>
        </w:rPr>
        <w:t xml:space="preserve">ZISIF </w:t>
      </w:r>
      <w:r w:rsidRPr="00FA1502" w:rsidR="00464B86">
        <w:rPr>
          <w:rFonts w:ascii="Times New Roman" w:eastAsia="Times New Roman" w:hAnsi="Times New Roman" w:cs="Times New Roman"/>
          <w:sz w:val="24"/>
          <w:szCs w:val="24"/>
          <w:lang w:val="en-GB" w:eastAsia="cs-CZ"/>
        </w:rPr>
        <w:t>it is allowed to</w:t>
      </w:r>
      <w:r w:rsidRPr="00FA1502">
        <w:rPr>
          <w:rFonts w:ascii="Times New Roman" w:eastAsia="Times New Roman" w:hAnsi="Times New Roman" w:cs="Times New Roman"/>
          <w:sz w:val="24"/>
          <w:szCs w:val="24"/>
          <w:lang w:val="en-GB" w:eastAsia="cs-CZ"/>
        </w:rPr>
        <w:t xml:space="preserve"> an investment fund that is </w:t>
      </w:r>
      <w:r w:rsidRPr="00FA1502" w:rsidR="00464B86">
        <w:rPr>
          <w:rFonts w:ascii="Times New Roman" w:eastAsia="Times New Roman" w:hAnsi="Times New Roman" w:cs="Times New Roman"/>
          <w:sz w:val="24"/>
          <w:szCs w:val="24"/>
          <w:lang w:val="en-GB" w:eastAsia="cs-CZ"/>
        </w:rPr>
        <w:t>a joint stock</w:t>
      </w:r>
      <w:r w:rsidRPr="00FA1502">
        <w:rPr>
          <w:rFonts w:ascii="Times New Roman" w:eastAsia="Times New Roman" w:hAnsi="Times New Roman" w:cs="Times New Roman"/>
          <w:sz w:val="24"/>
          <w:szCs w:val="24"/>
          <w:lang w:val="en-GB" w:eastAsia="cs-CZ"/>
        </w:rPr>
        <w:t xml:space="preserve"> </w:t>
      </w:r>
      <w:r w:rsidRPr="00FA1502" w:rsidR="00464B86">
        <w:rPr>
          <w:rFonts w:ascii="Times New Roman" w:eastAsia="Times New Roman" w:hAnsi="Times New Roman" w:cs="Times New Roman"/>
          <w:sz w:val="24"/>
          <w:szCs w:val="24"/>
          <w:lang w:val="en-GB" w:eastAsia="cs-CZ"/>
        </w:rPr>
        <w:t xml:space="preserve">company </w:t>
      </w:r>
      <w:r w:rsidRPr="00FA1502">
        <w:rPr>
          <w:rFonts w:ascii="Times New Roman" w:eastAsia="Times New Roman" w:hAnsi="Times New Roman" w:cs="Times New Roman"/>
          <w:sz w:val="24"/>
          <w:szCs w:val="24"/>
          <w:lang w:val="en-GB" w:eastAsia="cs-CZ"/>
        </w:rPr>
        <w:t xml:space="preserve">and </w:t>
      </w:r>
      <w:r w:rsidRPr="00FA1502" w:rsidR="00464B86">
        <w:rPr>
          <w:rFonts w:ascii="Times New Roman" w:eastAsia="Times New Roman" w:hAnsi="Times New Roman" w:cs="Times New Roman"/>
          <w:sz w:val="24"/>
          <w:szCs w:val="24"/>
          <w:lang w:val="en-GB" w:eastAsia="cs-CZ"/>
        </w:rPr>
        <w:t xml:space="preserve">is </w:t>
      </w:r>
      <w:r w:rsidRPr="00FA1502">
        <w:rPr>
          <w:rFonts w:ascii="Times New Roman" w:eastAsia="Times New Roman" w:hAnsi="Times New Roman" w:cs="Times New Roman"/>
          <w:sz w:val="24"/>
          <w:szCs w:val="24"/>
          <w:lang w:val="en-GB" w:eastAsia="cs-CZ"/>
        </w:rPr>
        <w:t xml:space="preserve">not a joint stock company with variable </w:t>
      </w:r>
      <w:r w:rsidRPr="00FA1502" w:rsidR="00464B86">
        <w:rPr>
          <w:rFonts w:ascii="Times New Roman" w:eastAsia="Times New Roman" w:hAnsi="Times New Roman" w:cs="Times New Roman"/>
          <w:sz w:val="24"/>
          <w:szCs w:val="24"/>
          <w:lang w:val="en-GB" w:eastAsia="cs-CZ"/>
        </w:rPr>
        <w:t>capital. Simultaneously, these</w:t>
      </w:r>
      <w:r w:rsidRPr="00FA1502">
        <w:rPr>
          <w:rFonts w:ascii="Times New Roman" w:eastAsia="Times New Roman" w:hAnsi="Times New Roman" w:cs="Times New Roman"/>
          <w:sz w:val="24"/>
          <w:szCs w:val="24"/>
          <w:lang w:val="en-GB" w:eastAsia="cs-CZ"/>
        </w:rPr>
        <w:t xml:space="preserve"> new types of sub-funds are accorded the same tax treatment as the existing sub-funds of a joint-stock company with variable capital. It is therefore established that new types of sub-funds are also subject to corporate income tax and tax treatment similar to the tax treatment of the legal form of the investment fund that constitutes them. The reason for this is that these sub-funds are also essentially separate units, where the accounting, including profit and loss reporting, is separate and even possible distribution of profits among individual investors is carried out at the level of individual sub-funds. Normally, within one investment fund, one sub-fund may be profitable and distribute profits, while the other sub-fund may report a loss for the tax year. Therefore, from a tax perspective, it is appropriate to tax each sub-fund separately.</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At the same time, the generic term 'investment fund sub-fund' is chosen, under which both the aforementioned sub-funds and the e</w:t>
      </w:r>
      <w:r w:rsidRPr="00FA1502" w:rsidR="00A244D2">
        <w:rPr>
          <w:rFonts w:ascii="Times New Roman" w:eastAsia="Times New Roman" w:hAnsi="Times New Roman" w:cs="Times New Roman"/>
          <w:sz w:val="24"/>
          <w:szCs w:val="24"/>
          <w:lang w:val="en-GB" w:eastAsia="cs-CZ"/>
        </w:rPr>
        <w:t>xisting sub-fund of a joint stock company with variable</w:t>
      </w:r>
      <w:r w:rsidRPr="00FA1502">
        <w:rPr>
          <w:rFonts w:ascii="Times New Roman" w:eastAsia="Times New Roman" w:hAnsi="Times New Roman" w:cs="Times New Roman"/>
          <w:sz w:val="24"/>
          <w:szCs w:val="24"/>
          <w:lang w:val="en-GB" w:eastAsia="cs-CZ"/>
        </w:rPr>
        <w:t xml:space="preserve"> capital fall under. </w:t>
      </w:r>
    </w:p>
    <w:p w:rsidR="00176359" w:rsidRPr="00FA1502" w:rsidP="00A7116F">
      <w:pPr>
        <w:keepNext/>
        <w:widowControl w:val="0"/>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11 [Section 17b (1) (c)</w:t>
      </w:r>
      <w:r w:rsidRPr="00FA1502">
        <w:rPr>
          <w:rFonts w:ascii="Times New Roman" w:eastAsia="Times New Roman" w:hAnsi="Times New Roman" w:cs="Times New Roman"/>
          <w:b/>
          <w:bCs/>
          <w:sz w:val="24"/>
          <w:szCs w:val="24"/>
          <w:u w:val="single"/>
          <w:lang w:val="en-GB" w:eastAsia="cs-CZ"/>
        </w:rPr>
        <w:t xml:space="preserve"> introductory part of the provision]:</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In connection </w:t>
      </w:r>
      <w:r w:rsidRPr="00FA1502" w:rsidR="00406DC0">
        <w:rPr>
          <w:rFonts w:ascii="Times New Roman" w:eastAsia="Times New Roman" w:hAnsi="Times New Roman" w:cs="Times New Roman"/>
          <w:sz w:val="24"/>
          <w:szCs w:val="24"/>
          <w:lang w:val="en-GB" w:eastAsia="cs-CZ"/>
        </w:rPr>
        <w:t>with the modifications made in Section 17 (1) (d) the ZDP</w:t>
      </w:r>
      <w:r w:rsidRPr="00FA1502">
        <w:rPr>
          <w:rFonts w:ascii="Times New Roman" w:eastAsia="Times New Roman" w:hAnsi="Times New Roman" w:cs="Times New Roman"/>
          <w:sz w:val="24"/>
          <w:szCs w:val="24"/>
          <w:lang w:val="en-GB" w:eastAsia="cs-CZ"/>
        </w:rPr>
        <w:t>, accordi</w:t>
      </w:r>
      <w:r w:rsidRPr="00FA1502" w:rsidR="00406DC0">
        <w:rPr>
          <w:rFonts w:ascii="Times New Roman" w:eastAsia="Times New Roman" w:hAnsi="Times New Roman" w:cs="Times New Roman"/>
          <w:sz w:val="24"/>
          <w:szCs w:val="24"/>
          <w:lang w:val="en-GB" w:eastAsia="cs-CZ"/>
        </w:rPr>
        <w:t>ng to which the income tax payers are,</w:t>
      </w:r>
      <w:r w:rsidRPr="00FA1502">
        <w:rPr>
          <w:rFonts w:ascii="Times New Roman" w:eastAsia="Times New Roman" w:hAnsi="Times New Roman" w:cs="Times New Roman"/>
          <w:sz w:val="24"/>
          <w:szCs w:val="24"/>
          <w:lang w:val="en-GB" w:eastAsia="cs-CZ"/>
        </w:rPr>
        <w:t xml:space="preserve"> in addition to the sub-fund of a joint-st</w:t>
      </w:r>
      <w:r w:rsidRPr="00FA1502" w:rsidR="00406DC0">
        <w:rPr>
          <w:rFonts w:ascii="Times New Roman" w:eastAsia="Times New Roman" w:hAnsi="Times New Roman" w:cs="Times New Roman"/>
          <w:sz w:val="24"/>
          <w:szCs w:val="24"/>
          <w:lang w:val="en-GB" w:eastAsia="cs-CZ"/>
        </w:rPr>
        <w:t xml:space="preserve">ock company with variable </w:t>
      </w:r>
      <w:r w:rsidRPr="00FA1502">
        <w:rPr>
          <w:rFonts w:ascii="Times New Roman" w:eastAsia="Times New Roman" w:hAnsi="Times New Roman" w:cs="Times New Roman"/>
          <w:sz w:val="24"/>
          <w:szCs w:val="24"/>
          <w:lang w:val="en-GB" w:eastAsia="cs-CZ"/>
        </w:rPr>
        <w:t>capital</w:t>
      </w:r>
      <w:r w:rsidRPr="00FA1502" w:rsidR="00406DC0">
        <w:rPr>
          <w:rFonts w:ascii="Times New Roman" w:eastAsia="Times New Roman" w:hAnsi="Times New Roman" w:cs="Times New Roman"/>
          <w:sz w:val="24"/>
          <w:szCs w:val="24"/>
          <w:lang w:val="en-GB" w:eastAsia="cs-CZ"/>
        </w:rPr>
        <w:t>, also other sub-funds, which</w:t>
      </w:r>
      <w:r w:rsidRPr="00FA1502" w:rsidR="004E6EC6">
        <w:rPr>
          <w:rFonts w:ascii="Times New Roman" w:eastAsia="Times New Roman" w:hAnsi="Times New Roman" w:cs="Times New Roman"/>
          <w:sz w:val="24"/>
          <w:szCs w:val="24"/>
          <w:lang w:val="en-GB" w:eastAsia="cs-CZ"/>
        </w:rPr>
        <w:t xml:space="preserve"> may be created </w:t>
      </w:r>
      <w:r w:rsidRPr="00FA1502" w:rsidR="00F358F1">
        <w:rPr>
          <w:rFonts w:ascii="Times New Roman" w:eastAsia="Times New Roman" w:hAnsi="Times New Roman" w:cs="Times New Roman"/>
          <w:sz w:val="24"/>
          <w:szCs w:val="24"/>
          <w:lang w:val="en-GB" w:eastAsia="cs-CZ"/>
        </w:rPr>
        <w:t>the base of amendment of the ZISIF</w:t>
      </w:r>
      <w:r w:rsidRPr="00FA1502">
        <w:rPr>
          <w:rFonts w:ascii="Times New Roman" w:eastAsia="Times New Roman" w:hAnsi="Times New Roman" w:cs="Times New Roman"/>
          <w:sz w:val="24"/>
          <w:szCs w:val="24"/>
          <w:lang w:val="en-GB" w:eastAsia="cs-CZ"/>
        </w:rPr>
        <w:t xml:space="preserve">, it is necessary to extend the definition of the basic investment fund to these sub-funds </w:t>
      </w:r>
      <w:r w:rsidRPr="00FA1502" w:rsidR="00F358F1">
        <w:rPr>
          <w:rFonts w:ascii="Times New Roman" w:eastAsia="Times New Roman" w:hAnsi="Times New Roman" w:cs="Times New Roman"/>
          <w:sz w:val="24"/>
          <w:szCs w:val="24"/>
          <w:lang w:val="en-GB" w:eastAsia="cs-CZ"/>
        </w:rPr>
        <w:t>(a sub-fund of a limited partnership with investment certificates and a sub-fund of a joint-stock company</w:t>
      </w:r>
      <w:r w:rsidRPr="00FA1502">
        <w:rPr>
          <w:rFonts w:ascii="Times New Roman" w:eastAsia="Times New Roman" w:hAnsi="Times New Roman" w:cs="Times New Roman"/>
          <w:sz w:val="24"/>
          <w:szCs w:val="24"/>
          <w:lang w:val="en-GB" w:eastAsia="cs-CZ"/>
        </w:rPr>
        <w:t xml:space="preserve"> that is an investment fund and is not a joint stock company</w:t>
      </w:r>
      <w:r w:rsidRPr="00FA1502" w:rsidR="00F358F1">
        <w:rPr>
          <w:rFonts w:ascii="Times New Roman" w:eastAsia="Times New Roman" w:hAnsi="Times New Roman" w:cs="Times New Roman"/>
          <w:sz w:val="24"/>
          <w:szCs w:val="24"/>
          <w:lang w:val="en-GB" w:eastAsia="cs-CZ"/>
        </w:rPr>
        <w:t xml:space="preserve"> with a variable</w:t>
      </w:r>
      <w:r w:rsidRPr="00FA1502">
        <w:rPr>
          <w:rFonts w:ascii="Times New Roman" w:eastAsia="Times New Roman" w:hAnsi="Times New Roman" w:cs="Times New Roman"/>
          <w:sz w:val="24"/>
          <w:szCs w:val="24"/>
          <w:lang w:val="en-GB" w:eastAsia="cs-CZ"/>
        </w:rPr>
        <w:t xml:space="preserve"> capital). At the same time, the generic</w:t>
      </w:r>
      <w:r w:rsidRPr="00FA1502" w:rsidR="00F358F1">
        <w:rPr>
          <w:rFonts w:ascii="Times New Roman" w:eastAsia="Times New Roman" w:hAnsi="Times New Roman" w:cs="Times New Roman"/>
          <w:sz w:val="24"/>
          <w:szCs w:val="24"/>
          <w:lang w:val="en-GB" w:eastAsia="cs-CZ"/>
        </w:rPr>
        <w:t xml:space="preserve"> term „investment fund sub-fund“</w:t>
      </w:r>
      <w:r w:rsidRPr="00FA1502">
        <w:rPr>
          <w:rFonts w:ascii="Times New Roman" w:eastAsia="Times New Roman" w:hAnsi="Times New Roman" w:cs="Times New Roman"/>
          <w:sz w:val="24"/>
          <w:szCs w:val="24"/>
          <w:lang w:val="en-GB" w:eastAsia="cs-CZ"/>
        </w:rPr>
        <w:t xml:space="preserve"> is chosen, under which both the aforementioned sub-funds and the e</w:t>
      </w:r>
      <w:r w:rsidRPr="00FA1502" w:rsidR="00EE65D3">
        <w:rPr>
          <w:rFonts w:ascii="Times New Roman" w:eastAsia="Times New Roman" w:hAnsi="Times New Roman" w:cs="Times New Roman"/>
          <w:sz w:val="24"/>
          <w:szCs w:val="24"/>
          <w:lang w:val="en-GB" w:eastAsia="cs-CZ"/>
        </w:rPr>
        <w:t xml:space="preserve">xisting sub-fund of a joint </w:t>
      </w:r>
      <w:r w:rsidRPr="00FA1502" w:rsidR="00EE65D3">
        <w:rPr>
          <w:rFonts w:ascii="Times New Roman" w:eastAsia="Times New Roman" w:hAnsi="Times New Roman" w:cs="Times New Roman"/>
          <w:sz w:val="24"/>
          <w:szCs w:val="24"/>
          <w:lang w:val="en-GB" w:eastAsia="cs-CZ"/>
        </w:rPr>
        <w:t>sock</w:t>
      </w:r>
      <w:r w:rsidRPr="00FA1502" w:rsidR="00F358F1">
        <w:rPr>
          <w:rFonts w:ascii="Times New Roman" w:eastAsia="Times New Roman" w:hAnsi="Times New Roman" w:cs="Times New Roman"/>
          <w:sz w:val="24"/>
          <w:szCs w:val="24"/>
          <w:lang w:val="en-GB" w:eastAsia="cs-CZ"/>
        </w:rPr>
        <w:t xml:space="preserve"> company with variable</w:t>
      </w:r>
      <w:r w:rsidRPr="00FA1502">
        <w:rPr>
          <w:rFonts w:ascii="Times New Roman" w:eastAsia="Times New Roman" w:hAnsi="Times New Roman" w:cs="Times New Roman"/>
          <w:sz w:val="24"/>
          <w:szCs w:val="24"/>
          <w:lang w:val="en-GB" w:eastAsia="cs-CZ"/>
        </w:rPr>
        <w:t xml:space="preserve"> capital fall under.</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w:t>
      </w:r>
      <w:r w:rsidRPr="00FA1502" w:rsidR="00F358F1">
        <w:rPr>
          <w:rFonts w:ascii="Times New Roman" w:eastAsia="Times New Roman" w:hAnsi="Times New Roman" w:cs="Times New Roman"/>
          <w:b/>
          <w:bCs/>
          <w:sz w:val="24"/>
          <w:szCs w:val="24"/>
          <w:u w:val="single"/>
          <w:lang w:val="en-GB" w:eastAsia="cs-CZ"/>
        </w:rPr>
        <w:t>int 12 [Section 19 (12</w:t>
      </w:r>
      <w:r w:rsidRPr="00FA1502">
        <w:rPr>
          <w:rFonts w:ascii="Times New Roman" w:eastAsia="Times New Roman" w:hAnsi="Times New Roman" w:cs="Times New Roman"/>
          <w:b/>
          <w:bCs/>
          <w:sz w:val="24"/>
          <w:szCs w:val="24"/>
          <w:u w:val="single"/>
          <w:lang w:val="en-GB" w:eastAsia="cs-CZ"/>
        </w:rPr>
        <w:t>)</w:t>
      </w:r>
      <w:r w:rsidRPr="00FA1502" w:rsidR="00F358F1">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In connection with the proposed amendment </w:t>
      </w:r>
      <w:r w:rsidRPr="00FA1502" w:rsidR="00F358F1">
        <w:rPr>
          <w:rFonts w:ascii="Times New Roman" w:eastAsia="Times New Roman" w:hAnsi="Times New Roman" w:cs="Times New Roman"/>
          <w:sz w:val="24"/>
          <w:szCs w:val="24"/>
          <w:lang w:val="en-GB" w:eastAsia="cs-CZ"/>
        </w:rPr>
        <w:t xml:space="preserve">of the </w:t>
      </w:r>
      <w:r w:rsidRPr="00FA1502">
        <w:rPr>
          <w:rFonts w:ascii="Times New Roman" w:eastAsia="Times New Roman" w:hAnsi="Times New Roman" w:cs="Times New Roman"/>
          <w:sz w:val="24"/>
          <w:szCs w:val="24"/>
          <w:lang w:val="en-GB" w:eastAsia="cs-CZ"/>
        </w:rPr>
        <w:t>ZISIF</w:t>
      </w:r>
      <w:r w:rsidRPr="00FA1502" w:rsidR="00F358F1">
        <w:rPr>
          <w:rFonts w:ascii="Times New Roman" w:eastAsia="Times New Roman" w:hAnsi="Times New Roman" w:cs="Times New Roman"/>
          <w:sz w:val="24"/>
          <w:szCs w:val="24"/>
          <w:lang w:val="en-GB" w:eastAsia="cs-CZ"/>
        </w:rPr>
        <w:t>, when in Section</w:t>
      </w:r>
      <w:r w:rsidRPr="00FA1502">
        <w:rPr>
          <w:rFonts w:ascii="Times New Roman" w:eastAsia="Times New Roman" w:hAnsi="Times New Roman" w:cs="Times New Roman"/>
          <w:sz w:val="24"/>
          <w:szCs w:val="24"/>
          <w:lang w:val="en-GB" w:eastAsia="cs-CZ"/>
        </w:rPr>
        <w:t xml:space="preserve"> 186a </w:t>
      </w:r>
      <w:r w:rsidRPr="00FA1502" w:rsidR="00F358F1">
        <w:rPr>
          <w:rFonts w:ascii="Times New Roman" w:eastAsia="Times New Roman" w:hAnsi="Times New Roman" w:cs="Times New Roman"/>
          <w:sz w:val="24"/>
          <w:szCs w:val="24"/>
          <w:lang w:val="en-GB" w:eastAsia="cs-CZ"/>
        </w:rPr>
        <w:t xml:space="preserve">of the </w:t>
      </w:r>
      <w:r w:rsidRPr="00FA1502">
        <w:rPr>
          <w:rFonts w:ascii="Times New Roman" w:eastAsia="Times New Roman" w:hAnsi="Times New Roman" w:cs="Times New Roman"/>
          <w:sz w:val="24"/>
          <w:szCs w:val="24"/>
          <w:lang w:val="en-GB" w:eastAsia="cs-CZ"/>
        </w:rPr>
        <w:t>ZISIF</w:t>
      </w:r>
      <w:r w:rsidRPr="00FA1502" w:rsidR="00F358F1">
        <w:rPr>
          <w:rFonts w:ascii="Times New Roman" w:eastAsia="Times New Roman" w:hAnsi="Times New Roman" w:cs="Times New Roman"/>
          <w:sz w:val="24"/>
          <w:szCs w:val="24"/>
          <w:lang w:val="en-GB" w:eastAsia="cs-CZ"/>
        </w:rPr>
        <w:t>, it is newly allowed to</w:t>
      </w:r>
      <w:r w:rsidRPr="00FA1502">
        <w:rPr>
          <w:rFonts w:ascii="Times New Roman" w:eastAsia="Times New Roman" w:hAnsi="Times New Roman" w:cs="Times New Roman"/>
          <w:sz w:val="24"/>
          <w:szCs w:val="24"/>
          <w:lang w:val="en-GB" w:eastAsia="cs-CZ"/>
        </w:rPr>
        <w:t xml:space="preserve"> an investment fund</w:t>
      </w:r>
      <w:r w:rsidRPr="00FA1502" w:rsidR="00F358F1">
        <w:rPr>
          <w:rFonts w:ascii="Times New Roman" w:eastAsia="Times New Roman" w:hAnsi="Times New Roman" w:cs="Times New Roman"/>
          <w:sz w:val="24"/>
          <w:szCs w:val="24"/>
          <w:lang w:val="en-GB" w:eastAsia="cs-CZ"/>
        </w:rPr>
        <w:t>, which is a joint stock company</w:t>
      </w:r>
      <w:r w:rsidRPr="00FA1502">
        <w:rPr>
          <w:rFonts w:ascii="Times New Roman" w:eastAsia="Times New Roman" w:hAnsi="Times New Roman" w:cs="Times New Roman"/>
          <w:sz w:val="24"/>
          <w:szCs w:val="24"/>
          <w:lang w:val="en-GB" w:eastAsia="cs-CZ"/>
        </w:rPr>
        <w:t xml:space="preserve"> and not a joint stock company with variable capital, </w:t>
      </w:r>
      <w:r w:rsidRPr="00FA1502" w:rsidR="00F358F1">
        <w:rPr>
          <w:rFonts w:ascii="Times New Roman" w:eastAsia="Times New Roman" w:hAnsi="Times New Roman" w:cs="Times New Roman"/>
          <w:sz w:val="24"/>
          <w:szCs w:val="24"/>
          <w:lang w:val="en-GB" w:eastAsia="cs-CZ"/>
        </w:rPr>
        <w:t xml:space="preserve">to </w:t>
      </w:r>
      <w:r w:rsidRPr="00FA1502">
        <w:rPr>
          <w:rFonts w:ascii="Times New Roman" w:eastAsia="Times New Roman" w:hAnsi="Times New Roman" w:cs="Times New Roman"/>
          <w:sz w:val="24"/>
          <w:szCs w:val="24"/>
          <w:lang w:val="en-GB" w:eastAsia="cs-CZ"/>
        </w:rPr>
        <w:t>create sub-fund</w:t>
      </w:r>
      <w:r w:rsidRPr="00FA1502" w:rsidR="00F358F1">
        <w:rPr>
          <w:rFonts w:ascii="Times New Roman" w:eastAsia="Times New Roman" w:hAnsi="Times New Roman" w:cs="Times New Roman"/>
          <w:sz w:val="24"/>
          <w:szCs w:val="24"/>
          <w:lang w:val="en-GB" w:eastAsia="cs-CZ"/>
        </w:rPr>
        <w:t>s, the existing is generalized</w:t>
      </w:r>
      <w:r w:rsidRPr="00FA1502">
        <w:rPr>
          <w:rFonts w:ascii="Times New Roman" w:eastAsia="Times New Roman" w:hAnsi="Times New Roman" w:cs="Times New Roman"/>
          <w:sz w:val="24"/>
          <w:szCs w:val="24"/>
          <w:lang w:val="en-GB" w:eastAsia="cs-CZ"/>
        </w:rPr>
        <w:t xml:space="preserve"> so that it would also apply to those companies and their sub</w:t>
      </w:r>
      <w:r w:rsidRPr="00FA1502" w:rsidR="00F358F1">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funds.</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13 [Section 23f (h</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In connection with the modifications made in Section 17 (1) (d) the ZDP, according to which the income tax payers are, in addition to the sub-fund of a joint-stock company with variable capital, also other sub-funds, which may be created the base of amendment of the ZISIF</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 xml:space="preserve">it is necessary to exclude also these sub-funds </w:t>
      </w:r>
      <w:r w:rsidRPr="00FA1502">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a sub-fund of a limited partnership with investment certificates and a sub-fund of a joint-stock company that is an investment fund and is not a joint stock company with a variable capital) </w:t>
      </w:r>
      <w:r w:rsidRPr="00FA1502">
        <w:rPr>
          <w:rFonts w:ascii="Times New Roman" w:eastAsia="Times New Roman" w:hAnsi="Times New Roman" w:cs="Times New Roman"/>
          <w:sz w:val="24"/>
          <w:szCs w:val="24"/>
          <w:lang w:val="en-GB" w:eastAsia="cs-CZ"/>
        </w:rPr>
        <w:t xml:space="preserve">from the regime of </w:t>
      </w:r>
      <w:r w:rsidRPr="00FA1502" w:rsidR="00EE65D3">
        <w:rPr>
          <w:rFonts w:ascii="Times New Roman" w:eastAsia="Times New Roman" w:hAnsi="Times New Roman" w:cs="Times New Roman"/>
          <w:sz w:val="24"/>
          <w:szCs w:val="24"/>
          <w:lang w:val="en-GB" w:eastAsia="cs-CZ"/>
        </w:rPr>
        <w:t xml:space="preserve">limited </w:t>
      </w:r>
      <w:r w:rsidRPr="00FA1502">
        <w:rPr>
          <w:rFonts w:ascii="Times New Roman" w:eastAsia="Times New Roman" w:hAnsi="Times New Roman" w:cs="Times New Roman"/>
          <w:sz w:val="24"/>
          <w:szCs w:val="24"/>
          <w:lang w:val="en-GB" w:eastAsia="cs-CZ"/>
        </w:rPr>
        <w:t xml:space="preserve">eligibility of excessive borrowing expenses. At the same time, the generic term </w:t>
      </w:r>
      <w:r w:rsidRPr="00FA1502" w:rsidR="00EE65D3">
        <w:rPr>
          <w:rFonts w:ascii="Times New Roman" w:eastAsia="Times New Roman" w:hAnsi="Times New Roman" w:cs="Times New Roman"/>
          <w:sz w:val="24"/>
          <w:szCs w:val="24"/>
          <w:lang w:val="en-GB" w:eastAsia="cs-CZ"/>
        </w:rPr>
        <w:t xml:space="preserve">„investment fund sub-fund“ </w:t>
      </w:r>
      <w:r w:rsidRPr="00FA1502">
        <w:rPr>
          <w:rFonts w:ascii="Times New Roman" w:eastAsia="Times New Roman" w:hAnsi="Times New Roman" w:cs="Times New Roman"/>
          <w:sz w:val="24"/>
          <w:szCs w:val="24"/>
          <w:lang w:val="en-GB" w:eastAsia="cs-CZ"/>
        </w:rPr>
        <w:t xml:space="preserve">is chosen, </w:t>
      </w:r>
      <w:r w:rsidRPr="00FA1502" w:rsidR="00EE65D3">
        <w:rPr>
          <w:rFonts w:ascii="Times New Roman" w:eastAsia="Times New Roman" w:hAnsi="Times New Roman" w:cs="Times New Roman"/>
          <w:sz w:val="24"/>
          <w:szCs w:val="24"/>
          <w:lang w:val="en-GB" w:eastAsia="cs-CZ"/>
        </w:rPr>
        <w:t xml:space="preserve">under which both the aforementioned sub-funds and the existing sub-fund of a joint </w:t>
      </w:r>
      <w:r w:rsidRPr="00FA1502" w:rsidR="00EE65D3">
        <w:rPr>
          <w:rFonts w:ascii="Times New Roman" w:eastAsia="Times New Roman" w:hAnsi="Times New Roman" w:cs="Times New Roman"/>
          <w:sz w:val="24"/>
          <w:szCs w:val="24"/>
          <w:lang w:val="en-GB" w:eastAsia="cs-CZ"/>
        </w:rPr>
        <w:t>sock</w:t>
      </w:r>
      <w:r w:rsidRPr="00FA1502" w:rsidR="00EE65D3">
        <w:rPr>
          <w:rFonts w:ascii="Times New Roman" w:eastAsia="Times New Roman" w:hAnsi="Times New Roman" w:cs="Times New Roman"/>
          <w:sz w:val="24"/>
          <w:szCs w:val="24"/>
          <w:lang w:val="en-GB" w:eastAsia="cs-CZ"/>
        </w:rPr>
        <w:t xml:space="preserve"> </w:t>
      </w:r>
      <w:r w:rsidRPr="00FA1502" w:rsidR="00EE65D3">
        <w:rPr>
          <w:rFonts w:ascii="Times New Roman" w:eastAsia="Times New Roman" w:hAnsi="Times New Roman" w:cs="Times New Roman"/>
          <w:sz w:val="24"/>
          <w:szCs w:val="24"/>
          <w:lang w:val="en-GB" w:eastAsia="cs-CZ"/>
        </w:rPr>
        <w:t>company with variable capital fall under.</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14 [Section 36 (2) (k)</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Legislative-technical regulation is propose</w:t>
      </w:r>
      <w:r w:rsidRPr="00FA1502" w:rsidR="00EE65D3">
        <w:rPr>
          <w:rFonts w:ascii="Times New Roman" w:eastAsia="Times New Roman" w:hAnsi="Times New Roman" w:cs="Times New Roman"/>
          <w:sz w:val="24"/>
          <w:szCs w:val="24"/>
          <w:lang w:val="en-GB" w:eastAsia="cs-CZ"/>
        </w:rPr>
        <w:t>d following the new wording of Section 8 (1) (e)</w:t>
      </w:r>
      <w:r w:rsidRPr="00FA1502">
        <w:rPr>
          <w:rFonts w:ascii="Times New Roman" w:eastAsia="Times New Roman" w:hAnsi="Times New Roman" w:cs="Times New Roman"/>
          <w:sz w:val="24"/>
          <w:szCs w:val="24"/>
          <w:lang w:val="en-GB" w:eastAsia="cs-CZ"/>
        </w:rPr>
        <w:t xml:space="preserve"> and </w:t>
      </w:r>
      <w:r w:rsidRPr="00FA1502" w:rsidR="00EE65D3">
        <w:rPr>
          <w:rFonts w:ascii="Times New Roman" w:eastAsia="Times New Roman" w:hAnsi="Times New Roman" w:cs="Times New Roman"/>
          <w:sz w:val="24"/>
          <w:szCs w:val="24"/>
          <w:lang w:val="en-GB" w:eastAsia="cs-CZ"/>
        </w:rPr>
        <w:t>(f) and Section 8 (6) of the ZDP.</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15 [Section 36 (2) (o</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provisions of the Section 36 (2) (o) of the ZDP is abolished, as the benefits regulated</w:t>
      </w:r>
      <w:r w:rsidRPr="00FA1502">
        <w:rPr>
          <w:rFonts w:ascii="Times New Roman" w:eastAsia="Times New Roman" w:hAnsi="Times New Roman" w:cs="Times New Roman"/>
          <w:sz w:val="24"/>
          <w:szCs w:val="24"/>
          <w:lang w:val="en-GB" w:eastAsia="cs-CZ"/>
        </w:rPr>
        <w:t xml:space="preserve"> therein are</w:t>
      </w:r>
      <w:r w:rsidRPr="00FA1502">
        <w:rPr>
          <w:rFonts w:ascii="Times New Roman" w:eastAsia="Times New Roman" w:hAnsi="Times New Roman" w:cs="Times New Roman"/>
          <w:sz w:val="24"/>
          <w:szCs w:val="24"/>
          <w:lang w:val="en-GB" w:eastAsia="cs-CZ"/>
        </w:rPr>
        <w:t xml:space="preserve"> covered by the new wording of Section 36 (2) (k)</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of the ZDP</w:t>
      </w:r>
      <w:r w:rsidRPr="00FA1502">
        <w:rPr>
          <w:rFonts w:ascii="Times New Roman" w:eastAsia="Times New Roman" w:hAnsi="Times New Roman" w:cs="Times New Roman"/>
          <w:sz w:val="24"/>
          <w:szCs w:val="24"/>
          <w:lang w:val="en-GB" w:eastAsia="cs-CZ"/>
        </w:rPr>
        <w:t>.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16 [Section 37 (c)]</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It is proposed to abolish the existing provision</w:t>
      </w:r>
      <w:r w:rsidRPr="00FA1502" w:rsidR="004214E3">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pursuant to</w:t>
      </w:r>
      <w:r w:rsidRPr="00FA1502">
        <w:rPr>
          <w:rFonts w:ascii="Times New Roman" w:eastAsia="Times New Roman" w:hAnsi="Times New Roman" w:cs="Times New Roman"/>
          <w:sz w:val="24"/>
          <w:szCs w:val="24"/>
          <w:lang w:val="en-GB" w:eastAsia="cs-CZ"/>
        </w:rPr>
        <w:t xml:space="preserve"> which the p</w:t>
      </w:r>
      <w:r w:rsidRPr="00FA1502" w:rsidR="004214E3">
        <w:rPr>
          <w:rFonts w:ascii="Times New Roman" w:eastAsia="Times New Roman" w:hAnsi="Times New Roman" w:cs="Times New Roman"/>
          <w:sz w:val="24"/>
          <w:szCs w:val="24"/>
          <w:lang w:val="en-GB" w:eastAsia="cs-CZ"/>
        </w:rPr>
        <w:t>rovisions of the Income Tax Act, which</w:t>
      </w:r>
      <w:r w:rsidRPr="00FA1502">
        <w:rPr>
          <w:rFonts w:ascii="Times New Roman" w:eastAsia="Times New Roman" w:hAnsi="Times New Roman" w:cs="Times New Roman"/>
          <w:sz w:val="24"/>
          <w:szCs w:val="24"/>
          <w:lang w:val="en-GB" w:eastAsia="cs-CZ"/>
        </w:rPr>
        <w:t xml:space="preserve"> </w:t>
      </w:r>
      <w:r w:rsidRPr="00FA1502" w:rsidR="004214E3">
        <w:rPr>
          <w:rFonts w:ascii="Times New Roman" w:eastAsia="Times New Roman" w:hAnsi="Times New Roman" w:cs="Times New Roman"/>
          <w:sz w:val="24"/>
          <w:szCs w:val="24"/>
          <w:lang w:val="en-GB" w:eastAsia="cs-CZ"/>
        </w:rPr>
        <w:t>are applicable to an open-end mutual fund and participation certificate,</w:t>
      </w:r>
      <w:r w:rsidRPr="00FA1502">
        <w:rPr>
          <w:rFonts w:ascii="Times New Roman" w:eastAsia="Times New Roman" w:hAnsi="Times New Roman" w:cs="Times New Roman"/>
          <w:sz w:val="24"/>
          <w:szCs w:val="24"/>
          <w:lang w:val="en-GB" w:eastAsia="cs-CZ"/>
        </w:rPr>
        <w:t xml:space="preserve"> shall apply </w:t>
      </w:r>
      <w:r w:rsidRPr="00FA1502" w:rsidR="004214E3">
        <w:rPr>
          <w:rFonts w:ascii="Times New Roman" w:eastAsia="Times New Roman" w:hAnsi="Times New Roman" w:cs="Times New Roman"/>
          <w:sz w:val="24"/>
          <w:szCs w:val="24"/>
          <w:lang w:val="en-GB" w:eastAsia="cs-CZ"/>
        </w:rPr>
        <w:t xml:space="preserve">also </w:t>
      </w:r>
      <w:r w:rsidRPr="00FA1502">
        <w:rPr>
          <w:rFonts w:ascii="Times New Roman" w:eastAsia="Times New Roman" w:hAnsi="Times New Roman" w:cs="Times New Roman"/>
          <w:sz w:val="24"/>
          <w:szCs w:val="24"/>
          <w:lang w:val="en-GB" w:eastAsia="cs-CZ"/>
        </w:rPr>
        <w:t>to a sub-fund of a joint-s</w:t>
      </w:r>
      <w:r w:rsidRPr="00FA1502" w:rsidR="004214E3">
        <w:rPr>
          <w:rFonts w:ascii="Times New Roman" w:eastAsia="Times New Roman" w:hAnsi="Times New Roman" w:cs="Times New Roman"/>
          <w:sz w:val="24"/>
          <w:szCs w:val="24"/>
          <w:lang w:val="en-GB" w:eastAsia="cs-CZ"/>
        </w:rPr>
        <w:t>tock company with variable</w:t>
      </w:r>
      <w:r w:rsidRPr="00FA1502">
        <w:rPr>
          <w:rFonts w:ascii="Times New Roman" w:eastAsia="Times New Roman" w:hAnsi="Times New Roman" w:cs="Times New Roman"/>
          <w:sz w:val="24"/>
          <w:szCs w:val="24"/>
          <w:lang w:val="en-GB" w:eastAsia="cs-CZ"/>
        </w:rPr>
        <w:t xml:space="preserve"> cap</w:t>
      </w:r>
      <w:r w:rsidRPr="00FA1502" w:rsidR="004214E3">
        <w:rPr>
          <w:rFonts w:ascii="Times New Roman" w:eastAsia="Times New Roman" w:hAnsi="Times New Roman" w:cs="Times New Roman"/>
          <w:sz w:val="24"/>
          <w:szCs w:val="24"/>
          <w:lang w:val="en-GB" w:eastAsia="cs-CZ"/>
        </w:rPr>
        <w:t>ital and to an investment stock. The current regulation is</w:t>
      </w:r>
      <w:r w:rsidRPr="00FA1502">
        <w:rPr>
          <w:rFonts w:ascii="Times New Roman" w:eastAsia="Times New Roman" w:hAnsi="Times New Roman" w:cs="Times New Roman"/>
          <w:sz w:val="24"/>
          <w:szCs w:val="24"/>
          <w:lang w:val="en-GB" w:eastAsia="cs-CZ"/>
        </w:rPr>
        <w:t xml:space="preserve"> inaccurate and redundant. </w:t>
      </w:r>
      <w:r w:rsidRPr="00FA1502" w:rsidR="004214E3">
        <w:rPr>
          <w:rFonts w:ascii="Times New Roman" w:eastAsia="Times New Roman" w:hAnsi="Times New Roman" w:cs="Times New Roman"/>
          <w:sz w:val="24"/>
          <w:szCs w:val="24"/>
          <w:lang w:val="en-GB" w:eastAsia="cs-CZ"/>
        </w:rPr>
        <w:t>Sub-funds of an investment fund, which is a joint stock company</w:t>
      </w:r>
      <w:r w:rsidRPr="00FA1502">
        <w:rPr>
          <w:rFonts w:ascii="Times New Roman" w:eastAsia="Times New Roman" w:hAnsi="Times New Roman" w:cs="Times New Roman"/>
          <w:sz w:val="24"/>
          <w:szCs w:val="24"/>
          <w:lang w:val="en-GB" w:eastAsia="cs-CZ"/>
        </w:rPr>
        <w:t>, do not have a separate legal personality; they are part of a joint-stock company, but the individual sub-funds are completely separate, including separate accounting and dividend payments. Therefore, f</w:t>
      </w:r>
      <w:r w:rsidRPr="00FA1502" w:rsidR="004214E3">
        <w:rPr>
          <w:rFonts w:ascii="Times New Roman" w:eastAsia="Times New Roman" w:hAnsi="Times New Roman" w:cs="Times New Roman"/>
          <w:sz w:val="24"/>
          <w:szCs w:val="24"/>
          <w:lang w:val="en-GB" w:eastAsia="cs-CZ"/>
        </w:rPr>
        <w:t>rom the point of view of the ZDP</w:t>
      </w:r>
      <w:r w:rsidRPr="00FA1502">
        <w:rPr>
          <w:rFonts w:ascii="Times New Roman" w:eastAsia="Times New Roman" w:hAnsi="Times New Roman" w:cs="Times New Roman"/>
          <w:sz w:val="24"/>
          <w:szCs w:val="24"/>
          <w:lang w:val="en-GB" w:eastAsia="cs-CZ"/>
        </w:rPr>
        <w:t>, these sub-fund</w:t>
      </w:r>
      <w:r w:rsidRPr="00FA1502" w:rsidR="004214E3">
        <w:rPr>
          <w:rFonts w:ascii="Times New Roman" w:eastAsia="Times New Roman" w:hAnsi="Times New Roman" w:cs="Times New Roman"/>
          <w:sz w:val="24"/>
          <w:szCs w:val="24"/>
          <w:lang w:val="en-GB" w:eastAsia="cs-CZ"/>
        </w:rPr>
        <w:t xml:space="preserve">s are granted tax subjectivity </w:t>
      </w:r>
      <w:r w:rsidRPr="00FA1502" w:rsidR="004214E3">
        <w:t>[</w:t>
      </w:r>
      <w:r w:rsidRPr="00FA1502" w:rsidR="004214E3">
        <w:rPr>
          <w:rFonts w:ascii="Times New Roman" w:eastAsia="Times New Roman" w:hAnsi="Times New Roman" w:cs="Times New Roman"/>
          <w:sz w:val="24"/>
          <w:szCs w:val="24"/>
          <w:lang w:val="en-GB" w:eastAsia="cs-CZ"/>
        </w:rPr>
        <w:t>see Section</w:t>
      </w:r>
      <w:r w:rsidRPr="00FA1502" w:rsidR="006C5435">
        <w:rPr>
          <w:rFonts w:ascii="Times New Roman" w:eastAsia="Times New Roman" w:hAnsi="Times New Roman" w:cs="Times New Roman"/>
          <w:sz w:val="24"/>
          <w:szCs w:val="24"/>
          <w:lang w:val="en-GB" w:eastAsia="cs-CZ"/>
        </w:rPr>
        <w:t xml:space="preserve"> 17 (1) (d) of the ZDP</w:t>
      </w:r>
      <w:r w:rsidRPr="00FA1502">
        <w:rPr>
          <w:rFonts w:ascii="Times New Roman" w:eastAsia="Times New Roman" w:hAnsi="Times New Roman" w:cs="Times New Roman"/>
          <w:sz w:val="24"/>
          <w:szCs w:val="24"/>
          <w:lang w:val="en-GB" w:eastAsia="cs-CZ"/>
        </w:rPr>
        <w:t>] and there is no reason for their tax regime not to be similar to that of a public limited company, taking into account that the sub-funds do not have legal personality. Thus, fr</w:t>
      </w:r>
      <w:r w:rsidRPr="00FA1502" w:rsidR="006C5435">
        <w:rPr>
          <w:rFonts w:ascii="Times New Roman" w:eastAsia="Times New Roman" w:hAnsi="Times New Roman" w:cs="Times New Roman"/>
          <w:sz w:val="24"/>
          <w:szCs w:val="24"/>
          <w:lang w:val="en-GB" w:eastAsia="cs-CZ"/>
        </w:rPr>
        <w:t>om the point of view of the ZDP,</w:t>
      </w:r>
      <w:r w:rsidRPr="00FA1502">
        <w:rPr>
          <w:rFonts w:ascii="Times New Roman" w:eastAsia="Times New Roman" w:hAnsi="Times New Roman" w:cs="Times New Roman"/>
          <w:sz w:val="24"/>
          <w:szCs w:val="24"/>
          <w:lang w:val="en-GB" w:eastAsia="cs-CZ"/>
        </w:rPr>
        <w:t xml:space="preserve"> there is no need to standardize another tax regime, unlike a limited partnership</w:t>
      </w:r>
      <w:r w:rsidRPr="00FA1502" w:rsidR="006C5435">
        <w:rPr>
          <w:rFonts w:ascii="Times New Roman" w:eastAsia="Times New Roman" w:hAnsi="Times New Roman" w:cs="Times New Roman"/>
          <w:sz w:val="24"/>
          <w:szCs w:val="24"/>
          <w:lang w:val="en-GB" w:eastAsia="cs-CZ"/>
        </w:rPr>
        <w:t xml:space="preserve"> with investment certificates and its</w:t>
      </w:r>
      <w:r w:rsidRPr="00FA1502">
        <w:rPr>
          <w:rFonts w:ascii="Times New Roman" w:eastAsia="Times New Roman" w:hAnsi="Times New Roman" w:cs="Times New Roman"/>
          <w:sz w:val="24"/>
          <w:szCs w:val="24"/>
          <w:lang w:val="en-GB" w:eastAsia="cs-CZ"/>
        </w:rPr>
        <w:t xml:space="preserve"> sub-funds, where this need is given by a specific </w:t>
      </w:r>
      <w:r w:rsidRPr="00FA1502" w:rsidR="006C5435">
        <w:rPr>
          <w:rFonts w:ascii="Times New Roman" w:eastAsia="Times New Roman" w:hAnsi="Times New Roman" w:cs="Times New Roman"/>
          <w:sz w:val="24"/>
          <w:szCs w:val="24"/>
          <w:lang w:val="en-GB" w:eastAsia="cs-CZ"/>
        </w:rPr>
        <w:t>tax regime for limited partnership</w:t>
      </w:r>
      <w:r w:rsidRPr="00FA1502">
        <w:rPr>
          <w:rFonts w:ascii="Times New Roman" w:eastAsia="Times New Roman" w:hAnsi="Times New Roman" w:cs="Times New Roman"/>
          <w:sz w:val="24"/>
          <w:szCs w:val="24"/>
          <w:lang w:val="en-GB" w:eastAsia="cs-CZ"/>
        </w:rPr>
        <w:t>. For this reason, it was also inaccurate to compare the</w:t>
      </w:r>
      <w:r w:rsidRPr="00FA1502" w:rsidR="006C5435">
        <w:rPr>
          <w:rFonts w:ascii="Times New Roman" w:eastAsia="Times New Roman" w:hAnsi="Times New Roman" w:cs="Times New Roman"/>
          <w:sz w:val="24"/>
          <w:szCs w:val="24"/>
          <w:lang w:val="en-GB" w:eastAsia="cs-CZ"/>
        </w:rPr>
        <w:t xml:space="preserve"> investment-share regime to participation</w:t>
      </w:r>
      <w:r w:rsidRPr="00FA1502">
        <w:rPr>
          <w:rFonts w:ascii="Times New Roman" w:eastAsia="Times New Roman" w:hAnsi="Times New Roman" w:cs="Times New Roman"/>
          <w:sz w:val="24"/>
          <w:szCs w:val="24"/>
          <w:lang w:val="en-GB" w:eastAsia="cs-CZ"/>
        </w:rPr>
        <w:t xml:space="preserve"> certificates, since they are shares, albeit of a different kind.</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17 [Section 37 (d)]</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amendment follows</w:t>
      </w:r>
      <w:r w:rsidRPr="00FA1502">
        <w:rPr>
          <w:rFonts w:ascii="Times New Roman" w:eastAsia="Times New Roman" w:hAnsi="Times New Roman" w:cs="Times New Roman"/>
          <w:sz w:val="24"/>
          <w:szCs w:val="24"/>
          <w:lang w:val="en-GB" w:eastAsia="cs-CZ"/>
        </w:rPr>
        <w:t xml:space="preserve"> t</w:t>
      </w:r>
      <w:r w:rsidRPr="00FA1502">
        <w:rPr>
          <w:rFonts w:ascii="Times New Roman" w:eastAsia="Times New Roman" w:hAnsi="Times New Roman" w:cs="Times New Roman"/>
          <w:sz w:val="24"/>
          <w:szCs w:val="24"/>
          <w:lang w:val="en-GB" w:eastAsia="cs-CZ"/>
        </w:rPr>
        <w:t>he proposed changes of the ZISIF, which in Section</w:t>
      </w:r>
      <w:r w:rsidRPr="00FA1502">
        <w:rPr>
          <w:rFonts w:ascii="Times New Roman" w:eastAsia="Times New Roman" w:hAnsi="Times New Roman" w:cs="Times New Roman"/>
          <w:sz w:val="24"/>
          <w:szCs w:val="24"/>
          <w:lang w:val="en-GB" w:eastAsia="cs-CZ"/>
        </w:rPr>
        <w:t xml:space="preserve"> 170 </w:t>
      </w:r>
      <w:r w:rsidRPr="00FA1502">
        <w:rPr>
          <w:rFonts w:ascii="Times New Roman" w:eastAsia="Times New Roman" w:hAnsi="Times New Roman" w:cs="Times New Roman"/>
          <w:sz w:val="24"/>
          <w:szCs w:val="24"/>
          <w:lang w:val="en-GB" w:eastAsia="cs-CZ"/>
        </w:rPr>
        <w:t>of the ZISIF</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it is newly allowed to</w:t>
      </w:r>
      <w:r w:rsidRPr="00FA1502">
        <w:rPr>
          <w:rFonts w:ascii="Times New Roman" w:eastAsia="Times New Roman" w:hAnsi="Times New Roman" w:cs="Times New Roman"/>
          <w:sz w:val="24"/>
          <w:szCs w:val="24"/>
          <w:lang w:val="en-GB" w:eastAsia="cs-CZ"/>
        </w:rPr>
        <w:t xml:space="preserve"> the investment </w:t>
      </w:r>
      <w:r w:rsidRPr="00FA1502">
        <w:rPr>
          <w:rFonts w:ascii="Times New Roman" w:eastAsia="Times New Roman" w:hAnsi="Times New Roman" w:cs="Times New Roman"/>
          <w:sz w:val="24"/>
          <w:szCs w:val="24"/>
          <w:lang w:val="en-GB" w:eastAsia="cs-CZ"/>
        </w:rPr>
        <w:t>fund, which is a limited partnership with investment certificates</w:t>
      </w:r>
      <w:r w:rsidRPr="00FA1502">
        <w:rPr>
          <w:rFonts w:ascii="Times New Roman" w:eastAsia="Times New Roman" w:hAnsi="Times New Roman" w:cs="Times New Roman"/>
          <w:sz w:val="24"/>
          <w:szCs w:val="24"/>
          <w:lang w:val="en-GB" w:eastAsia="cs-CZ"/>
        </w:rPr>
        <w:t>, to c</w:t>
      </w:r>
      <w:r w:rsidRPr="00FA1502">
        <w:rPr>
          <w:rFonts w:ascii="Times New Roman" w:eastAsia="Times New Roman" w:hAnsi="Times New Roman" w:cs="Times New Roman"/>
          <w:sz w:val="24"/>
          <w:szCs w:val="24"/>
          <w:lang w:val="en-GB" w:eastAsia="cs-CZ"/>
        </w:rPr>
        <w:t>reate sub-funds. It is stated</w:t>
      </w:r>
      <w:r w:rsidRPr="00FA1502">
        <w:rPr>
          <w:rFonts w:ascii="Times New Roman" w:eastAsia="Times New Roman" w:hAnsi="Times New Roman" w:cs="Times New Roman"/>
          <w:sz w:val="24"/>
          <w:szCs w:val="24"/>
          <w:lang w:val="en-GB" w:eastAsia="cs-CZ"/>
        </w:rPr>
        <w:t xml:space="preserve"> that these sub-funds will have the same tax re</w:t>
      </w:r>
      <w:r w:rsidRPr="00FA1502">
        <w:rPr>
          <w:rFonts w:ascii="Times New Roman" w:eastAsia="Times New Roman" w:hAnsi="Times New Roman" w:cs="Times New Roman"/>
          <w:sz w:val="24"/>
          <w:szCs w:val="24"/>
          <w:lang w:val="en-GB" w:eastAsia="cs-CZ"/>
        </w:rPr>
        <w:t>gime as limited partnership with investment certificates. Contrary to Section 37c of the ZDP</w:t>
      </w:r>
      <w:r w:rsidRPr="00FA1502" w:rsidR="00B97236">
        <w:rPr>
          <w:rFonts w:ascii="Times New Roman" w:eastAsia="Times New Roman" w:hAnsi="Times New Roman" w:cs="Times New Roman"/>
          <w:sz w:val="24"/>
          <w:szCs w:val="24"/>
          <w:lang w:val="en-GB" w:eastAsia="cs-CZ"/>
        </w:rPr>
        <w:t>, it is preserved that the investment certificates</w:t>
      </w:r>
      <w:r w:rsidRPr="00FA1502">
        <w:rPr>
          <w:rFonts w:ascii="Times New Roman" w:eastAsia="Times New Roman" w:hAnsi="Times New Roman" w:cs="Times New Roman"/>
          <w:sz w:val="24"/>
          <w:szCs w:val="24"/>
          <w:lang w:val="en-GB" w:eastAsia="cs-CZ"/>
        </w:rPr>
        <w:t xml:space="preserve"> (</w:t>
      </w:r>
      <w:r w:rsidRPr="00FA1502" w:rsidR="00B97236">
        <w:rPr>
          <w:rFonts w:ascii="Times New Roman" w:eastAsia="Times New Roman" w:hAnsi="Times New Roman" w:cs="Times New Roman"/>
          <w:sz w:val="24"/>
          <w:szCs w:val="24"/>
          <w:lang w:val="en-GB" w:eastAsia="cs-CZ"/>
        </w:rPr>
        <w:t xml:space="preserve">of a </w:t>
      </w:r>
      <w:r w:rsidRPr="00FA1502">
        <w:rPr>
          <w:rFonts w:ascii="Times New Roman" w:eastAsia="Times New Roman" w:hAnsi="Times New Roman" w:cs="Times New Roman"/>
          <w:sz w:val="24"/>
          <w:szCs w:val="24"/>
          <w:lang w:val="en-GB" w:eastAsia="cs-CZ"/>
        </w:rPr>
        <w:t xml:space="preserve">sub-fund or </w:t>
      </w:r>
      <w:r w:rsidRPr="00FA1502" w:rsidR="00B97236">
        <w:rPr>
          <w:rFonts w:ascii="Times New Roman" w:eastAsia="Times New Roman" w:hAnsi="Times New Roman" w:cs="Times New Roman"/>
          <w:sz w:val="24"/>
          <w:szCs w:val="24"/>
          <w:lang w:val="en-GB" w:eastAsia="cs-CZ"/>
        </w:rPr>
        <w:t xml:space="preserve">an </w:t>
      </w:r>
      <w:r w:rsidRPr="00FA1502">
        <w:rPr>
          <w:rFonts w:ascii="Times New Roman" w:eastAsia="Times New Roman" w:hAnsi="Times New Roman" w:cs="Times New Roman"/>
          <w:sz w:val="24"/>
          <w:szCs w:val="24"/>
          <w:lang w:val="en-GB" w:eastAsia="cs-CZ"/>
        </w:rPr>
        <w:t>investment fund) shall be subject to the provisions rel</w:t>
      </w:r>
      <w:r w:rsidRPr="00FA1502" w:rsidR="00B97236">
        <w:rPr>
          <w:rFonts w:ascii="Times New Roman" w:eastAsia="Times New Roman" w:hAnsi="Times New Roman" w:cs="Times New Roman"/>
          <w:sz w:val="24"/>
          <w:szCs w:val="24"/>
          <w:lang w:val="en-GB" w:eastAsia="cs-CZ"/>
        </w:rPr>
        <w:t>ating to the limited partner’s</w:t>
      </w:r>
      <w:r w:rsidRPr="00FA1502">
        <w:rPr>
          <w:rFonts w:ascii="Times New Roman" w:eastAsia="Times New Roman" w:hAnsi="Times New Roman" w:cs="Times New Roman"/>
          <w:sz w:val="24"/>
          <w:szCs w:val="24"/>
          <w:lang w:val="en-GB" w:eastAsia="cs-CZ"/>
        </w:rPr>
        <w:t xml:space="preserve"> share. This is because, without explicit modification, it would not be clear whether the investment certificate is subject to the provi</w:t>
      </w:r>
      <w:r w:rsidRPr="00FA1502" w:rsidR="00B97236">
        <w:rPr>
          <w:rFonts w:ascii="Times New Roman" w:eastAsia="Times New Roman" w:hAnsi="Times New Roman" w:cs="Times New Roman"/>
          <w:sz w:val="24"/>
          <w:szCs w:val="24"/>
          <w:lang w:val="en-GB" w:eastAsia="cs-CZ"/>
        </w:rPr>
        <w:t>sions of the limited partners</w:t>
      </w:r>
      <w:r w:rsidRPr="00FA1502">
        <w:rPr>
          <w:rFonts w:ascii="Times New Roman" w:eastAsia="Times New Roman" w:hAnsi="Times New Roman" w:cs="Times New Roman"/>
          <w:sz w:val="24"/>
          <w:szCs w:val="24"/>
          <w:lang w:val="en-GB" w:eastAsia="cs-CZ"/>
        </w:rPr>
        <w:t xml:space="preserve"> or the general partner.</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w:t>
      </w:r>
      <w:r w:rsidRPr="00FA1502" w:rsidR="00B97236">
        <w:rPr>
          <w:rFonts w:ascii="Times New Roman" w:eastAsia="Times New Roman" w:hAnsi="Times New Roman" w:cs="Times New Roman"/>
          <w:b/>
          <w:bCs/>
          <w:sz w:val="24"/>
          <w:szCs w:val="24"/>
          <w:u w:val="single"/>
          <w:lang w:val="en-GB" w:eastAsia="cs-CZ"/>
        </w:rPr>
        <w:t>point 18 [Section 38g (6)]</w:t>
      </w:r>
      <w:r w:rsidRPr="00FA1502">
        <w:rPr>
          <w:rFonts w:ascii="Times New Roman" w:eastAsia="Times New Roman" w:hAnsi="Times New Roman" w:cs="Times New Roman"/>
          <w:b/>
          <w:bCs/>
          <w:sz w:val="24"/>
          <w:szCs w:val="24"/>
          <w:u w:val="single"/>
          <w:lang w:val="en-GB" w:eastAsia="cs-CZ"/>
        </w:rPr>
        <w:t>: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With regard to the change in the legislat</w:t>
      </w:r>
      <w:r w:rsidRPr="00FA1502" w:rsidR="00B97236">
        <w:rPr>
          <w:rFonts w:ascii="Times New Roman" w:eastAsia="Times New Roman" w:hAnsi="Times New Roman" w:cs="Times New Roman"/>
          <w:sz w:val="24"/>
          <w:szCs w:val="24"/>
          <w:lang w:val="en-GB" w:eastAsia="cs-CZ"/>
        </w:rPr>
        <w:t>ive grasp of support for retirement</w:t>
      </w:r>
      <w:r w:rsidRPr="00FA1502">
        <w:rPr>
          <w:rFonts w:ascii="Times New Roman" w:eastAsia="Times New Roman" w:hAnsi="Times New Roman" w:cs="Times New Roman"/>
          <w:sz w:val="24"/>
          <w:szCs w:val="24"/>
          <w:lang w:val="en-GB" w:eastAsia="cs-CZ"/>
        </w:rPr>
        <w:t xml:space="preserve"> savings, the provision stipulates that taxpayers are obliged to file a tax return in case of breach of the conditions</w:t>
      </w:r>
      <w:r w:rsidRPr="00FA1502" w:rsidR="00B97236">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under which their employer is exempted fr</w:t>
      </w:r>
      <w:r w:rsidRPr="00FA1502" w:rsidR="00B97236">
        <w:rPr>
          <w:rFonts w:ascii="Times New Roman" w:eastAsia="Times New Roman" w:hAnsi="Times New Roman" w:cs="Times New Roman"/>
          <w:sz w:val="24"/>
          <w:szCs w:val="24"/>
          <w:lang w:val="en-GB" w:eastAsia="cs-CZ"/>
        </w:rPr>
        <w:t>om the tax on their retirement</w:t>
      </w:r>
      <w:r w:rsidRPr="00FA1502">
        <w:rPr>
          <w:rFonts w:ascii="Times New Roman" w:eastAsia="Times New Roman" w:hAnsi="Times New Roman" w:cs="Times New Roman"/>
          <w:sz w:val="24"/>
          <w:szCs w:val="24"/>
          <w:lang w:val="en-GB" w:eastAsia="cs-CZ"/>
        </w:rPr>
        <w:t xml:space="preserve"> savings product. The obligation to deliver such contributions at the moment when the conditions of tax support for such a product are violated is no longer only imposed on private life insurance, as was the case under the existi</w:t>
      </w:r>
      <w:r w:rsidRPr="00FA1502" w:rsidR="00B97236">
        <w:rPr>
          <w:rFonts w:ascii="Times New Roman" w:eastAsia="Times New Roman" w:hAnsi="Times New Roman" w:cs="Times New Roman"/>
          <w:sz w:val="24"/>
          <w:szCs w:val="24"/>
          <w:lang w:val="en-GB" w:eastAsia="cs-CZ"/>
        </w:rPr>
        <w:t>ng legislation [see the current wording of the Section 6 (9)</w:t>
      </w:r>
      <w:r w:rsidRPr="00FA1502">
        <w:rPr>
          <w:rFonts w:ascii="Times New Roman" w:eastAsia="Times New Roman" w:hAnsi="Times New Roman" w:cs="Times New Roman"/>
          <w:sz w:val="24"/>
          <w:szCs w:val="24"/>
          <w:lang w:val="en-GB" w:eastAsia="cs-CZ"/>
        </w:rPr>
        <w:t xml:space="preserve"> </w:t>
      </w:r>
      <w:r w:rsidRPr="00FA1502" w:rsidR="00B97236">
        <w:rPr>
          <w:rFonts w:ascii="Times New Roman" w:eastAsia="Times New Roman" w:hAnsi="Times New Roman" w:cs="Times New Roman"/>
          <w:sz w:val="24"/>
          <w:szCs w:val="24"/>
          <w:lang w:val="en-GB" w:eastAsia="cs-CZ"/>
        </w:rPr>
        <w:t>(p) point 3 of the ZDP]</w:t>
      </w:r>
      <w:r w:rsidRPr="00FA1502">
        <w:rPr>
          <w:rFonts w:ascii="Times New Roman" w:eastAsia="Times New Roman" w:hAnsi="Times New Roman" w:cs="Times New Roman"/>
          <w:sz w:val="24"/>
          <w:szCs w:val="24"/>
          <w:lang w:val="en-GB" w:eastAsia="cs-CZ"/>
        </w:rPr>
        <w:t>, but is generally laid do</w:t>
      </w:r>
      <w:r w:rsidRPr="00FA1502" w:rsidR="00B97236">
        <w:rPr>
          <w:rFonts w:ascii="Times New Roman" w:eastAsia="Times New Roman" w:hAnsi="Times New Roman" w:cs="Times New Roman"/>
          <w:sz w:val="24"/>
          <w:szCs w:val="24"/>
          <w:lang w:val="en-GB" w:eastAsia="cs-CZ"/>
        </w:rPr>
        <w:t>wn for all tax-supported retirement</w:t>
      </w:r>
      <w:r w:rsidRPr="00FA1502">
        <w:rPr>
          <w:rFonts w:ascii="Times New Roman" w:eastAsia="Times New Roman" w:hAnsi="Times New Roman" w:cs="Times New Roman"/>
          <w:sz w:val="24"/>
          <w:szCs w:val="24"/>
          <w:lang w:val="en-GB" w:eastAsia="cs-CZ"/>
        </w:rPr>
        <w:t xml:space="preserve"> savings </w:t>
      </w:r>
      <w:r w:rsidRPr="00FA1502" w:rsidR="00B97236">
        <w:rPr>
          <w:rFonts w:ascii="Times New Roman" w:eastAsia="Times New Roman" w:hAnsi="Times New Roman" w:cs="Times New Roman"/>
          <w:sz w:val="24"/>
          <w:szCs w:val="24"/>
          <w:lang w:val="en-GB" w:eastAsia="cs-CZ"/>
        </w:rPr>
        <w:t>products in the newly proposed Section 15b (5) (c)</w:t>
      </w:r>
      <w:r w:rsidRPr="00FA1502">
        <w:rPr>
          <w:rFonts w:ascii="Times New Roman" w:eastAsia="Times New Roman" w:hAnsi="Times New Roman" w:cs="Times New Roman"/>
          <w:sz w:val="24"/>
          <w:szCs w:val="24"/>
          <w:lang w:val="en-GB" w:eastAsia="cs-CZ"/>
        </w:rPr>
        <w:t xml:space="preserve"> </w:t>
      </w:r>
      <w:r w:rsidRPr="00FA1502" w:rsidR="00B97236">
        <w:rPr>
          <w:rFonts w:ascii="Times New Roman" w:eastAsia="Times New Roman" w:hAnsi="Times New Roman" w:cs="Times New Roman"/>
          <w:sz w:val="24"/>
          <w:szCs w:val="24"/>
          <w:lang w:val="en-GB" w:eastAsia="cs-CZ"/>
        </w:rPr>
        <w:t>of the ZDP</w:t>
      </w:r>
      <w:r w:rsidRPr="00FA1502">
        <w:rPr>
          <w:rFonts w:ascii="Times New Roman" w:eastAsia="Times New Roman" w:hAnsi="Times New Roman" w:cs="Times New Roman"/>
          <w:sz w:val="24"/>
          <w:szCs w:val="24"/>
          <w:lang w:val="en-GB" w:eastAsia="cs-CZ"/>
        </w:rPr>
        <w:t>. Therefore, if the taxpayer receives income from depende</w:t>
      </w:r>
      <w:r w:rsidRPr="00FA1502" w:rsidR="00B97236">
        <w:rPr>
          <w:rFonts w:ascii="Times New Roman" w:eastAsia="Times New Roman" w:hAnsi="Times New Roman" w:cs="Times New Roman"/>
          <w:sz w:val="24"/>
          <w:szCs w:val="24"/>
          <w:lang w:val="en-GB" w:eastAsia="cs-CZ"/>
        </w:rPr>
        <w:t>nt activity pursuant to the aforementioned</w:t>
      </w:r>
      <w:r w:rsidRPr="00FA1502">
        <w:rPr>
          <w:rFonts w:ascii="Times New Roman" w:eastAsia="Times New Roman" w:hAnsi="Times New Roman" w:cs="Times New Roman"/>
          <w:sz w:val="24"/>
          <w:szCs w:val="24"/>
          <w:lang w:val="en-GB" w:eastAsia="cs-CZ"/>
        </w:rPr>
        <w:t xml:space="preserve"> provision, he is obliged to state this income in the ta</w:t>
      </w:r>
      <w:r w:rsidRPr="00FA1502" w:rsidR="00DB2464">
        <w:rPr>
          <w:rFonts w:ascii="Times New Roman" w:eastAsia="Times New Roman" w:hAnsi="Times New Roman" w:cs="Times New Roman"/>
          <w:sz w:val="24"/>
          <w:szCs w:val="24"/>
          <w:lang w:val="en-GB" w:eastAsia="cs-CZ"/>
        </w:rPr>
        <w:t>x return, because according to Section 15b (5)</w:t>
      </w:r>
      <w:r w:rsidRPr="00FA1502">
        <w:rPr>
          <w:rFonts w:ascii="Times New Roman" w:eastAsia="Times New Roman" w:hAnsi="Times New Roman" w:cs="Times New Roman"/>
          <w:sz w:val="24"/>
          <w:szCs w:val="24"/>
          <w:lang w:val="en-GB" w:eastAsia="cs-CZ"/>
        </w:rPr>
        <w:t xml:space="preserve"> (c) the part of the sentenc</w:t>
      </w:r>
      <w:r w:rsidRPr="00FA1502" w:rsidR="00DB2464">
        <w:rPr>
          <w:rFonts w:ascii="Times New Roman" w:eastAsia="Times New Roman" w:hAnsi="Times New Roman" w:cs="Times New Roman"/>
          <w:sz w:val="24"/>
          <w:szCs w:val="24"/>
          <w:lang w:val="en-GB" w:eastAsia="cs-CZ"/>
        </w:rPr>
        <w:t>e after the semicolon of the ZDP,</w:t>
      </w:r>
      <w:r w:rsidRPr="00FA1502">
        <w:rPr>
          <w:rFonts w:ascii="Times New Roman" w:eastAsia="Times New Roman" w:hAnsi="Times New Roman" w:cs="Times New Roman"/>
          <w:sz w:val="24"/>
          <w:szCs w:val="24"/>
          <w:lang w:val="en-GB" w:eastAsia="cs-CZ"/>
        </w:rPr>
        <w:t xml:space="preserve"> </w:t>
      </w:r>
      <w:r w:rsidRPr="00FA1502" w:rsidR="00DB2464">
        <w:rPr>
          <w:rFonts w:ascii="Times New Roman" w:eastAsia="Times New Roman" w:hAnsi="Times New Roman" w:cs="Times New Roman"/>
          <w:sz w:val="24"/>
          <w:szCs w:val="24"/>
          <w:lang w:val="en-GB" w:eastAsia="cs-CZ"/>
        </w:rPr>
        <w:t>this income is</w:t>
      </w:r>
      <w:r w:rsidRPr="00FA1502">
        <w:rPr>
          <w:rFonts w:ascii="Times New Roman" w:eastAsia="Times New Roman" w:hAnsi="Times New Roman" w:cs="Times New Roman"/>
          <w:sz w:val="24"/>
          <w:szCs w:val="24"/>
          <w:lang w:val="en-GB" w:eastAsia="cs-CZ"/>
        </w:rPr>
        <w:t xml:space="preserve"> not consider</w:t>
      </w:r>
      <w:r w:rsidRPr="00FA1502" w:rsidR="00DB2464">
        <w:rPr>
          <w:rFonts w:ascii="Times New Roman" w:eastAsia="Times New Roman" w:hAnsi="Times New Roman" w:cs="Times New Roman"/>
          <w:sz w:val="24"/>
          <w:szCs w:val="24"/>
          <w:lang w:val="en-GB" w:eastAsia="cs-CZ"/>
        </w:rPr>
        <w:t>ed</w:t>
      </w:r>
      <w:r w:rsidRPr="00FA1502">
        <w:rPr>
          <w:rFonts w:ascii="Times New Roman" w:eastAsia="Times New Roman" w:hAnsi="Times New Roman" w:cs="Times New Roman"/>
          <w:sz w:val="24"/>
          <w:szCs w:val="24"/>
          <w:lang w:val="en-GB" w:eastAsia="cs-CZ"/>
        </w:rPr>
        <w:t xml:space="preserve"> income to be paid by the taxpayer of </w:t>
      </w:r>
      <w:r w:rsidRPr="00FA1502">
        <w:rPr>
          <w:rFonts w:ascii="Times New Roman" w:eastAsia="Times New Roman" w:hAnsi="Times New Roman" w:cs="Times New Roman"/>
          <w:sz w:val="24"/>
          <w:szCs w:val="24"/>
          <w:lang w:val="en-GB" w:eastAsia="cs-CZ"/>
        </w:rPr>
        <w:t>income from emplo</w:t>
      </w:r>
      <w:r w:rsidRPr="00FA1502" w:rsidR="00DB2464">
        <w:rPr>
          <w:rFonts w:ascii="Times New Roman" w:eastAsia="Times New Roman" w:hAnsi="Times New Roman" w:cs="Times New Roman"/>
          <w:sz w:val="24"/>
          <w:szCs w:val="24"/>
          <w:lang w:val="en-GB" w:eastAsia="cs-CZ"/>
        </w:rPr>
        <w:t>yment and thus does not execute the reduction of</w:t>
      </w:r>
      <w:r w:rsidRPr="00FA1502">
        <w:rPr>
          <w:rFonts w:ascii="Times New Roman" w:eastAsia="Times New Roman" w:hAnsi="Times New Roman" w:cs="Times New Roman"/>
          <w:sz w:val="24"/>
          <w:szCs w:val="24"/>
          <w:lang w:val="en-GB" w:eastAsia="cs-CZ"/>
        </w:rPr>
        <w:t xml:space="preserve"> tax on such income.</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19 [Section 38k (5) (</w:t>
      </w:r>
      <w:r w:rsidRPr="00FA1502">
        <w:rPr>
          <w:rFonts w:ascii="Times New Roman" w:eastAsia="Times New Roman" w:hAnsi="Times New Roman" w:cs="Times New Roman"/>
          <w:b/>
          <w:bCs/>
          <w:sz w:val="24"/>
          <w:szCs w:val="24"/>
          <w:u w:val="single"/>
          <w:lang w:val="en-GB" w:eastAsia="cs-CZ"/>
        </w:rPr>
        <w:t xml:space="preserve">f) and </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g)]:</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In connection with the determination of the aggregate lim</w:t>
      </w:r>
      <w:r w:rsidRPr="00FA1502" w:rsidR="00DB2464">
        <w:rPr>
          <w:rFonts w:ascii="Times New Roman" w:eastAsia="Times New Roman" w:hAnsi="Times New Roman" w:cs="Times New Roman"/>
          <w:sz w:val="24"/>
          <w:szCs w:val="24"/>
          <w:lang w:val="en-GB" w:eastAsia="cs-CZ"/>
        </w:rPr>
        <w:t>it in Section 15 (5) of the ZDP it is comes to amendment of the facts</w:t>
      </w:r>
      <w:r w:rsidRPr="00FA1502">
        <w:rPr>
          <w:rFonts w:ascii="Times New Roman" w:eastAsia="Times New Roman" w:hAnsi="Times New Roman" w:cs="Times New Roman"/>
          <w:sz w:val="24"/>
          <w:szCs w:val="24"/>
          <w:lang w:val="en-GB" w:eastAsia="cs-CZ"/>
        </w:rPr>
        <w:t xml:space="preserve">, </w:t>
      </w:r>
      <w:r w:rsidRPr="00FA1502" w:rsidR="00DB2464">
        <w:rPr>
          <w:rFonts w:ascii="Times New Roman" w:eastAsia="Times New Roman" w:hAnsi="Times New Roman" w:cs="Times New Roman"/>
          <w:sz w:val="24"/>
          <w:szCs w:val="24"/>
          <w:lang w:val="en-GB" w:eastAsia="cs-CZ"/>
        </w:rPr>
        <w:t xml:space="preserve">which </w:t>
      </w:r>
      <w:r w:rsidRPr="00FA1502">
        <w:rPr>
          <w:rFonts w:ascii="Times New Roman" w:eastAsia="Times New Roman" w:hAnsi="Times New Roman" w:cs="Times New Roman"/>
          <w:sz w:val="24"/>
          <w:szCs w:val="24"/>
          <w:lang w:val="en-GB" w:eastAsia="cs-CZ"/>
        </w:rPr>
        <w:t xml:space="preserve">the taxpayer shall declare </w:t>
      </w:r>
      <w:r w:rsidRPr="00FA1502" w:rsidR="00F27EAD">
        <w:rPr>
          <w:rFonts w:ascii="Times New Roman" w:eastAsia="Times New Roman" w:hAnsi="Times New Roman" w:cs="Times New Roman"/>
          <w:sz w:val="24"/>
          <w:szCs w:val="24"/>
          <w:lang w:val="en-GB" w:eastAsia="cs-CZ"/>
        </w:rPr>
        <w:t>by</w:t>
      </w:r>
      <w:r w:rsidRPr="00FA1502">
        <w:rPr>
          <w:rFonts w:ascii="Times New Roman" w:eastAsia="Times New Roman" w:hAnsi="Times New Roman" w:cs="Times New Roman"/>
          <w:sz w:val="24"/>
          <w:szCs w:val="24"/>
          <w:lang w:val="en-GB" w:eastAsia="cs-CZ"/>
        </w:rPr>
        <w:t xml:space="preserve"> the taxpayer. Newly, the t</w:t>
      </w:r>
      <w:r w:rsidRPr="00FA1502" w:rsidR="00F27EAD">
        <w:rPr>
          <w:rFonts w:ascii="Times New Roman" w:eastAsia="Times New Roman" w:hAnsi="Times New Roman" w:cs="Times New Roman"/>
          <w:sz w:val="24"/>
          <w:szCs w:val="24"/>
          <w:lang w:val="en-GB" w:eastAsia="cs-CZ"/>
        </w:rPr>
        <w:t>axpayer will make a statement by</w:t>
      </w:r>
      <w:r w:rsidRPr="00FA1502">
        <w:rPr>
          <w:rFonts w:ascii="Times New Roman" w:eastAsia="Times New Roman" w:hAnsi="Times New Roman" w:cs="Times New Roman"/>
          <w:sz w:val="24"/>
          <w:szCs w:val="24"/>
          <w:lang w:val="en-GB" w:eastAsia="cs-CZ"/>
        </w:rPr>
        <w:t xml:space="preserve"> the taxpayer</w:t>
      </w:r>
      <w:r w:rsidRPr="00FA1502" w:rsidR="00F27EAD">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stating the amount of contributions he wishes to deduct from the tax base pursu</w:t>
      </w:r>
      <w:r w:rsidRPr="00FA1502" w:rsidR="00F27EAD">
        <w:rPr>
          <w:rFonts w:ascii="Times New Roman" w:eastAsia="Times New Roman" w:hAnsi="Times New Roman" w:cs="Times New Roman"/>
          <w:sz w:val="24"/>
          <w:szCs w:val="24"/>
          <w:lang w:val="en-GB" w:eastAsia="cs-CZ"/>
        </w:rPr>
        <w:t>ant to Section 15 (5) of the ZDP</w:t>
      </w:r>
      <w:r w:rsidRPr="00FA1502">
        <w:rPr>
          <w:rFonts w:ascii="Times New Roman" w:eastAsia="Times New Roman" w:hAnsi="Times New Roman" w:cs="Times New Roman"/>
          <w:sz w:val="24"/>
          <w:szCs w:val="24"/>
          <w:lang w:val="en-GB" w:eastAsia="cs-CZ"/>
        </w:rPr>
        <w:t xml:space="preserve"> in respect of the calculation of the tax and the annual settlement of the advances made by the taxpayer. The </w:t>
      </w:r>
      <w:r w:rsidRPr="00FA1502" w:rsidR="00ED711B">
        <w:rPr>
          <w:rFonts w:ascii="Times New Roman" w:eastAsia="Times New Roman" w:hAnsi="Times New Roman" w:cs="Times New Roman"/>
          <w:sz w:val="24"/>
          <w:szCs w:val="24"/>
          <w:lang w:val="en-GB" w:eastAsia="cs-CZ"/>
        </w:rPr>
        <w:t>amendment</w:t>
      </w:r>
      <w:r w:rsidRPr="00FA1502">
        <w:rPr>
          <w:rFonts w:ascii="Times New Roman" w:eastAsia="Times New Roman" w:hAnsi="Times New Roman" w:cs="Times New Roman"/>
          <w:sz w:val="24"/>
          <w:szCs w:val="24"/>
          <w:lang w:val="en-GB" w:eastAsia="cs-CZ"/>
        </w:rPr>
        <w:t xml:space="preserve"> is designed </w:t>
      </w:r>
      <w:r w:rsidRPr="00FA1502" w:rsidR="00ED711B">
        <w:rPr>
          <w:rFonts w:ascii="Times New Roman" w:eastAsia="Times New Roman" w:hAnsi="Times New Roman" w:cs="Times New Roman"/>
          <w:sz w:val="24"/>
          <w:szCs w:val="24"/>
          <w:lang w:val="en-GB" w:eastAsia="cs-CZ"/>
        </w:rPr>
        <w:t xml:space="preserve">so that it is </w:t>
      </w:r>
      <w:r w:rsidRPr="00FA1502">
        <w:rPr>
          <w:rFonts w:ascii="Times New Roman" w:eastAsia="Times New Roman" w:hAnsi="Times New Roman" w:cs="Times New Roman"/>
          <w:sz w:val="24"/>
          <w:szCs w:val="24"/>
          <w:lang w:val="en-GB" w:eastAsia="cs-CZ"/>
        </w:rPr>
        <w:t>clear</w:t>
      </w:r>
      <w:r w:rsidRPr="00FA1502" w:rsidR="00F27EAD">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when the tax refund is subsequently made</w:t>
      </w:r>
      <w:r w:rsidRPr="00FA1502" w:rsidR="00F27EAD">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t>
      </w:r>
      <w:r w:rsidRPr="00FA1502" w:rsidR="00ED711B">
        <w:rPr>
          <w:rFonts w:ascii="Times New Roman" w:eastAsia="Times New Roman" w:hAnsi="Times New Roman" w:cs="Times New Roman"/>
          <w:sz w:val="24"/>
          <w:szCs w:val="24"/>
          <w:lang w:val="en-GB" w:eastAsia="cs-CZ"/>
        </w:rPr>
        <w:t>which</w:t>
      </w:r>
      <w:r w:rsidRPr="00FA1502">
        <w:rPr>
          <w:rFonts w:ascii="Times New Roman" w:eastAsia="Times New Roman" w:hAnsi="Times New Roman" w:cs="Times New Roman"/>
          <w:sz w:val="24"/>
          <w:szCs w:val="24"/>
          <w:lang w:val="en-GB" w:eastAsia="cs-CZ"/>
        </w:rPr>
        <w:t xml:space="preserve"> amount of contributions deducted from the taxable amount by the taxpayer</w:t>
      </w:r>
      <w:r w:rsidRPr="00FA1502" w:rsidR="00F27EAD">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is to be </w:t>
      </w:r>
      <w:r w:rsidRPr="00FA1502" w:rsidR="00ED711B">
        <w:rPr>
          <w:rFonts w:ascii="Times New Roman" w:eastAsia="Times New Roman" w:hAnsi="Times New Roman" w:cs="Times New Roman"/>
          <w:sz w:val="24"/>
          <w:szCs w:val="24"/>
          <w:lang w:val="en-GB" w:eastAsia="cs-CZ"/>
        </w:rPr>
        <w:t>taxed</w:t>
      </w:r>
      <w:r w:rsidRPr="00FA1502">
        <w:rPr>
          <w:rFonts w:ascii="Times New Roman" w:eastAsia="Times New Roman" w:hAnsi="Times New Roman" w:cs="Times New Roman"/>
          <w:sz w:val="24"/>
          <w:szCs w:val="24"/>
          <w:lang w:val="en-GB" w:eastAsia="cs-CZ"/>
        </w:rPr>
        <w:t xml:space="preserve"> in connection with the refu</w:t>
      </w:r>
      <w:r w:rsidRPr="00FA1502" w:rsidR="00F27EAD">
        <w:rPr>
          <w:rFonts w:ascii="Times New Roman" w:eastAsia="Times New Roman" w:hAnsi="Times New Roman" w:cs="Times New Roman"/>
          <w:sz w:val="24"/>
          <w:szCs w:val="24"/>
          <w:lang w:val="en-GB" w:eastAsia="cs-CZ"/>
        </w:rPr>
        <w:t>nd of the tax refund</w:t>
      </w:r>
      <w:r w:rsidRPr="00FA1502" w:rsidR="00ED711B">
        <w:rPr>
          <w:rFonts w:ascii="Times New Roman" w:eastAsia="Times New Roman" w:hAnsi="Times New Roman" w:cs="Times New Roman"/>
          <w:sz w:val="24"/>
          <w:szCs w:val="24"/>
          <w:lang w:val="en-GB" w:eastAsia="cs-CZ"/>
        </w:rPr>
        <w:t xml:space="preserve"> for each product</w:t>
      </w:r>
      <w:r w:rsidRPr="00FA1502">
        <w:rPr>
          <w:rFonts w:ascii="Times New Roman" w:eastAsia="Times New Roman" w:hAnsi="Times New Roman" w:cs="Times New Roman"/>
          <w:sz w:val="24"/>
          <w:szCs w:val="24"/>
          <w:lang w:val="en-GB" w:eastAsia="cs-CZ"/>
        </w:rPr>
        <w:t>.</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20 [Section 38k (5</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 (h)</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Following the extension of the scope of </w:t>
      </w:r>
      <w:r w:rsidRPr="00FA1502" w:rsidR="00DE6CF1">
        <w:rPr>
          <w:rFonts w:ascii="Times New Roman" w:eastAsia="Times New Roman" w:hAnsi="Times New Roman" w:cs="Times New Roman"/>
          <w:sz w:val="24"/>
          <w:szCs w:val="24"/>
          <w:lang w:val="en-GB" w:eastAsia="cs-CZ"/>
        </w:rPr>
        <w:t>the amounts that can be reduced</w:t>
      </w:r>
      <w:r w:rsidRPr="00FA1502" w:rsidR="00B23C1F">
        <w:rPr>
          <w:rFonts w:ascii="Times New Roman" w:eastAsia="Times New Roman" w:hAnsi="Times New Roman" w:cs="Times New Roman"/>
          <w:sz w:val="24"/>
          <w:szCs w:val="24"/>
          <w:lang w:val="en-GB" w:eastAsia="cs-CZ"/>
        </w:rPr>
        <w:t xml:space="preserve"> from the tax base pursuant to Section 15 (5) of the ZDP by</w:t>
      </w:r>
      <w:r w:rsidRPr="00FA1502">
        <w:rPr>
          <w:rFonts w:ascii="Times New Roman" w:eastAsia="Times New Roman" w:hAnsi="Times New Roman" w:cs="Times New Roman"/>
          <w:sz w:val="24"/>
          <w:szCs w:val="24"/>
          <w:lang w:val="en-GB" w:eastAsia="cs-CZ"/>
        </w:rPr>
        <w:t xml:space="preserve"> contributions to the</w:t>
      </w:r>
      <w:r w:rsidRPr="00FA1502" w:rsidR="00B23C1F">
        <w:rPr>
          <w:rFonts w:ascii="Times New Roman" w:eastAsia="Times New Roman" w:hAnsi="Times New Roman" w:cs="Times New Roman"/>
          <w:sz w:val="24"/>
          <w:szCs w:val="24"/>
          <w:lang w:val="en-GB" w:eastAsia="cs-CZ"/>
        </w:rPr>
        <w:t xml:space="preserve"> individual savings account pursuant to ZPKT or similar account</w:t>
      </w:r>
      <w:r w:rsidRPr="00FA1502">
        <w:rPr>
          <w:rFonts w:ascii="Times New Roman" w:eastAsia="Times New Roman" w:hAnsi="Times New Roman" w:cs="Times New Roman"/>
          <w:sz w:val="24"/>
          <w:szCs w:val="24"/>
          <w:lang w:val="en-GB" w:eastAsia="cs-CZ"/>
        </w:rPr>
        <w:t xml:space="preserve"> in the EU or in a state of forming m European Eco</w:t>
      </w:r>
      <w:r w:rsidRPr="00FA1502" w:rsidR="00B23C1F">
        <w:rPr>
          <w:rFonts w:ascii="Times New Roman" w:eastAsia="Times New Roman" w:hAnsi="Times New Roman" w:cs="Times New Roman"/>
          <w:sz w:val="24"/>
          <w:szCs w:val="24"/>
          <w:lang w:val="en-GB" w:eastAsia="cs-CZ"/>
        </w:rPr>
        <w:t>nomic Area (see definitions of the retirement savings product in Section 15a (</w:t>
      </w:r>
      <w:r w:rsidRPr="00FA1502">
        <w:rPr>
          <w:rFonts w:ascii="Times New Roman" w:eastAsia="Times New Roman" w:hAnsi="Times New Roman" w:cs="Times New Roman"/>
          <w:sz w:val="24"/>
          <w:szCs w:val="24"/>
          <w:lang w:val="en-GB" w:eastAsia="cs-CZ"/>
        </w:rPr>
        <w:t>1</w:t>
      </w:r>
      <w:r w:rsidRPr="00FA1502" w:rsidR="00B23C1F">
        <w:rPr>
          <w:rFonts w:ascii="Times New Roman" w:eastAsia="Times New Roman" w:hAnsi="Times New Roman" w:cs="Times New Roman"/>
          <w:sz w:val="24"/>
          <w:szCs w:val="24"/>
          <w:lang w:val="en-GB" w:eastAsia="cs-CZ"/>
        </w:rPr>
        <w:t>) of the ZDP), it is am</w:t>
      </w:r>
      <w:r w:rsidRPr="00FA1502" w:rsidR="007412F5">
        <w:rPr>
          <w:rFonts w:ascii="Times New Roman" w:eastAsia="Times New Roman" w:hAnsi="Times New Roman" w:cs="Times New Roman"/>
          <w:sz w:val="24"/>
          <w:szCs w:val="24"/>
          <w:lang w:val="en-GB" w:eastAsia="cs-CZ"/>
        </w:rPr>
        <w:t>ended, that</w:t>
      </w:r>
      <w:r w:rsidRPr="00FA1502">
        <w:rPr>
          <w:rFonts w:ascii="Times New Roman" w:eastAsia="Times New Roman" w:hAnsi="Times New Roman" w:cs="Times New Roman"/>
          <w:sz w:val="24"/>
          <w:szCs w:val="24"/>
          <w:lang w:val="en-GB" w:eastAsia="cs-CZ"/>
        </w:rPr>
        <w:t xml:space="preserve"> the</w:t>
      </w:r>
      <w:r w:rsidRPr="00FA1502" w:rsidR="007412F5">
        <w:rPr>
          <w:rFonts w:ascii="Times New Roman" w:eastAsia="Times New Roman" w:hAnsi="Times New Roman" w:cs="Times New Roman"/>
          <w:sz w:val="24"/>
          <w:szCs w:val="24"/>
          <w:lang w:val="en-GB" w:eastAsia="cs-CZ"/>
        </w:rPr>
        <w:t xml:space="preserve"> taxpayer has to</w:t>
      </w:r>
      <w:r w:rsidRPr="00FA1502">
        <w:rPr>
          <w:rFonts w:ascii="Times New Roman" w:eastAsia="Times New Roman" w:hAnsi="Times New Roman" w:cs="Times New Roman"/>
          <w:sz w:val="24"/>
          <w:szCs w:val="24"/>
          <w:lang w:val="en-GB" w:eastAsia="cs-CZ"/>
        </w:rPr>
        <w:t xml:space="preserve"> make a statement</w:t>
      </w:r>
      <w:r w:rsidRPr="00FA1502" w:rsidR="007412F5">
        <w:rPr>
          <w:rFonts w:ascii="Times New Roman" w:eastAsia="Times New Roman" w:hAnsi="Times New Roman" w:cs="Times New Roman"/>
          <w:sz w:val="24"/>
          <w:szCs w:val="24"/>
          <w:lang w:val="en-GB" w:eastAsia="cs-CZ"/>
        </w:rPr>
        <w:t xml:space="preserve"> by a taxpayer about the fact</w:t>
      </w:r>
      <w:r w:rsidRPr="00FA1502">
        <w:rPr>
          <w:rFonts w:ascii="Times New Roman" w:eastAsia="Times New Roman" w:hAnsi="Times New Roman" w:cs="Times New Roman"/>
          <w:sz w:val="24"/>
          <w:szCs w:val="24"/>
          <w:lang w:val="en-GB" w:eastAsia="cs-CZ"/>
        </w:rPr>
        <w:t>, in w</w:t>
      </w:r>
      <w:r w:rsidRPr="00FA1502" w:rsidR="007412F5">
        <w:rPr>
          <w:rFonts w:ascii="Times New Roman" w:eastAsia="Times New Roman" w:hAnsi="Times New Roman" w:cs="Times New Roman"/>
          <w:sz w:val="24"/>
          <w:szCs w:val="24"/>
          <w:lang w:val="en-GB" w:eastAsia="cs-CZ"/>
        </w:rPr>
        <w:t>hat amount he wants to deduct these transferred funds from a tax base within an</w:t>
      </w:r>
      <w:r w:rsidRPr="00FA1502">
        <w:rPr>
          <w:rFonts w:ascii="Times New Roman" w:eastAsia="Times New Roman" w:hAnsi="Times New Roman" w:cs="Times New Roman"/>
          <w:sz w:val="24"/>
          <w:szCs w:val="24"/>
          <w:lang w:val="en-GB" w:eastAsia="cs-CZ"/>
        </w:rPr>
        <w:t xml:space="preserve"> annual</w:t>
      </w:r>
      <w:r w:rsidRPr="00FA1502" w:rsidR="007412F5">
        <w:rPr>
          <w:rFonts w:ascii="Times New Roman" w:eastAsia="Times New Roman" w:hAnsi="Times New Roman" w:cs="Times New Roman"/>
          <w:sz w:val="24"/>
          <w:szCs w:val="24"/>
          <w:lang w:val="en-GB" w:eastAsia="cs-CZ"/>
        </w:rPr>
        <w:t xml:space="preserve"> calculation of a tax and clearing of advance payments</w:t>
      </w:r>
      <w:r w:rsidRPr="00FA1502">
        <w:rPr>
          <w:rFonts w:ascii="Times New Roman" w:eastAsia="Times New Roman" w:hAnsi="Times New Roman" w:cs="Times New Roman"/>
          <w:sz w:val="24"/>
          <w:szCs w:val="24"/>
          <w:lang w:val="en-GB" w:eastAsia="cs-CZ"/>
        </w:rPr>
        <w:t xml:space="preserve"> made by the taxpayer.</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21 [Section 38l (1) (j</w:t>
      </w:r>
      <w:r w:rsidRPr="00FA1502">
        <w:rPr>
          <w:rFonts w:ascii="Times New Roman" w:eastAsia="Times New Roman" w:hAnsi="Times New Roman" w:cs="Times New Roman"/>
          <w:b/>
          <w:bCs/>
          <w:sz w:val="24"/>
          <w:szCs w:val="24"/>
          <w:u w:val="single"/>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Following the extension of the scope of </w:t>
      </w:r>
      <w:r w:rsidRPr="00FA1502" w:rsidR="00DE6CF1">
        <w:rPr>
          <w:rFonts w:ascii="Times New Roman" w:eastAsia="Times New Roman" w:hAnsi="Times New Roman" w:cs="Times New Roman"/>
          <w:sz w:val="24"/>
          <w:szCs w:val="24"/>
          <w:lang w:val="en-GB" w:eastAsia="cs-CZ"/>
        </w:rPr>
        <w:t>the amounts that can be reduced</w:t>
      </w:r>
      <w:r w:rsidRPr="00FA1502">
        <w:rPr>
          <w:rFonts w:ascii="Times New Roman" w:eastAsia="Times New Roman" w:hAnsi="Times New Roman" w:cs="Times New Roman"/>
          <w:sz w:val="24"/>
          <w:szCs w:val="24"/>
          <w:lang w:val="en-GB" w:eastAsia="cs-CZ"/>
        </w:rPr>
        <w:t xml:space="preserve"> from the tax b</w:t>
      </w:r>
      <w:r w:rsidRPr="00FA1502" w:rsidR="007412F5">
        <w:rPr>
          <w:rFonts w:ascii="Times New Roman" w:eastAsia="Times New Roman" w:hAnsi="Times New Roman" w:cs="Times New Roman"/>
          <w:sz w:val="24"/>
          <w:szCs w:val="24"/>
          <w:lang w:val="en-GB" w:eastAsia="cs-CZ"/>
        </w:rPr>
        <w:t>ase pursuant to Section 15 (</w:t>
      </w:r>
      <w:r w:rsidRPr="00FA1502">
        <w:rPr>
          <w:rFonts w:ascii="Times New Roman" w:eastAsia="Times New Roman" w:hAnsi="Times New Roman" w:cs="Times New Roman"/>
          <w:sz w:val="24"/>
          <w:szCs w:val="24"/>
          <w:lang w:val="en-GB" w:eastAsia="cs-CZ"/>
        </w:rPr>
        <w:t>5</w:t>
      </w:r>
      <w:r w:rsidRPr="00FA1502" w:rsidR="007412F5">
        <w:rPr>
          <w:rFonts w:ascii="Times New Roman" w:eastAsia="Times New Roman" w:hAnsi="Times New Roman" w:cs="Times New Roman"/>
          <w:sz w:val="24"/>
          <w:szCs w:val="24"/>
          <w:lang w:val="en-GB" w:eastAsia="cs-CZ"/>
        </w:rPr>
        <w:t>) of the ZDP</w:t>
      </w:r>
      <w:r w:rsidRPr="00FA1502">
        <w:rPr>
          <w:rFonts w:ascii="Times New Roman" w:eastAsia="Times New Roman" w:hAnsi="Times New Roman" w:cs="Times New Roman"/>
          <w:sz w:val="24"/>
          <w:szCs w:val="24"/>
          <w:lang w:val="en-GB" w:eastAsia="cs-CZ"/>
        </w:rPr>
        <w:t xml:space="preserve"> </w:t>
      </w:r>
      <w:r w:rsidRPr="00FA1502" w:rsidR="007412F5">
        <w:rPr>
          <w:rFonts w:ascii="Times New Roman" w:eastAsia="Times New Roman" w:hAnsi="Times New Roman" w:cs="Times New Roman"/>
          <w:sz w:val="24"/>
          <w:szCs w:val="24"/>
          <w:lang w:val="en-GB" w:eastAsia="cs-CZ"/>
        </w:rPr>
        <w:t>by contributions to the individual savings account pursuant to ZPKT or similar account in the EU or in a state of forming m European Economic Area (see definitions of the retirement savings product in Section 15a (1) of the ZDP)</w:t>
      </w:r>
      <w:r w:rsidRPr="00FA1502">
        <w:rPr>
          <w:rFonts w:ascii="Times New Roman" w:eastAsia="Times New Roman" w:hAnsi="Times New Roman" w:cs="Times New Roman"/>
          <w:sz w:val="24"/>
          <w:szCs w:val="24"/>
          <w:lang w:val="en-GB" w:eastAsia="cs-CZ"/>
        </w:rPr>
        <w:t xml:space="preserve">, </w:t>
      </w:r>
      <w:r w:rsidRPr="00FA1502" w:rsidR="00DE6CF1">
        <w:rPr>
          <w:rFonts w:ascii="Times New Roman" w:eastAsia="Times New Roman" w:hAnsi="Times New Roman" w:cs="Times New Roman"/>
          <w:sz w:val="24"/>
          <w:szCs w:val="24"/>
          <w:lang w:val="en-GB" w:eastAsia="cs-CZ"/>
        </w:rPr>
        <w:t xml:space="preserve">it is amended, </w:t>
      </w:r>
      <w:r w:rsidRPr="00FA1502">
        <w:rPr>
          <w:rFonts w:ascii="Times New Roman" w:eastAsia="Times New Roman" w:hAnsi="Times New Roman" w:cs="Times New Roman"/>
          <w:sz w:val="24"/>
          <w:szCs w:val="24"/>
          <w:lang w:val="en-GB" w:eastAsia="cs-CZ"/>
        </w:rPr>
        <w:t xml:space="preserve">how the taxpayer proves the existence </w:t>
      </w:r>
      <w:r w:rsidRPr="00FA1502" w:rsidR="00DE6CF1">
        <w:rPr>
          <w:rFonts w:ascii="Times New Roman" w:eastAsia="Times New Roman" w:hAnsi="Times New Roman" w:cs="Times New Roman"/>
          <w:sz w:val="24"/>
          <w:szCs w:val="24"/>
          <w:lang w:val="en-GB" w:eastAsia="cs-CZ"/>
        </w:rPr>
        <w:t>of the account and the amount transferred to it through contributions to his taxpayer.</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 </w:t>
      </w:r>
    </w:p>
    <w:p w:rsidR="00176359" w:rsidRPr="00FA1502" w:rsidP="00A7116F">
      <w:pPr>
        <w:keepNext/>
        <w:widowControl w:val="0"/>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Re Article III</w:t>
      </w:r>
    </w:p>
    <w:p w:rsidR="00176359" w:rsidRPr="00FA1502" w:rsidP="00A7116F">
      <w:pPr>
        <w:keepNext/>
        <w:widowControl w:val="0"/>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Transitional</w:t>
      </w:r>
      <w:r w:rsidRPr="00FA1502">
        <w:rPr>
          <w:rFonts w:ascii="Times New Roman" w:eastAsia="Times New Roman" w:hAnsi="Times New Roman" w:cs="Times New Roman"/>
          <w:b/>
          <w:bCs/>
          <w:sz w:val="24"/>
          <w:szCs w:val="24"/>
          <w:lang w:val="en-GB" w:eastAsia="cs-CZ"/>
        </w:rPr>
        <w:t xml:space="preserve"> provisions</w:t>
      </w:r>
    </w:p>
    <w:p w:rsidR="00176359" w:rsidRPr="00FA1502" w:rsidP="00A7116F">
      <w:pPr>
        <w:keepNext/>
        <w:widowControl w:val="0"/>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w:t>
      </w:r>
      <w:r w:rsidRPr="00FA1502">
        <w:rPr>
          <w:rFonts w:ascii="Times New Roman" w:eastAsia="Times New Roman" w:hAnsi="Times New Roman" w:cs="Times New Roman"/>
          <w:b/>
          <w:bCs/>
          <w:sz w:val="24"/>
          <w:szCs w:val="24"/>
          <w:u w:val="single"/>
          <w:lang w:val="en-GB" w:eastAsia="cs-CZ"/>
        </w:rPr>
        <w:t xml:space="preserve"> point 1:</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This t</w:t>
      </w:r>
      <w:r w:rsidRPr="00FA1502" w:rsidR="00DE6CF1">
        <w:rPr>
          <w:rFonts w:ascii="Times New Roman" w:eastAsia="Times New Roman" w:hAnsi="Times New Roman" w:cs="Times New Roman"/>
          <w:sz w:val="24"/>
          <w:szCs w:val="24"/>
          <w:lang w:val="en-GB" w:eastAsia="cs-CZ"/>
        </w:rPr>
        <w:t>ransitional provision states,</w:t>
      </w:r>
      <w:r w:rsidRPr="00FA1502">
        <w:rPr>
          <w:rFonts w:ascii="Times New Roman" w:eastAsia="Times New Roman" w:hAnsi="Times New Roman" w:cs="Times New Roman"/>
          <w:sz w:val="24"/>
          <w:szCs w:val="24"/>
          <w:lang w:val="en-GB" w:eastAsia="cs-CZ"/>
        </w:rPr>
        <w:t xml:space="preserve"> that for the application of the tax as well as the rights and obligations arising from the law for the taxation period commenced before this </w:t>
      </w:r>
      <w:r w:rsidRPr="00FA1502" w:rsidR="008644A6">
        <w:rPr>
          <w:rFonts w:ascii="Times New Roman" w:eastAsia="Times New Roman" w:hAnsi="Times New Roman" w:cs="Times New Roman"/>
          <w:sz w:val="24"/>
          <w:szCs w:val="24"/>
          <w:lang w:val="en-GB" w:eastAsia="cs-CZ"/>
        </w:rPr>
        <w:t>a</w:t>
      </w:r>
      <w:r w:rsidRPr="00FA1502">
        <w:rPr>
          <w:rFonts w:ascii="Times New Roman" w:eastAsia="Times New Roman" w:hAnsi="Times New Roman" w:cs="Times New Roman"/>
          <w:sz w:val="24"/>
          <w:szCs w:val="24"/>
          <w:lang w:val="en-GB" w:eastAsia="cs-CZ"/>
        </w:rPr>
        <w:t>ct becomes eff</w:t>
      </w:r>
      <w:r w:rsidRPr="00FA1502" w:rsidR="00DE6CF1">
        <w:rPr>
          <w:rFonts w:ascii="Times New Roman" w:eastAsia="Times New Roman" w:hAnsi="Times New Roman" w:cs="Times New Roman"/>
          <w:sz w:val="24"/>
          <w:szCs w:val="24"/>
          <w:lang w:val="en-GB" w:eastAsia="cs-CZ"/>
        </w:rPr>
        <w:t>ective, the legislation effective</w:t>
      </w:r>
      <w:r w:rsidRPr="00FA1502" w:rsidR="008644A6">
        <w:rPr>
          <w:rFonts w:ascii="Times New Roman" w:eastAsia="Times New Roman" w:hAnsi="Times New Roman" w:cs="Times New Roman"/>
          <w:sz w:val="24"/>
          <w:szCs w:val="24"/>
          <w:lang w:val="en-GB" w:eastAsia="cs-CZ"/>
        </w:rPr>
        <w:t xml:space="preserve"> until the day preceding</w:t>
      </w:r>
      <w:r w:rsidRPr="00FA1502">
        <w:rPr>
          <w:rFonts w:ascii="Times New Roman" w:eastAsia="Times New Roman" w:hAnsi="Times New Roman" w:cs="Times New Roman"/>
          <w:sz w:val="24"/>
          <w:szCs w:val="24"/>
          <w:lang w:val="en-GB" w:eastAsia="cs-CZ"/>
        </w:rPr>
        <w:t xml:space="preserve"> effect</w:t>
      </w:r>
      <w:r w:rsidRPr="00FA1502" w:rsidR="008644A6">
        <w:rPr>
          <w:rFonts w:ascii="Times New Roman" w:eastAsia="Times New Roman" w:hAnsi="Times New Roman" w:cs="Times New Roman"/>
          <w:sz w:val="24"/>
          <w:szCs w:val="24"/>
          <w:lang w:val="en-GB" w:eastAsia="cs-CZ"/>
        </w:rPr>
        <w:t>iveness</w:t>
      </w:r>
      <w:r w:rsidRPr="00FA1502">
        <w:rPr>
          <w:rFonts w:ascii="Times New Roman" w:eastAsia="Times New Roman" w:hAnsi="Times New Roman" w:cs="Times New Roman"/>
          <w:sz w:val="24"/>
          <w:szCs w:val="24"/>
          <w:lang w:val="en-GB" w:eastAsia="cs-CZ"/>
        </w:rPr>
        <w:t xml:space="preserve"> (pre</w:t>
      </w:r>
      <w:r w:rsidRPr="00FA1502" w:rsidR="008644A6">
        <w:rPr>
          <w:rFonts w:ascii="Times New Roman" w:eastAsia="Times New Roman" w:hAnsi="Times New Roman" w:cs="Times New Roman"/>
          <w:sz w:val="24"/>
          <w:szCs w:val="24"/>
          <w:lang w:val="en-GB" w:eastAsia="cs-CZ"/>
        </w:rPr>
        <w:t>vious legislation) shall apply.</w:t>
      </w:r>
    </w:p>
    <w:p w:rsidR="00176359" w:rsidRPr="00FA1502" w:rsidP="00A7116F">
      <w:pPr>
        <w:keepNext/>
        <w:widowControl w:val="0"/>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2:</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purpose of this transitional provision is to ensure that taxpayers who have concluded a supplementary pension </w:t>
      </w:r>
      <w:r w:rsidRPr="00FA1502" w:rsidR="008644A6">
        <w:rPr>
          <w:rFonts w:ascii="Times New Roman" w:eastAsia="Times New Roman" w:hAnsi="Times New Roman" w:cs="Times New Roman"/>
          <w:sz w:val="24"/>
          <w:szCs w:val="24"/>
          <w:lang w:val="en-GB" w:eastAsia="cs-CZ"/>
        </w:rPr>
        <w:t xml:space="preserve">insurance contract </w:t>
      </w:r>
      <w:r w:rsidRPr="00FA1502">
        <w:rPr>
          <w:rFonts w:ascii="Times New Roman" w:eastAsia="Times New Roman" w:hAnsi="Times New Roman" w:cs="Times New Roman"/>
          <w:sz w:val="24"/>
          <w:szCs w:val="24"/>
          <w:lang w:val="en-GB" w:eastAsia="cs-CZ"/>
        </w:rPr>
        <w:t>with a state contribution, supplementary pension savings, pension insurance or private pension insurance before the date of entry into force of th</w:t>
      </w:r>
      <w:r w:rsidRPr="00FA1502" w:rsidR="008644A6">
        <w:rPr>
          <w:rFonts w:ascii="Times New Roman" w:eastAsia="Times New Roman" w:hAnsi="Times New Roman" w:cs="Times New Roman"/>
          <w:sz w:val="24"/>
          <w:szCs w:val="24"/>
          <w:lang w:val="en-GB" w:eastAsia="cs-CZ"/>
        </w:rPr>
        <w:t>is a</w:t>
      </w:r>
      <w:r w:rsidRPr="00FA1502">
        <w:rPr>
          <w:rFonts w:ascii="Times New Roman" w:eastAsia="Times New Roman" w:hAnsi="Times New Roman" w:cs="Times New Roman"/>
          <w:sz w:val="24"/>
          <w:szCs w:val="24"/>
          <w:lang w:val="en-GB" w:eastAsia="cs-CZ"/>
        </w:rPr>
        <w:t>ct can continue to benefit from such a tax regime for these products</w:t>
      </w:r>
      <w:r w:rsidRPr="00FA1502" w:rsidR="008644A6">
        <w:rPr>
          <w:rFonts w:ascii="Times New Roman" w:eastAsia="Times New Roman" w:hAnsi="Times New Roman" w:cs="Times New Roman"/>
          <w:sz w:val="24"/>
          <w:szCs w:val="24"/>
          <w:lang w:val="en-GB" w:eastAsia="cs-CZ"/>
        </w:rPr>
        <w:t xml:space="preserve"> which was</w:t>
      </w:r>
      <w:r w:rsidRPr="00FA1502">
        <w:rPr>
          <w:rFonts w:ascii="Times New Roman" w:eastAsia="Times New Roman" w:hAnsi="Times New Roman" w:cs="Times New Roman"/>
          <w:sz w:val="24"/>
          <w:szCs w:val="24"/>
          <w:lang w:val="en-GB" w:eastAsia="cs-CZ"/>
        </w:rPr>
        <w:t xml:space="preserve"> effective at the time of conclusion of the contract, including payments on these products. There is thus no false retroactivity whereby the tax treatment of these products would change during the existence of those products and the legitimate expectations of taxpayers are respected.</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3:</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Pursuant to the proposed transitional provision, the maximu</w:t>
      </w:r>
      <w:r w:rsidRPr="00FA1502" w:rsidR="00402031">
        <w:rPr>
          <w:rFonts w:ascii="Times New Roman" w:eastAsia="Times New Roman" w:hAnsi="Times New Roman" w:cs="Times New Roman"/>
          <w:sz w:val="24"/>
          <w:szCs w:val="24"/>
          <w:lang w:val="en-GB" w:eastAsia="cs-CZ"/>
        </w:rPr>
        <w:t>m overall limit of the employer’</w:t>
      </w:r>
      <w:r w:rsidRPr="00FA1502">
        <w:rPr>
          <w:rFonts w:ascii="Times New Roman" w:eastAsia="Times New Roman" w:hAnsi="Times New Roman" w:cs="Times New Roman"/>
          <w:sz w:val="24"/>
          <w:szCs w:val="24"/>
          <w:lang w:val="en-GB" w:eastAsia="cs-CZ"/>
        </w:rPr>
        <w:t>s contri</w:t>
      </w:r>
      <w:r w:rsidRPr="00FA1502" w:rsidR="00402031">
        <w:rPr>
          <w:rFonts w:ascii="Times New Roman" w:eastAsia="Times New Roman" w:hAnsi="Times New Roman" w:cs="Times New Roman"/>
          <w:sz w:val="24"/>
          <w:szCs w:val="24"/>
          <w:lang w:val="en-GB" w:eastAsia="cs-CZ"/>
        </w:rPr>
        <w:t>butions to tax-supported retirement</w:t>
      </w:r>
      <w:r w:rsidRPr="00FA1502">
        <w:rPr>
          <w:rFonts w:ascii="Times New Roman" w:eastAsia="Times New Roman" w:hAnsi="Times New Roman" w:cs="Times New Roman"/>
          <w:sz w:val="24"/>
          <w:szCs w:val="24"/>
          <w:lang w:val="en-GB" w:eastAsia="cs-CZ"/>
        </w:rPr>
        <w:t xml:space="preserve"> products that are exempt from income tax pursuant to </w:t>
      </w:r>
      <w:r w:rsidRPr="00FA1502">
        <w:rPr>
          <w:rFonts w:ascii="Times New Roman" w:eastAsia="Times New Roman" w:hAnsi="Times New Roman" w:cs="Times New Roman"/>
          <w:sz w:val="24"/>
          <w:szCs w:val="24"/>
          <w:lang w:val="en-GB" w:eastAsia="cs-CZ"/>
        </w:rPr>
        <w:t>Section 6 (9) (</w:t>
      </w:r>
      <w:r w:rsidRPr="00FA1502" w:rsidR="00402031">
        <w:rPr>
          <w:rFonts w:ascii="Times New Roman" w:eastAsia="Times New Roman" w:hAnsi="Times New Roman" w:cs="Times New Roman"/>
          <w:sz w:val="24"/>
          <w:szCs w:val="24"/>
          <w:lang w:val="en-GB" w:eastAsia="cs-CZ"/>
        </w:rPr>
        <w:t>p</w:t>
      </w:r>
      <w:r w:rsidRPr="00FA1502">
        <w:rPr>
          <w:rFonts w:ascii="Times New Roman" w:eastAsia="Times New Roman" w:hAnsi="Times New Roman" w:cs="Times New Roman"/>
          <w:sz w:val="24"/>
          <w:szCs w:val="24"/>
          <w:lang w:val="en-GB" w:eastAsia="cs-CZ"/>
        </w:rPr>
        <w:t xml:space="preserve">) of </w:t>
      </w:r>
      <w:r w:rsidRPr="00FA1502" w:rsidR="00402031">
        <w:rPr>
          <w:rFonts w:ascii="Times New Roman" w:eastAsia="Times New Roman" w:hAnsi="Times New Roman" w:cs="Times New Roman"/>
          <w:sz w:val="24"/>
          <w:szCs w:val="24"/>
          <w:lang w:val="en-GB" w:eastAsia="cs-CZ"/>
        </w:rPr>
        <w:t>ZPD</w:t>
      </w:r>
      <w:r w:rsidRPr="00FA1502">
        <w:rPr>
          <w:rFonts w:ascii="Times New Roman" w:eastAsia="Times New Roman" w:hAnsi="Times New Roman" w:cs="Times New Roman"/>
          <w:sz w:val="24"/>
          <w:szCs w:val="24"/>
          <w:lang w:val="en-GB" w:eastAsia="cs-CZ"/>
        </w:rPr>
        <w:t xml:space="preserve">, in the wording effective from the effective date of this </w:t>
      </w:r>
      <w:r w:rsidRPr="00FA1502" w:rsidR="00402031">
        <w:rPr>
          <w:rFonts w:ascii="Times New Roman" w:eastAsia="Times New Roman" w:hAnsi="Times New Roman" w:cs="Times New Roman"/>
          <w:sz w:val="24"/>
          <w:szCs w:val="24"/>
          <w:lang w:val="en-GB" w:eastAsia="cs-CZ"/>
        </w:rPr>
        <w:t>a</w:t>
      </w:r>
      <w:r w:rsidRPr="00FA1502">
        <w:rPr>
          <w:rFonts w:ascii="Times New Roman" w:eastAsia="Times New Roman" w:hAnsi="Times New Roman" w:cs="Times New Roman"/>
          <w:sz w:val="24"/>
          <w:szCs w:val="24"/>
          <w:lang w:val="en-GB" w:eastAsia="cs-CZ"/>
        </w:rPr>
        <w:t>ct, i</w:t>
      </w:r>
      <w:r w:rsidRPr="00FA1502" w:rsidR="00402031">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402031">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the amount of </w:t>
      </w:r>
      <w:r w:rsidRPr="00FA1502" w:rsidR="00402031">
        <w:rPr>
          <w:rFonts w:ascii="Times New Roman" w:eastAsia="Times New Roman" w:hAnsi="Times New Roman" w:cs="Times New Roman"/>
          <w:sz w:val="24"/>
          <w:szCs w:val="24"/>
          <w:lang w:val="en-GB" w:eastAsia="cs-CZ"/>
        </w:rPr>
        <w:t>CZK 50,000, r</w:t>
      </w:r>
      <w:r w:rsidRPr="00FA1502">
        <w:rPr>
          <w:rFonts w:ascii="Times New Roman" w:eastAsia="Times New Roman" w:hAnsi="Times New Roman" w:cs="Times New Roman"/>
          <w:sz w:val="24"/>
          <w:szCs w:val="24"/>
          <w:lang w:val="en-GB" w:eastAsia="cs-CZ"/>
        </w:rPr>
        <w:t>ed</w:t>
      </w:r>
      <w:r w:rsidRPr="00FA1502" w:rsidR="00402031">
        <w:rPr>
          <w:rFonts w:ascii="Times New Roman" w:eastAsia="Times New Roman" w:hAnsi="Times New Roman" w:cs="Times New Roman"/>
          <w:sz w:val="24"/>
          <w:szCs w:val="24"/>
          <w:lang w:val="en-GB" w:eastAsia="cs-CZ"/>
        </w:rPr>
        <w:t>uces the amount of the employer’</w:t>
      </w:r>
      <w:r w:rsidRPr="00FA1502">
        <w:rPr>
          <w:rFonts w:ascii="Times New Roman" w:eastAsia="Times New Roman" w:hAnsi="Times New Roman" w:cs="Times New Roman"/>
          <w:sz w:val="24"/>
          <w:szCs w:val="24"/>
          <w:lang w:val="en-GB" w:eastAsia="cs-CZ"/>
        </w:rPr>
        <w:t>s contributions exempted pursuant to the above provision in the wording effective bef</w:t>
      </w:r>
      <w:r w:rsidRPr="00FA1502" w:rsidR="00402031">
        <w:rPr>
          <w:rFonts w:ascii="Times New Roman" w:eastAsia="Times New Roman" w:hAnsi="Times New Roman" w:cs="Times New Roman"/>
          <w:sz w:val="24"/>
          <w:szCs w:val="24"/>
          <w:lang w:val="en-GB" w:eastAsia="cs-CZ"/>
        </w:rPr>
        <w:t>ore the effective date of this a</w:t>
      </w:r>
      <w:r w:rsidRPr="00FA1502">
        <w:rPr>
          <w:rFonts w:ascii="Times New Roman" w:eastAsia="Times New Roman" w:hAnsi="Times New Roman" w:cs="Times New Roman"/>
          <w:sz w:val="24"/>
          <w:szCs w:val="24"/>
          <w:lang w:val="en-GB" w:eastAsia="cs-CZ"/>
        </w:rPr>
        <w:t>ct, i</w:t>
      </w:r>
      <w:r w:rsidRPr="00FA1502" w:rsidR="00402031">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402031">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the amount of the exempted contributions of the employer to supplementary pension insurance with state contribution, supplementary pension savings, pension insurance and private life insurance</w:t>
      </w:r>
      <w:r w:rsidRPr="00FA1502" w:rsidR="00402031">
        <w:rPr>
          <w:rFonts w:ascii="Times New Roman" w:eastAsia="Times New Roman" w:hAnsi="Times New Roman" w:cs="Times New Roman"/>
          <w:sz w:val="24"/>
          <w:szCs w:val="24"/>
          <w:lang w:val="en-GB" w:eastAsia="cs-CZ"/>
        </w:rPr>
        <w:t xml:space="preserve"> arisen before effectiveness o</w:t>
      </w:r>
      <w:r w:rsidRPr="00FA1502">
        <w:rPr>
          <w:rFonts w:ascii="Times New Roman" w:eastAsia="Times New Roman" w:hAnsi="Times New Roman" w:cs="Times New Roman"/>
          <w:sz w:val="24"/>
          <w:szCs w:val="24"/>
          <w:lang w:val="en-GB" w:eastAsia="cs-CZ"/>
        </w:rPr>
        <w:t>f th</w:t>
      </w:r>
      <w:r w:rsidRPr="00FA1502" w:rsidR="00402031">
        <w:rPr>
          <w:rFonts w:ascii="Times New Roman" w:eastAsia="Times New Roman" w:hAnsi="Times New Roman" w:cs="Times New Roman"/>
          <w:sz w:val="24"/>
          <w:szCs w:val="24"/>
          <w:lang w:val="en-GB" w:eastAsia="cs-CZ"/>
        </w:rPr>
        <w:t>is a</w:t>
      </w:r>
      <w:r w:rsidRPr="00FA1502">
        <w:rPr>
          <w:rFonts w:ascii="Times New Roman" w:eastAsia="Times New Roman" w:hAnsi="Times New Roman" w:cs="Times New Roman"/>
          <w:sz w:val="24"/>
          <w:szCs w:val="24"/>
          <w:lang w:val="en-GB" w:eastAsia="cs-CZ"/>
        </w:rPr>
        <w:t>ct; the present legislation will apply to these contributions as a result of the transitional provision referred to in point 2. This construction ensures that the taxpayer will always be exempted from the employer</w:t>
      </w:r>
      <w:r w:rsidRPr="00FA1502" w:rsidR="0055159E">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s contributions to </w:t>
      </w:r>
      <w:r w:rsidRPr="00FA1502" w:rsidR="0055159E">
        <w:rPr>
          <w:rFonts w:ascii="Times New Roman" w:eastAsia="Times New Roman" w:hAnsi="Times New Roman" w:cs="Times New Roman"/>
          <w:sz w:val="24"/>
          <w:szCs w:val="24"/>
          <w:lang w:val="en-GB" w:eastAsia="cs-CZ"/>
        </w:rPr>
        <w:t>retirement</w:t>
      </w:r>
      <w:r w:rsidRPr="00FA1502">
        <w:rPr>
          <w:rFonts w:ascii="Times New Roman" w:eastAsia="Times New Roman" w:hAnsi="Times New Roman" w:cs="Times New Roman"/>
          <w:sz w:val="24"/>
          <w:szCs w:val="24"/>
          <w:lang w:val="en-GB" w:eastAsia="cs-CZ"/>
        </w:rPr>
        <w:t xml:space="preserve"> savings products in the max</w:t>
      </w:r>
      <w:r w:rsidRPr="00FA1502" w:rsidR="004524F4">
        <w:rPr>
          <w:rFonts w:ascii="Times New Roman" w:eastAsia="Times New Roman" w:hAnsi="Times New Roman" w:cs="Times New Roman"/>
          <w:sz w:val="24"/>
          <w:szCs w:val="24"/>
          <w:lang w:val="en-GB" w:eastAsia="cs-CZ"/>
        </w:rPr>
        <w:t xml:space="preserve">imum amount of </w:t>
      </w:r>
      <w:r w:rsidRPr="00FA1502" w:rsidR="0055159E">
        <w:rPr>
          <w:rFonts w:ascii="Times New Roman" w:eastAsia="Times New Roman" w:hAnsi="Times New Roman" w:cs="Times New Roman"/>
          <w:sz w:val="24"/>
          <w:szCs w:val="24"/>
          <w:lang w:val="en-GB" w:eastAsia="cs-CZ"/>
        </w:rPr>
        <w:t xml:space="preserve">CZK </w:t>
      </w:r>
      <w:r w:rsidRPr="00FA1502" w:rsidR="004524F4">
        <w:rPr>
          <w:rFonts w:ascii="Times New Roman" w:eastAsia="Times New Roman" w:hAnsi="Times New Roman" w:cs="Times New Roman"/>
          <w:sz w:val="24"/>
          <w:szCs w:val="24"/>
          <w:lang w:val="en-GB" w:eastAsia="cs-CZ"/>
        </w:rPr>
        <w:t>50</w:t>
      </w:r>
      <w:r w:rsidRPr="00FA1502" w:rsidR="0055159E">
        <w:rPr>
          <w:rFonts w:ascii="Times New Roman" w:eastAsia="Times New Roman" w:hAnsi="Times New Roman" w:cs="Times New Roman"/>
          <w:sz w:val="24"/>
          <w:szCs w:val="24"/>
          <w:lang w:val="en-GB" w:eastAsia="cs-CZ"/>
        </w:rPr>
        <w:t>,000</w:t>
      </w:r>
      <w:r w:rsidRPr="00FA1502">
        <w:rPr>
          <w:rFonts w:ascii="Times New Roman" w:eastAsia="Times New Roman" w:hAnsi="Times New Roman" w:cs="Times New Roman"/>
          <w:sz w:val="24"/>
          <w:szCs w:val="24"/>
          <w:lang w:val="en-GB" w:eastAsia="cs-CZ"/>
        </w:rPr>
        <w:t>.</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4:</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Transitional provision</w:t>
      </w:r>
      <w:r w:rsidRPr="00FA1502">
        <w:rPr>
          <w:rFonts w:ascii="Times New Roman" w:eastAsia="Times New Roman" w:hAnsi="Times New Roman" w:cs="Times New Roman"/>
          <w:sz w:val="24"/>
          <w:szCs w:val="24"/>
          <w:lang w:val="en-GB" w:eastAsia="cs-CZ"/>
        </w:rPr>
        <w:t xml:space="preserve"> provide</w:t>
      </w:r>
      <w:r w:rsidRPr="00FA1502">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 xml:space="preserve"> that the maximum aggregate limit on contributions</w:t>
      </w:r>
      <w:r w:rsidRPr="00FA1502">
        <w:rPr>
          <w:rFonts w:ascii="Times New Roman" w:eastAsia="Times New Roman" w:hAnsi="Times New Roman" w:cs="Times New Roman"/>
          <w:sz w:val="24"/>
          <w:szCs w:val="24"/>
          <w:lang w:val="en-GB" w:eastAsia="cs-CZ"/>
        </w:rPr>
        <w:t xml:space="preserve"> to</w:t>
      </w:r>
      <w:r w:rsidRPr="00FA1502">
        <w:rPr>
          <w:rFonts w:ascii="Times New Roman" w:eastAsia="Times New Roman" w:hAnsi="Times New Roman" w:cs="Times New Roman"/>
          <w:sz w:val="24"/>
          <w:szCs w:val="24"/>
          <w:lang w:val="en-GB" w:eastAsia="cs-CZ"/>
        </w:rPr>
        <w:t xml:space="preserve"> tax-supported </w:t>
      </w:r>
      <w:r w:rsidRPr="00FA1502">
        <w:rPr>
          <w:rFonts w:ascii="Times New Roman" w:eastAsia="Times New Roman" w:hAnsi="Times New Roman" w:cs="Times New Roman"/>
          <w:sz w:val="24"/>
          <w:szCs w:val="24"/>
          <w:lang w:val="en-GB" w:eastAsia="cs-CZ"/>
        </w:rPr>
        <w:t>retirement products</w:t>
      </w:r>
      <w:r w:rsidRPr="00FA1502">
        <w:rPr>
          <w:rFonts w:ascii="Times New Roman" w:eastAsia="Times New Roman" w:hAnsi="Times New Roman" w:cs="Times New Roman"/>
          <w:sz w:val="24"/>
          <w:szCs w:val="24"/>
          <w:lang w:val="en-GB" w:eastAsia="cs-CZ"/>
        </w:rPr>
        <w:t xml:space="preserve">, which can be deducted from the tax base pursuant to </w:t>
      </w:r>
      <w:r w:rsidRPr="00FA1502">
        <w:rPr>
          <w:rFonts w:ascii="Times New Roman" w:eastAsia="Times New Roman" w:hAnsi="Times New Roman" w:cs="Times New Roman"/>
          <w:sz w:val="24"/>
          <w:szCs w:val="24"/>
          <w:lang w:val="en-GB" w:eastAsia="cs-CZ"/>
        </w:rPr>
        <w:t xml:space="preserve">Section </w:t>
      </w:r>
      <w:r w:rsidRPr="00FA1502">
        <w:rPr>
          <w:rFonts w:ascii="Times New Roman" w:eastAsia="Times New Roman" w:hAnsi="Times New Roman" w:cs="Times New Roman"/>
          <w:sz w:val="24"/>
          <w:szCs w:val="24"/>
          <w:lang w:val="en-GB" w:eastAsia="cs-CZ"/>
        </w:rPr>
        <w:t xml:space="preserve">15 </w:t>
      </w:r>
      <w:r w:rsidRPr="00FA1502">
        <w:rPr>
          <w:rFonts w:ascii="Times New Roman" w:eastAsia="Times New Roman" w:hAnsi="Times New Roman" w:cs="Times New Roman"/>
          <w:sz w:val="24"/>
          <w:szCs w:val="24"/>
          <w:lang w:val="en-GB" w:eastAsia="cs-CZ"/>
        </w:rPr>
        <w:t xml:space="preserve">(5) ZDP, in wording </w:t>
      </w:r>
      <w:r w:rsidRPr="00FA1502">
        <w:rPr>
          <w:rFonts w:ascii="Times New Roman" w:eastAsia="Times New Roman" w:hAnsi="Times New Roman" w:cs="Times New Roman"/>
          <w:sz w:val="24"/>
          <w:szCs w:val="24"/>
          <w:lang w:val="en-GB" w:eastAsia="cs-CZ"/>
        </w:rPr>
        <w:t>effective</w:t>
      </w:r>
      <w:r w:rsidRPr="00FA1502" w:rsidR="00630E67">
        <w:rPr>
          <w:rFonts w:ascii="Times New Roman" w:eastAsia="Times New Roman" w:hAnsi="Times New Roman" w:cs="Times New Roman"/>
          <w:sz w:val="24"/>
          <w:szCs w:val="24"/>
          <w:lang w:val="en-GB" w:eastAsia="cs-CZ"/>
        </w:rPr>
        <w:t xml:space="preserve"> from the date of effectiveness </w:t>
      </w:r>
      <w:r w:rsidRPr="00FA1502">
        <w:rPr>
          <w:rFonts w:ascii="Times New Roman" w:eastAsia="Times New Roman" w:hAnsi="Times New Roman" w:cs="Times New Roman"/>
          <w:sz w:val="24"/>
          <w:szCs w:val="24"/>
          <w:lang w:val="en-GB" w:eastAsia="cs-CZ"/>
        </w:rPr>
        <w:t xml:space="preserve">of this </w:t>
      </w:r>
      <w:r w:rsidRPr="00FA1502" w:rsidR="00DA52FE">
        <w:rPr>
          <w:rFonts w:ascii="Times New Roman" w:eastAsia="Times New Roman" w:hAnsi="Times New Roman" w:cs="Times New Roman"/>
          <w:sz w:val="24"/>
          <w:szCs w:val="24"/>
          <w:lang w:val="en-GB" w:eastAsia="cs-CZ"/>
        </w:rPr>
        <w:t>a</w:t>
      </w:r>
      <w:r w:rsidRPr="00FA1502">
        <w:rPr>
          <w:rFonts w:ascii="Times New Roman" w:eastAsia="Times New Roman" w:hAnsi="Times New Roman" w:cs="Times New Roman"/>
          <w:sz w:val="24"/>
          <w:szCs w:val="24"/>
          <w:lang w:val="en-GB" w:eastAsia="cs-CZ"/>
        </w:rPr>
        <w:t xml:space="preserve">ct, </w:t>
      </w:r>
      <w:r w:rsidRPr="00FA1502" w:rsidR="00DA52FE">
        <w:rPr>
          <w:rFonts w:ascii="Times New Roman" w:eastAsia="Times New Roman" w:hAnsi="Times New Roman" w:cs="Times New Roman"/>
          <w:sz w:val="24"/>
          <w:szCs w:val="24"/>
          <w:lang w:val="en-GB" w:eastAsia="cs-CZ"/>
        </w:rPr>
        <w:t xml:space="preserve">i.e. </w:t>
      </w:r>
      <w:r w:rsidRPr="00FA1502">
        <w:rPr>
          <w:rFonts w:ascii="Times New Roman" w:eastAsia="Times New Roman" w:hAnsi="Times New Roman" w:cs="Times New Roman"/>
          <w:sz w:val="24"/>
          <w:szCs w:val="24"/>
          <w:lang w:val="en-GB" w:eastAsia="cs-CZ"/>
        </w:rPr>
        <w:t xml:space="preserve">a sum </w:t>
      </w:r>
      <w:r w:rsidRPr="00FA1502" w:rsidR="00DA52FE">
        <w:rPr>
          <w:rFonts w:ascii="Times New Roman" w:eastAsia="Times New Roman" w:hAnsi="Times New Roman" w:cs="Times New Roman"/>
          <w:sz w:val="24"/>
          <w:szCs w:val="24"/>
          <w:lang w:val="en-GB" w:eastAsia="cs-CZ"/>
        </w:rPr>
        <w:t xml:space="preserve">of CZK </w:t>
      </w:r>
      <w:r w:rsidRPr="00FA1502">
        <w:rPr>
          <w:rFonts w:ascii="Times New Roman" w:eastAsia="Times New Roman" w:hAnsi="Times New Roman" w:cs="Times New Roman"/>
          <w:sz w:val="24"/>
          <w:szCs w:val="24"/>
          <w:lang w:val="en-GB" w:eastAsia="cs-CZ"/>
        </w:rPr>
        <w:t>48</w:t>
      </w:r>
      <w:r w:rsidRPr="00FA1502" w:rsidR="00DA52FE">
        <w:rPr>
          <w:rFonts w:ascii="Times New Roman" w:eastAsia="Times New Roman" w:hAnsi="Times New Roman" w:cs="Times New Roman"/>
          <w:sz w:val="24"/>
          <w:szCs w:val="24"/>
          <w:lang w:val="en-GB" w:eastAsia="cs-CZ"/>
        </w:rPr>
        <w:t>,000</w:t>
      </w:r>
      <w:r w:rsidRPr="00FA1502">
        <w:rPr>
          <w:rFonts w:ascii="Times New Roman" w:eastAsia="Times New Roman" w:hAnsi="Times New Roman" w:cs="Times New Roman"/>
          <w:sz w:val="24"/>
          <w:szCs w:val="24"/>
          <w:lang w:val="en-GB" w:eastAsia="cs-CZ"/>
        </w:rPr>
        <w:t xml:space="preserve">, is reduced by the total of contributions that the taxpayer deducts from the tax base for the given tax period under Section 15 (5) and (6) of </w:t>
      </w:r>
      <w:r w:rsidRPr="00FA1502" w:rsidR="00DA52FE">
        <w:rPr>
          <w:rFonts w:ascii="Times New Roman" w:eastAsia="Times New Roman" w:hAnsi="Times New Roman" w:cs="Times New Roman"/>
          <w:sz w:val="24"/>
          <w:szCs w:val="24"/>
          <w:lang w:val="en-GB" w:eastAsia="cs-CZ"/>
        </w:rPr>
        <w:t>ZDP in wording effective b</w:t>
      </w:r>
      <w:r w:rsidRPr="00FA1502">
        <w:rPr>
          <w:rFonts w:ascii="Times New Roman" w:eastAsia="Times New Roman" w:hAnsi="Times New Roman" w:cs="Times New Roman"/>
          <w:sz w:val="24"/>
          <w:szCs w:val="24"/>
          <w:lang w:val="en-GB" w:eastAsia="cs-CZ"/>
        </w:rPr>
        <w:t xml:space="preserve">efore the effective date of this </w:t>
      </w:r>
      <w:r w:rsidRPr="00FA1502" w:rsidR="00DA52FE">
        <w:rPr>
          <w:rFonts w:ascii="Times New Roman" w:eastAsia="Times New Roman" w:hAnsi="Times New Roman" w:cs="Times New Roman"/>
          <w:sz w:val="24"/>
          <w:szCs w:val="24"/>
          <w:lang w:val="en-GB" w:eastAsia="cs-CZ"/>
        </w:rPr>
        <w:t>a</w:t>
      </w:r>
      <w:r w:rsidRPr="00FA1502">
        <w:rPr>
          <w:rFonts w:ascii="Times New Roman" w:eastAsia="Times New Roman" w:hAnsi="Times New Roman" w:cs="Times New Roman"/>
          <w:sz w:val="24"/>
          <w:szCs w:val="24"/>
          <w:lang w:val="en-GB" w:eastAsia="cs-CZ"/>
        </w:rPr>
        <w:t>ct, i</w:t>
      </w:r>
      <w:r w:rsidRPr="00FA1502" w:rsidR="00DA52FE">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DA52FE">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the amount of supplementary pension insurance contributions with state contribution, supplementary pension savings, pension insurance and private life insurance </w:t>
      </w:r>
      <w:r w:rsidRPr="00FA1502" w:rsidR="00DA52FE">
        <w:rPr>
          <w:rFonts w:ascii="Times New Roman" w:eastAsia="Times New Roman" w:hAnsi="Times New Roman" w:cs="Times New Roman"/>
          <w:sz w:val="24"/>
          <w:szCs w:val="24"/>
          <w:lang w:val="en-GB" w:eastAsia="cs-CZ"/>
        </w:rPr>
        <w:t xml:space="preserve">arisen </w:t>
      </w:r>
      <w:r w:rsidRPr="00FA1502">
        <w:rPr>
          <w:rFonts w:ascii="Times New Roman" w:eastAsia="Times New Roman" w:hAnsi="Times New Roman" w:cs="Times New Roman"/>
          <w:sz w:val="24"/>
          <w:szCs w:val="24"/>
          <w:lang w:val="en-GB" w:eastAsia="cs-CZ"/>
        </w:rPr>
        <w:t xml:space="preserve">before the effective date of this </w:t>
      </w:r>
      <w:r w:rsidRPr="00FA1502" w:rsidR="00DA52FE">
        <w:rPr>
          <w:rFonts w:ascii="Times New Roman" w:eastAsia="Times New Roman" w:hAnsi="Times New Roman" w:cs="Times New Roman"/>
          <w:sz w:val="24"/>
          <w:szCs w:val="24"/>
          <w:lang w:val="en-GB" w:eastAsia="cs-CZ"/>
        </w:rPr>
        <w:t>a</w:t>
      </w:r>
      <w:r w:rsidRPr="00FA1502">
        <w:rPr>
          <w:rFonts w:ascii="Times New Roman" w:eastAsia="Times New Roman" w:hAnsi="Times New Roman" w:cs="Times New Roman"/>
          <w:sz w:val="24"/>
          <w:szCs w:val="24"/>
          <w:lang w:val="en-GB" w:eastAsia="cs-CZ"/>
        </w:rPr>
        <w:t xml:space="preserve">ct; the existing legislation will apply to these contributions as a result of the transitional provision referred to in point 2. This construction ensures that contributions to </w:t>
      </w:r>
      <w:r w:rsidRPr="00FA1502" w:rsidR="00990DAE">
        <w:rPr>
          <w:rFonts w:ascii="Times New Roman" w:eastAsia="Times New Roman" w:hAnsi="Times New Roman" w:cs="Times New Roman"/>
          <w:sz w:val="24"/>
          <w:szCs w:val="24"/>
          <w:lang w:val="en-GB" w:eastAsia="cs-CZ"/>
        </w:rPr>
        <w:t>retirement savings products</w:t>
      </w:r>
      <w:r w:rsidRPr="00FA1502">
        <w:rPr>
          <w:rFonts w:ascii="Times New Roman" w:eastAsia="Times New Roman" w:hAnsi="Times New Roman" w:cs="Times New Roman"/>
          <w:sz w:val="24"/>
          <w:szCs w:val="24"/>
          <w:lang w:val="en-GB" w:eastAsia="cs-CZ"/>
        </w:rPr>
        <w:t xml:space="preserve"> in the maximum amount of CZK 48,000 are al</w:t>
      </w:r>
      <w:r w:rsidRPr="00FA1502" w:rsidR="00DA52FE">
        <w:rPr>
          <w:rFonts w:ascii="Times New Roman" w:eastAsia="Times New Roman" w:hAnsi="Times New Roman" w:cs="Times New Roman"/>
          <w:sz w:val="24"/>
          <w:szCs w:val="24"/>
          <w:lang w:val="en-GB" w:eastAsia="cs-CZ"/>
        </w:rPr>
        <w:t>ways deducted from the taxpayer’</w:t>
      </w:r>
      <w:r w:rsidRPr="00FA1502">
        <w:rPr>
          <w:rFonts w:ascii="Times New Roman" w:eastAsia="Times New Roman" w:hAnsi="Times New Roman" w:cs="Times New Roman"/>
          <w:sz w:val="24"/>
          <w:szCs w:val="24"/>
          <w:lang w:val="en-GB" w:eastAsia="cs-CZ"/>
        </w:rPr>
        <w:t xml:space="preserve">s tax base, including contributions to the </w:t>
      </w:r>
      <w:r w:rsidRPr="00FA1502" w:rsidR="00391CAC">
        <w:rPr>
          <w:rFonts w:ascii="Times New Roman" w:eastAsia="Times New Roman" w:hAnsi="Times New Roman" w:cs="Times New Roman"/>
          <w:sz w:val="24"/>
          <w:szCs w:val="24"/>
          <w:lang w:val="en-GB" w:eastAsia="cs-CZ"/>
        </w:rPr>
        <w:t>individual savings</w:t>
      </w:r>
      <w:r w:rsidRPr="00FA1502">
        <w:rPr>
          <w:rFonts w:ascii="Times New Roman" w:eastAsia="Times New Roman" w:hAnsi="Times New Roman" w:cs="Times New Roman"/>
          <w:sz w:val="24"/>
          <w:szCs w:val="24"/>
          <w:lang w:val="en-GB" w:eastAsia="cs-CZ"/>
        </w:rPr>
        <w:t xml:space="preserve"> account. </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 </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Part three</w:t>
      </w:r>
      <w:r w:rsidRPr="00FA1502">
        <w:rPr>
          <w:rFonts w:ascii="Times New Roman" w:eastAsia="Times New Roman" w:hAnsi="Times New Roman" w:cs="Times New Roman"/>
          <w:b/>
          <w:bCs/>
          <w:sz w:val="24"/>
          <w:szCs w:val="24"/>
          <w:lang w:val="en-GB" w:eastAsia="cs-CZ"/>
        </w:rPr>
        <w:t>, Article IV </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Amendment to the Advertising Regulation Act</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 1 (new </w:t>
      </w:r>
      <w:r w:rsidRPr="00FA1502" w:rsidR="002461B1">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5k):</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 new regulation is introduced to regulate the advert</w:t>
      </w:r>
      <w:r w:rsidRPr="00FA1502" w:rsidR="008775FD">
        <w:rPr>
          <w:rFonts w:ascii="Times New Roman" w:eastAsia="Times New Roman" w:hAnsi="Times New Roman" w:cs="Times New Roman"/>
          <w:sz w:val="24"/>
          <w:szCs w:val="24"/>
          <w:lang w:val="en-GB" w:eastAsia="cs-CZ"/>
        </w:rPr>
        <w:t>ising of investment instruments</w:t>
      </w:r>
      <w:r w:rsidRPr="00FA1502">
        <w:rPr>
          <w:rFonts w:ascii="Times New Roman" w:eastAsia="Times New Roman" w:hAnsi="Times New Roman" w:cs="Times New Roman"/>
          <w:sz w:val="24"/>
          <w:szCs w:val="24"/>
          <w:lang w:val="en-GB" w:eastAsia="cs-CZ"/>
        </w:rPr>
        <w:t xml:space="preserve">. The aim is to ensure at least a minimum level of regulation of advertising portals that are not subject </w:t>
      </w:r>
      <w:r w:rsidRPr="00FA1502" w:rsidR="008775FD">
        <w:rPr>
          <w:rFonts w:ascii="Times New Roman" w:eastAsia="Times New Roman" w:hAnsi="Times New Roman" w:cs="Times New Roman"/>
          <w:sz w:val="24"/>
          <w:szCs w:val="24"/>
          <w:lang w:val="en-GB" w:eastAsia="cs-CZ"/>
        </w:rPr>
        <w:t>to CNB supervision,</w:t>
      </w:r>
      <w:r w:rsidRPr="00FA1502">
        <w:rPr>
          <w:rFonts w:ascii="Times New Roman" w:eastAsia="Times New Roman" w:hAnsi="Times New Roman" w:cs="Times New Roman"/>
          <w:sz w:val="24"/>
          <w:szCs w:val="24"/>
          <w:lang w:val="en-GB" w:eastAsia="cs-CZ"/>
        </w:rPr>
        <w:t xml:space="preserve"> but offer investment instruments to retail clients on their websites. In view of a higher standard of consumer protection, it is proposed that advertising </w:t>
      </w:r>
      <w:r w:rsidRPr="00FA1502" w:rsidR="008775FD">
        <w:rPr>
          <w:rFonts w:ascii="Times New Roman" w:eastAsia="Times New Roman" w:hAnsi="Times New Roman" w:cs="Times New Roman"/>
          <w:sz w:val="24"/>
          <w:szCs w:val="24"/>
          <w:lang w:val="en-GB" w:eastAsia="cs-CZ"/>
        </w:rPr>
        <w:t>of</w:t>
      </w:r>
      <w:r w:rsidRPr="00FA1502">
        <w:rPr>
          <w:rFonts w:ascii="Times New Roman" w:eastAsia="Times New Roman" w:hAnsi="Times New Roman" w:cs="Times New Roman"/>
          <w:sz w:val="24"/>
          <w:szCs w:val="24"/>
          <w:lang w:val="en-GB" w:eastAsia="cs-CZ"/>
        </w:rPr>
        <w:t xml:space="preserve"> investment instruments should be regulated in a similar way as advertising for gambling. Namely, it must be stated in the advertising that the return on investment is not always certain, because ev</w:t>
      </w:r>
      <w:r w:rsidRPr="00FA1502" w:rsidR="008775FD">
        <w:rPr>
          <w:rFonts w:ascii="Times New Roman" w:eastAsia="Times New Roman" w:hAnsi="Times New Roman" w:cs="Times New Roman"/>
          <w:sz w:val="24"/>
          <w:szCs w:val="24"/>
          <w:lang w:val="en-GB" w:eastAsia="cs-CZ"/>
        </w:rPr>
        <w:t xml:space="preserve">ery investment involves a risk. Warning must also be </w:t>
      </w:r>
      <w:r w:rsidRPr="00FA1502">
        <w:rPr>
          <w:rFonts w:ascii="Times New Roman" w:eastAsia="Times New Roman" w:hAnsi="Times New Roman" w:cs="Times New Roman"/>
          <w:sz w:val="24"/>
          <w:szCs w:val="24"/>
          <w:lang w:val="en-GB" w:eastAsia="cs-CZ"/>
        </w:rPr>
        <w:t xml:space="preserve">included that </w:t>
      </w:r>
      <w:r w:rsidRPr="00FA1502" w:rsidR="00F76753">
        <w:rPr>
          <w:rFonts w:ascii="Times New Roman" w:eastAsia="Times New Roman" w:hAnsi="Times New Roman" w:cs="Times New Roman"/>
          <w:sz w:val="24"/>
          <w:szCs w:val="24"/>
          <w:lang w:val="en-GB" w:eastAsia="cs-CZ"/>
        </w:rPr>
        <w:t>high y</w:t>
      </w:r>
      <w:r w:rsidRPr="00FA1502">
        <w:rPr>
          <w:rFonts w:ascii="Times New Roman" w:eastAsia="Times New Roman" w:hAnsi="Times New Roman" w:cs="Times New Roman"/>
          <w:sz w:val="24"/>
          <w:szCs w:val="24"/>
          <w:lang w:val="en-GB" w:eastAsia="cs-CZ"/>
        </w:rPr>
        <w:t>ield means higher risk, but</w:t>
      </w:r>
      <w:r w:rsidRPr="00FA1502" w:rsidR="00F76753">
        <w:rPr>
          <w:rFonts w:ascii="Times New Roman" w:eastAsia="Times New Roman" w:hAnsi="Times New Roman" w:cs="Times New Roman"/>
          <w:sz w:val="24"/>
          <w:szCs w:val="24"/>
          <w:lang w:val="en-GB" w:eastAsia="cs-CZ"/>
        </w:rPr>
        <w:t xml:space="preserve"> low </w:t>
      </w:r>
      <w:r w:rsidRPr="00FA1502">
        <w:rPr>
          <w:rFonts w:ascii="Times New Roman" w:eastAsia="Times New Roman" w:hAnsi="Times New Roman" w:cs="Times New Roman"/>
          <w:sz w:val="24"/>
          <w:szCs w:val="24"/>
          <w:lang w:val="en-GB" w:eastAsia="cs-CZ"/>
        </w:rPr>
        <w:t xml:space="preserve">yield is not always a guarantee of lower risk (which is seen as a particularly </w:t>
      </w:r>
      <w:r w:rsidRPr="00FA1502" w:rsidR="00F76753">
        <w:rPr>
          <w:rFonts w:ascii="Times New Roman" w:eastAsia="Times New Roman" w:hAnsi="Times New Roman" w:cs="Times New Roman"/>
          <w:sz w:val="24"/>
          <w:szCs w:val="24"/>
          <w:lang w:val="en-GB" w:eastAsia="cs-CZ"/>
        </w:rPr>
        <w:t>imminent</w:t>
      </w:r>
      <w:r w:rsidRPr="00FA1502">
        <w:rPr>
          <w:rFonts w:ascii="Times New Roman" w:eastAsia="Times New Roman" w:hAnsi="Times New Roman" w:cs="Times New Roman"/>
          <w:sz w:val="24"/>
          <w:szCs w:val="24"/>
          <w:lang w:val="en-GB" w:eastAsia="cs-CZ"/>
        </w:rPr>
        <w:t xml:space="preserve"> problem in the curren</w:t>
      </w:r>
      <w:r w:rsidRPr="00FA1502" w:rsidR="00F76753">
        <w:rPr>
          <w:rFonts w:ascii="Times New Roman" w:eastAsia="Times New Roman" w:hAnsi="Times New Roman" w:cs="Times New Roman"/>
          <w:sz w:val="24"/>
          <w:szCs w:val="24"/>
          <w:lang w:val="en-GB" w:eastAsia="cs-CZ"/>
        </w:rPr>
        <w:t>t period of low interest rates)</w:t>
      </w:r>
      <w:r w:rsidRPr="00FA1502">
        <w:rPr>
          <w:rFonts w:ascii="Times New Roman" w:eastAsia="Times New Roman" w:hAnsi="Times New Roman" w:cs="Times New Roman"/>
          <w:sz w:val="24"/>
          <w:szCs w:val="24"/>
          <w:lang w:val="en-GB" w:eastAsia="cs-CZ"/>
        </w:rPr>
        <w:t xml:space="preserve">. </w:t>
      </w:r>
      <w:r w:rsidRPr="00FA1502" w:rsidR="00F76753">
        <w:rPr>
          <w:rFonts w:ascii="Times New Roman" w:eastAsia="Times New Roman" w:hAnsi="Times New Roman" w:cs="Times New Roman"/>
          <w:sz w:val="24"/>
          <w:szCs w:val="24"/>
          <w:lang w:val="en-GB" w:eastAsia="cs-CZ"/>
        </w:rPr>
        <w:t>Advertisement</w:t>
      </w:r>
      <w:r w:rsidRPr="00FA1502">
        <w:rPr>
          <w:rFonts w:ascii="Times New Roman" w:eastAsia="Times New Roman" w:hAnsi="Times New Roman" w:cs="Times New Roman"/>
          <w:sz w:val="24"/>
          <w:szCs w:val="24"/>
          <w:lang w:val="en-GB" w:eastAsia="cs-CZ"/>
        </w:rPr>
        <w:t xml:space="preserve"> should </w:t>
      </w:r>
      <w:r w:rsidRPr="00FA1502" w:rsidR="00F76753">
        <w:rPr>
          <w:rFonts w:ascii="Times New Roman" w:eastAsia="Times New Roman" w:hAnsi="Times New Roman" w:cs="Times New Roman"/>
          <w:sz w:val="24"/>
          <w:szCs w:val="24"/>
          <w:lang w:val="en-GB" w:eastAsia="cs-CZ"/>
        </w:rPr>
        <w:t xml:space="preserve">not </w:t>
      </w:r>
      <w:r w:rsidRPr="00FA1502">
        <w:rPr>
          <w:rFonts w:ascii="Times New Roman" w:eastAsia="Times New Roman" w:hAnsi="Times New Roman" w:cs="Times New Roman"/>
          <w:sz w:val="24"/>
          <w:szCs w:val="24"/>
          <w:lang w:val="en-GB" w:eastAsia="cs-CZ"/>
        </w:rPr>
        <w:t xml:space="preserve">target people in </w:t>
      </w:r>
      <w:r w:rsidRPr="00FA1502">
        <w:rPr>
          <w:rFonts w:ascii="Times New Roman" w:eastAsia="Times New Roman" w:hAnsi="Times New Roman" w:cs="Times New Roman"/>
          <w:sz w:val="24"/>
          <w:szCs w:val="24"/>
          <w:lang w:val="en-GB" w:eastAsia="cs-CZ"/>
        </w:rPr>
        <w:t>material need. The role of the supervisory authority should be fulfilled by regional trade licensing offices.</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2 [Section 8 (</w:t>
      </w:r>
      <w:r w:rsidRPr="00FA1502">
        <w:rPr>
          <w:rFonts w:ascii="Times New Roman" w:eastAsia="Times New Roman" w:hAnsi="Times New Roman" w:cs="Times New Roman"/>
          <w:b/>
          <w:bCs/>
          <w:sz w:val="24"/>
          <w:szCs w:val="24"/>
          <w:u w:val="single"/>
          <w:lang w:val="en-GB" w:eastAsia="cs-CZ"/>
        </w:rPr>
        <w:t>2</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 </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b) and in </w:t>
      </w:r>
      <w:r w:rsidRPr="00FA1502" w:rsidR="0028083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8a </w:t>
      </w:r>
      <w:r w:rsidRPr="00FA1502" w:rsidR="0028083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d</w:t>
      </w:r>
      <w:r w:rsidRPr="00FA1502" w:rsidR="0028083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In accordance with the proposed amendment in point 1, the relevant penalties provisions are </w:t>
      </w:r>
      <w:r w:rsidRPr="00FA1502" w:rsidR="00D80D38">
        <w:rPr>
          <w:rFonts w:ascii="Times New Roman" w:eastAsia="Times New Roman" w:hAnsi="Times New Roman" w:cs="Times New Roman"/>
          <w:sz w:val="24"/>
          <w:szCs w:val="24"/>
          <w:lang w:val="en-GB" w:eastAsia="cs-CZ"/>
        </w:rPr>
        <w:t>amended</w:t>
      </w:r>
      <w:r w:rsidRPr="00FA1502">
        <w:rPr>
          <w:rFonts w:ascii="Times New Roman" w:eastAsia="Times New Roman" w:hAnsi="Times New Roman" w:cs="Times New Roman"/>
          <w:sz w:val="24"/>
          <w:szCs w:val="24"/>
          <w:lang w:val="en-GB" w:eastAsia="cs-CZ"/>
        </w:rPr>
        <w:t>.</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P</w:t>
      </w:r>
      <w:r w:rsidRPr="00FA1502">
        <w:rPr>
          <w:rFonts w:ascii="Times New Roman" w:eastAsia="Times New Roman" w:hAnsi="Times New Roman" w:cs="Times New Roman"/>
          <w:b/>
          <w:bCs/>
          <w:sz w:val="24"/>
          <w:szCs w:val="24"/>
          <w:lang w:val="en-GB" w:eastAsia="cs-CZ"/>
        </w:rPr>
        <w:t xml:space="preserve">art </w:t>
      </w:r>
      <w:r w:rsidRPr="00FA1502">
        <w:rPr>
          <w:rFonts w:ascii="Times New Roman" w:eastAsia="Times New Roman" w:hAnsi="Times New Roman" w:cs="Times New Roman"/>
          <w:b/>
          <w:bCs/>
          <w:sz w:val="24"/>
          <w:szCs w:val="24"/>
          <w:lang w:val="en-GB" w:eastAsia="cs-CZ"/>
        </w:rPr>
        <w:t>four</w:t>
      </w:r>
      <w:r w:rsidRPr="00FA1502">
        <w:rPr>
          <w:rFonts w:ascii="Times New Roman" w:eastAsia="Times New Roman" w:hAnsi="Times New Roman" w:cs="Times New Roman"/>
          <w:b/>
          <w:bCs/>
          <w:sz w:val="24"/>
          <w:szCs w:val="24"/>
          <w:lang w:val="en-GB" w:eastAsia="cs-CZ"/>
        </w:rPr>
        <w:t>, Article V </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 xml:space="preserve">Amendment of the </w:t>
      </w:r>
      <w:r w:rsidRPr="00FA1502" w:rsidR="00405B8D">
        <w:rPr>
          <w:rFonts w:ascii="Times New Roman" w:eastAsia="Times New Roman" w:hAnsi="Times New Roman" w:cs="Times New Roman"/>
          <w:b/>
          <w:bCs/>
          <w:sz w:val="24"/>
          <w:szCs w:val="24"/>
          <w:lang w:val="en-GB" w:eastAsia="cs-CZ"/>
        </w:rPr>
        <w:t>Execution Order</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Section</w:t>
      </w:r>
      <w:r w:rsidRPr="00FA1502">
        <w:rPr>
          <w:rFonts w:ascii="Times New Roman" w:eastAsia="Times New Roman" w:hAnsi="Times New Roman" w:cs="Times New Roman"/>
          <w:b/>
          <w:bCs/>
          <w:sz w:val="24"/>
          <w:szCs w:val="24"/>
          <w:u w:val="single"/>
          <w:lang w:val="en-GB" w:eastAsia="cs-CZ"/>
        </w:rPr>
        <w:t xml:space="preserve"> 34 (3</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I</w:t>
      </w:r>
      <w:r w:rsidRPr="00FA1502" w:rsidR="00405B8D">
        <w:rPr>
          <w:rFonts w:ascii="Times New Roman" w:eastAsia="Times New Roman" w:hAnsi="Times New Roman" w:cs="Times New Roman"/>
          <w:sz w:val="24"/>
          <w:szCs w:val="24"/>
          <w:lang w:val="en-GB" w:eastAsia="cs-CZ"/>
        </w:rPr>
        <w:t>n practice, the provision of co</w:t>
      </w:r>
      <w:r w:rsidRPr="00FA1502">
        <w:rPr>
          <w:rFonts w:ascii="Times New Roman" w:eastAsia="Times New Roman" w:hAnsi="Times New Roman" w:cs="Times New Roman"/>
          <w:sz w:val="24"/>
          <w:szCs w:val="24"/>
          <w:lang w:val="en-GB" w:eastAsia="cs-CZ"/>
        </w:rPr>
        <w:t xml:space="preserve">operation by financial market entities to </w:t>
      </w:r>
      <w:r w:rsidRPr="00FA1502" w:rsidR="00405B8D">
        <w:rPr>
          <w:rFonts w:ascii="Times New Roman" w:eastAsia="Times New Roman" w:hAnsi="Times New Roman" w:cs="Times New Roman"/>
          <w:sz w:val="24"/>
          <w:szCs w:val="24"/>
          <w:lang w:val="en-GB" w:eastAsia="cs-CZ"/>
        </w:rPr>
        <w:t>executors</w:t>
      </w:r>
      <w:r w:rsidRPr="00FA1502">
        <w:rPr>
          <w:rFonts w:ascii="Times New Roman" w:eastAsia="Times New Roman" w:hAnsi="Times New Roman" w:cs="Times New Roman"/>
          <w:sz w:val="24"/>
          <w:szCs w:val="24"/>
          <w:lang w:val="en-GB" w:eastAsia="cs-CZ"/>
        </w:rPr>
        <w:t xml:space="preserve"> causes unnecessary costs. For example, some </w:t>
      </w:r>
      <w:r w:rsidRPr="00FA1502" w:rsidR="00405B8D">
        <w:rPr>
          <w:rFonts w:ascii="Times New Roman" w:eastAsia="Times New Roman" w:hAnsi="Times New Roman" w:cs="Times New Roman"/>
          <w:sz w:val="24"/>
          <w:szCs w:val="24"/>
          <w:lang w:val="en-GB" w:eastAsia="cs-CZ"/>
        </w:rPr>
        <w:t>executors</w:t>
      </w:r>
      <w:r w:rsidRPr="00FA1502">
        <w:rPr>
          <w:rFonts w:ascii="Times New Roman" w:eastAsia="Times New Roman" w:hAnsi="Times New Roman" w:cs="Times New Roman"/>
          <w:sz w:val="24"/>
          <w:szCs w:val="24"/>
          <w:lang w:val="en-GB" w:eastAsia="cs-CZ"/>
        </w:rPr>
        <w:t xml:space="preserve"> send </w:t>
      </w:r>
      <w:r w:rsidRPr="00FA1502" w:rsidR="00A041D1">
        <w:rPr>
          <w:rFonts w:ascii="Times New Roman" w:eastAsia="Times New Roman" w:hAnsi="Times New Roman" w:cs="Times New Roman"/>
          <w:sz w:val="24"/>
          <w:szCs w:val="24"/>
          <w:lang w:val="en-GB" w:eastAsia="cs-CZ"/>
        </w:rPr>
        <w:t xml:space="preserve">requests </w:t>
      </w:r>
      <w:r w:rsidRPr="00FA1502">
        <w:rPr>
          <w:rFonts w:ascii="Times New Roman" w:eastAsia="Times New Roman" w:hAnsi="Times New Roman" w:cs="Times New Roman"/>
          <w:sz w:val="24"/>
          <w:szCs w:val="24"/>
          <w:lang w:val="en-GB" w:eastAsia="cs-CZ"/>
        </w:rPr>
        <w:t xml:space="preserve">about a single debtor to all financial institutions on the financial market without any pre-selection, for example, in accordance with </w:t>
      </w:r>
      <w:r w:rsidRPr="00FA1502" w:rsidR="00405B8D">
        <w:rPr>
          <w:rFonts w:ascii="Times New Roman" w:eastAsia="Times New Roman" w:hAnsi="Times New Roman" w:cs="Times New Roman"/>
          <w:sz w:val="24"/>
          <w:szCs w:val="24"/>
          <w:lang w:val="en-GB" w:eastAsia="cs-CZ"/>
        </w:rPr>
        <w:t xml:space="preserve">Section </w:t>
      </w:r>
      <w:r w:rsidRPr="00FA1502">
        <w:rPr>
          <w:rFonts w:ascii="Times New Roman" w:eastAsia="Times New Roman" w:hAnsi="Times New Roman" w:cs="Times New Roman"/>
          <w:sz w:val="24"/>
          <w:szCs w:val="24"/>
          <w:lang w:val="en-GB" w:eastAsia="cs-CZ"/>
        </w:rPr>
        <w:t>33d E</w:t>
      </w:r>
      <w:r w:rsidRPr="00FA1502" w:rsidR="00405B8D">
        <w:rPr>
          <w:rFonts w:ascii="Times New Roman" w:eastAsia="Times New Roman" w:hAnsi="Times New Roman" w:cs="Times New Roman"/>
          <w:sz w:val="24"/>
          <w:szCs w:val="24"/>
          <w:lang w:val="en-GB" w:eastAsia="cs-CZ"/>
        </w:rPr>
        <w:t>R</w:t>
      </w:r>
      <w:r w:rsidRPr="00FA1502">
        <w:rPr>
          <w:rFonts w:ascii="Times New Roman" w:eastAsia="Times New Roman" w:hAnsi="Times New Roman" w:cs="Times New Roman"/>
          <w:sz w:val="24"/>
          <w:szCs w:val="24"/>
          <w:lang w:val="en-GB" w:eastAsia="cs-CZ"/>
        </w:rPr>
        <w:t>. Acco</w:t>
      </w:r>
      <w:r w:rsidRPr="00FA1502" w:rsidR="00E53FC4">
        <w:rPr>
          <w:rFonts w:ascii="Times New Roman" w:eastAsia="Times New Roman" w:hAnsi="Times New Roman" w:cs="Times New Roman"/>
          <w:sz w:val="24"/>
          <w:szCs w:val="24"/>
          <w:lang w:val="en-GB" w:eastAsia="cs-CZ"/>
        </w:rPr>
        <w:t>rding to financial institutions</w:t>
      </w:r>
      <w:r w:rsidRPr="00FA1502">
        <w:rPr>
          <w:rFonts w:ascii="Times New Roman" w:eastAsia="Times New Roman" w:hAnsi="Times New Roman" w:cs="Times New Roman"/>
          <w:sz w:val="24"/>
          <w:szCs w:val="24"/>
          <w:lang w:val="en-GB" w:eastAsia="cs-CZ"/>
        </w:rPr>
        <w:t>, in some cases they have to deal with over one million requests for cooperation a year, resulting in millions of costs. It is proposed to apply the r</w:t>
      </w:r>
      <w:r w:rsidRPr="00FA1502" w:rsidR="00A041D1">
        <w:rPr>
          <w:rFonts w:ascii="Times New Roman" w:eastAsia="Times New Roman" w:hAnsi="Times New Roman" w:cs="Times New Roman"/>
          <w:sz w:val="24"/>
          <w:szCs w:val="24"/>
          <w:lang w:val="en-GB" w:eastAsia="cs-CZ"/>
        </w:rPr>
        <w:t xml:space="preserve">egulation in Section 34 (3) of </w:t>
      </w:r>
      <w:r w:rsidRPr="00FA1502">
        <w:rPr>
          <w:rFonts w:ascii="Times New Roman" w:eastAsia="Times New Roman" w:hAnsi="Times New Roman" w:cs="Times New Roman"/>
          <w:sz w:val="24"/>
          <w:szCs w:val="24"/>
          <w:lang w:val="en-GB" w:eastAsia="cs-CZ"/>
        </w:rPr>
        <w:t>E</w:t>
      </w:r>
      <w:r w:rsidRPr="00FA1502" w:rsidR="00A041D1">
        <w:rPr>
          <w:rFonts w:ascii="Times New Roman" w:eastAsia="Times New Roman" w:hAnsi="Times New Roman" w:cs="Times New Roman"/>
          <w:sz w:val="24"/>
          <w:szCs w:val="24"/>
          <w:lang w:val="en-GB" w:eastAsia="cs-CZ"/>
        </w:rPr>
        <w:t>R</w:t>
      </w:r>
      <w:r w:rsidRPr="00FA1502">
        <w:rPr>
          <w:rFonts w:ascii="Times New Roman" w:eastAsia="Times New Roman" w:hAnsi="Times New Roman" w:cs="Times New Roman"/>
          <w:sz w:val="24"/>
          <w:szCs w:val="24"/>
          <w:lang w:val="en-GB" w:eastAsia="cs-CZ"/>
        </w:rPr>
        <w:t xml:space="preserve"> (for financial institutions) to other financial market entities for which</w:t>
      </w:r>
      <w:r w:rsidRPr="00FA1502" w:rsidR="00A041D1">
        <w:rPr>
          <w:rFonts w:ascii="Times New Roman" w:eastAsia="Times New Roman" w:hAnsi="Times New Roman" w:cs="Times New Roman"/>
          <w:sz w:val="24"/>
          <w:szCs w:val="24"/>
          <w:lang w:val="en-GB" w:eastAsia="cs-CZ"/>
        </w:rPr>
        <w:t xml:space="preserve"> the ER</w:t>
      </w:r>
      <w:r w:rsidRPr="00FA1502">
        <w:rPr>
          <w:rFonts w:ascii="Times New Roman" w:eastAsia="Times New Roman" w:hAnsi="Times New Roman" w:cs="Times New Roman"/>
          <w:sz w:val="24"/>
          <w:szCs w:val="24"/>
          <w:lang w:val="en-GB" w:eastAsia="cs-CZ"/>
        </w:rPr>
        <w:t xml:space="preserve"> uses the abbreviation of financial institution (insurance companies, investment companies and investment funds, securities </w:t>
      </w:r>
      <w:r w:rsidRPr="00FA1502" w:rsidR="00A041D1">
        <w:rPr>
          <w:rFonts w:ascii="Times New Roman" w:eastAsia="Times New Roman" w:hAnsi="Times New Roman" w:cs="Times New Roman"/>
          <w:sz w:val="24"/>
          <w:szCs w:val="24"/>
          <w:lang w:val="en-GB" w:eastAsia="cs-CZ"/>
        </w:rPr>
        <w:t>traders</w:t>
      </w:r>
      <w:r w:rsidRPr="00FA1502">
        <w:rPr>
          <w:rFonts w:ascii="Times New Roman" w:eastAsia="Times New Roman" w:hAnsi="Times New Roman" w:cs="Times New Roman"/>
          <w:sz w:val="24"/>
          <w:szCs w:val="24"/>
          <w:lang w:val="en-GB" w:eastAsia="cs-CZ"/>
        </w:rPr>
        <w:t xml:space="preserve">, pension companies, </w:t>
      </w:r>
      <w:r w:rsidRPr="00FA1502" w:rsidR="00A041D1">
        <w:rPr>
          <w:rFonts w:ascii="Times New Roman" w:eastAsia="Times New Roman" w:hAnsi="Times New Roman" w:cs="Times New Roman"/>
          <w:sz w:val="24"/>
          <w:szCs w:val="24"/>
          <w:lang w:val="en-GB" w:eastAsia="cs-CZ"/>
        </w:rPr>
        <w:t xml:space="preserve">pension funds pursuant to </w:t>
      </w:r>
      <w:r w:rsidRPr="00FA1502">
        <w:rPr>
          <w:rFonts w:ascii="Times New Roman" w:eastAsia="Times New Roman" w:hAnsi="Times New Roman" w:cs="Times New Roman"/>
          <w:sz w:val="24"/>
          <w:szCs w:val="24"/>
          <w:lang w:val="en-GB" w:eastAsia="cs-CZ"/>
        </w:rPr>
        <w:t xml:space="preserve">special legislation and Financial Market Guarantee System). </w:t>
      </w:r>
      <w:r w:rsidRPr="00FA1502" w:rsidR="00A041D1">
        <w:rPr>
          <w:rFonts w:ascii="Times New Roman" w:eastAsia="Times New Roman" w:hAnsi="Times New Roman" w:cs="Times New Roman"/>
          <w:sz w:val="24"/>
          <w:szCs w:val="24"/>
          <w:lang w:val="en-GB" w:eastAsia="cs-CZ"/>
        </w:rPr>
        <w:t>T</w:t>
      </w:r>
      <w:r w:rsidRPr="00FA1502">
        <w:rPr>
          <w:rFonts w:ascii="Times New Roman" w:eastAsia="Times New Roman" w:hAnsi="Times New Roman" w:cs="Times New Roman"/>
          <w:sz w:val="24"/>
          <w:szCs w:val="24"/>
          <w:lang w:val="en-GB" w:eastAsia="cs-CZ"/>
        </w:rPr>
        <w:t xml:space="preserve">his regulation should solve the problem of excessive costs in providing </w:t>
      </w:r>
      <w:r w:rsidRPr="00FA1502" w:rsidR="00A041D1">
        <w:rPr>
          <w:rFonts w:ascii="Times New Roman" w:eastAsia="Times New Roman" w:hAnsi="Times New Roman" w:cs="Times New Roman"/>
          <w:sz w:val="24"/>
          <w:szCs w:val="24"/>
          <w:lang w:val="en-GB" w:eastAsia="cs-CZ"/>
        </w:rPr>
        <w:t>cooperation</w:t>
      </w:r>
      <w:r w:rsidRPr="00FA1502">
        <w:rPr>
          <w:rFonts w:ascii="Times New Roman" w:eastAsia="Times New Roman" w:hAnsi="Times New Roman" w:cs="Times New Roman"/>
          <w:sz w:val="24"/>
          <w:szCs w:val="24"/>
          <w:lang w:val="en-GB" w:eastAsia="cs-CZ"/>
        </w:rPr>
        <w:t xml:space="preserve"> similarly as it has been resolved for financial institutions.</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 </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P</w:t>
      </w:r>
      <w:r w:rsidRPr="00FA1502">
        <w:rPr>
          <w:rFonts w:ascii="Times New Roman" w:eastAsia="Times New Roman" w:hAnsi="Times New Roman" w:cs="Times New Roman"/>
          <w:b/>
          <w:bCs/>
          <w:sz w:val="24"/>
          <w:szCs w:val="24"/>
          <w:lang w:val="en-GB" w:eastAsia="cs-CZ"/>
        </w:rPr>
        <w:t>art</w:t>
      </w:r>
      <w:r w:rsidRPr="00FA1502">
        <w:rPr>
          <w:rFonts w:ascii="Times New Roman" w:eastAsia="Times New Roman" w:hAnsi="Times New Roman" w:cs="Times New Roman"/>
          <w:b/>
          <w:bCs/>
          <w:sz w:val="24"/>
          <w:szCs w:val="24"/>
          <w:lang w:val="en-GB" w:eastAsia="cs-CZ"/>
        </w:rPr>
        <w:t xml:space="preserve"> five</w:t>
      </w:r>
      <w:r w:rsidRPr="00FA1502">
        <w:rPr>
          <w:rFonts w:ascii="Times New Roman" w:eastAsia="Times New Roman" w:hAnsi="Times New Roman" w:cs="Times New Roman"/>
          <w:b/>
          <w:bCs/>
          <w:sz w:val="24"/>
          <w:szCs w:val="24"/>
          <w:lang w:val="en-GB" w:eastAsia="cs-CZ"/>
        </w:rPr>
        <w:t>, Article VI </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Amendment to the Financial Arbiter Act</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points 1 and 2 </w:t>
      </w:r>
      <w:r w:rsidRPr="00FA1502" w:rsidR="00730A5D">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1 (1) new </w:t>
      </w:r>
      <w:r w:rsidRPr="00FA1502" w:rsidR="00730A5D">
        <w:rPr>
          <w:rFonts w:ascii="Times New Roman" w:eastAsia="Times New Roman" w:hAnsi="Times New Roman" w:cs="Times New Roman"/>
          <w:b/>
          <w:bCs/>
          <w:sz w:val="24"/>
          <w:szCs w:val="24"/>
          <w:u w:val="single"/>
          <w:lang w:val="en-GB" w:eastAsia="cs-CZ"/>
        </w:rPr>
        <w:t xml:space="preserve">letter (k) and Section 3 (1) new letter </w:t>
      </w:r>
      <w:r w:rsidRPr="00FA1502">
        <w:rPr>
          <w:rFonts w:ascii="Times New Roman" w:eastAsia="Times New Roman" w:hAnsi="Times New Roman" w:cs="Times New Roman"/>
          <w:b/>
          <w:bCs/>
          <w:sz w:val="24"/>
          <w:szCs w:val="24"/>
          <w:u w:val="single"/>
          <w:lang w:val="en-GB" w:eastAsia="cs-CZ"/>
        </w:rPr>
        <w:t>(k)</w:t>
      </w:r>
      <w:r w:rsidRPr="00FA1502" w:rsidR="009E088D">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w:t>
      </w:r>
      <w:r w:rsidRPr="00FA1502" w:rsidR="00CB77D9">
        <w:rPr>
          <w:rFonts w:ascii="Times New Roman" w:eastAsia="Times New Roman" w:hAnsi="Times New Roman" w:cs="Times New Roman"/>
          <w:sz w:val="24"/>
          <w:szCs w:val="24"/>
          <w:lang w:val="en-GB" w:eastAsia="cs-CZ"/>
        </w:rPr>
        <w:t>authority</w:t>
      </w:r>
      <w:r w:rsidRPr="00FA1502">
        <w:rPr>
          <w:rFonts w:ascii="Times New Roman" w:eastAsia="Times New Roman" w:hAnsi="Times New Roman" w:cs="Times New Roman"/>
          <w:sz w:val="24"/>
          <w:szCs w:val="24"/>
          <w:lang w:val="en-GB" w:eastAsia="cs-CZ"/>
        </w:rPr>
        <w:t xml:space="preserve"> of the Financial Arbiter </w:t>
      </w:r>
      <w:r w:rsidRPr="00FA1502" w:rsidR="00CB77D9">
        <w:rPr>
          <w:rFonts w:ascii="Times New Roman" w:eastAsia="Times New Roman" w:hAnsi="Times New Roman" w:cs="Times New Roman"/>
          <w:sz w:val="24"/>
          <w:szCs w:val="24"/>
          <w:lang w:val="en-GB" w:eastAsia="cs-CZ"/>
        </w:rPr>
        <w:t>is</w:t>
      </w:r>
      <w:r w:rsidRPr="00FA1502">
        <w:rPr>
          <w:rFonts w:ascii="Times New Roman" w:eastAsia="Times New Roman" w:hAnsi="Times New Roman" w:cs="Times New Roman"/>
          <w:sz w:val="24"/>
          <w:szCs w:val="24"/>
          <w:lang w:val="en-GB" w:eastAsia="cs-CZ"/>
        </w:rPr>
        <w:t xml:space="preserve"> also extended to </w:t>
      </w:r>
      <w:r w:rsidRPr="00FA1502" w:rsidR="009E088D">
        <w:rPr>
          <w:rFonts w:ascii="Times New Roman" w:eastAsia="Times New Roman" w:hAnsi="Times New Roman" w:cs="Times New Roman"/>
          <w:sz w:val="24"/>
          <w:szCs w:val="24"/>
          <w:lang w:val="en-GB" w:eastAsia="cs-CZ"/>
        </w:rPr>
        <w:t>individual savings</w:t>
      </w:r>
      <w:r w:rsidRPr="00FA1502">
        <w:rPr>
          <w:rFonts w:ascii="Times New Roman" w:eastAsia="Times New Roman" w:hAnsi="Times New Roman" w:cs="Times New Roman"/>
          <w:sz w:val="24"/>
          <w:szCs w:val="24"/>
          <w:lang w:val="en-GB" w:eastAsia="cs-CZ"/>
        </w:rPr>
        <w:t xml:space="preserve"> account managers.</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 </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P</w:t>
      </w:r>
      <w:r w:rsidRPr="00FA1502">
        <w:rPr>
          <w:rFonts w:ascii="Times New Roman" w:eastAsia="Times New Roman" w:hAnsi="Times New Roman" w:cs="Times New Roman"/>
          <w:b/>
          <w:bCs/>
          <w:sz w:val="24"/>
          <w:szCs w:val="24"/>
          <w:lang w:val="en-GB" w:eastAsia="cs-CZ"/>
        </w:rPr>
        <w:t xml:space="preserve">art </w:t>
      </w:r>
      <w:r w:rsidRPr="00FA1502">
        <w:rPr>
          <w:rFonts w:ascii="Times New Roman" w:eastAsia="Times New Roman" w:hAnsi="Times New Roman" w:cs="Times New Roman"/>
          <w:b/>
          <w:bCs/>
          <w:sz w:val="24"/>
          <w:szCs w:val="24"/>
          <w:lang w:val="en-GB" w:eastAsia="cs-CZ"/>
        </w:rPr>
        <w:t>six</w:t>
      </w:r>
      <w:r w:rsidRPr="00FA1502">
        <w:rPr>
          <w:rFonts w:ascii="Times New Roman" w:eastAsia="Times New Roman" w:hAnsi="Times New Roman" w:cs="Times New Roman"/>
          <w:b/>
          <w:bCs/>
          <w:sz w:val="24"/>
          <w:szCs w:val="24"/>
          <w:lang w:val="en-GB" w:eastAsia="cs-CZ"/>
        </w:rPr>
        <w:t>, Article VII </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Amendment to the Act</w:t>
      </w:r>
      <w:r w:rsidRPr="00FA1502" w:rsidR="00E676D4">
        <w:rPr>
          <w:rFonts w:ascii="Times New Roman" w:eastAsia="Times New Roman" w:hAnsi="Times New Roman" w:cs="Times New Roman"/>
          <w:b/>
          <w:bCs/>
          <w:sz w:val="24"/>
          <w:szCs w:val="24"/>
          <w:lang w:val="en-GB" w:eastAsia="cs-CZ"/>
        </w:rPr>
        <w:t xml:space="preserve"> on Bonds</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1 [</w:t>
      </w:r>
      <w:r w:rsidRPr="00FA1502" w:rsidR="00E676D4">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6 </w:t>
      </w:r>
      <w:r w:rsidRPr="00FA1502" w:rsidR="00E676D4">
        <w:rPr>
          <w:rFonts w:ascii="Times New Roman" w:eastAsia="Times New Roman" w:hAnsi="Times New Roman" w:cs="Times New Roman"/>
          <w:b/>
          <w:bCs/>
          <w:sz w:val="24"/>
          <w:szCs w:val="24"/>
          <w:u w:val="single"/>
          <w:lang w:val="en-GB" w:eastAsia="cs-CZ"/>
        </w:rPr>
        <w:t>(1)</w:t>
      </w:r>
      <w:r w:rsidRPr="00FA1502">
        <w:rPr>
          <w:rFonts w:ascii="Times New Roman" w:eastAsia="Times New Roman" w:hAnsi="Times New Roman" w:cs="Times New Roman"/>
          <w:b/>
          <w:bCs/>
          <w:sz w:val="24"/>
          <w:szCs w:val="24"/>
          <w:u w:val="single"/>
          <w:lang w:val="en-GB" w:eastAsia="cs-CZ"/>
        </w:rPr>
        <w:t xml:space="preserve"> (g)]:</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terminology of the requisites of the bonds is specified, specifying the identification of the first acquirer who is the owner of the bond only until it is transferred by the endorsement (the change of the owner is therefore not marked on the front copy). A security is validly issued when it meets the statutory requirements and becomes the property of the first acquirer. See also Section 4 (2) of </w:t>
      </w:r>
      <w:r w:rsidRPr="00FA1502" w:rsidR="007A1872">
        <w:rPr>
          <w:rFonts w:ascii="Times New Roman" w:eastAsia="Times New Roman" w:hAnsi="Times New Roman" w:cs="Times New Roman"/>
          <w:sz w:val="24"/>
          <w:szCs w:val="24"/>
          <w:lang w:val="en-GB" w:eastAsia="cs-CZ"/>
        </w:rPr>
        <w:t>ZoDluh</w:t>
      </w:r>
      <w:r w:rsidRPr="00FA1502">
        <w:rPr>
          <w:rFonts w:ascii="Times New Roman" w:eastAsia="Times New Roman" w:hAnsi="Times New Roman" w:cs="Times New Roman"/>
          <w:sz w:val="24"/>
          <w:szCs w:val="24"/>
          <w:lang w:val="en-GB" w:eastAsia="cs-CZ"/>
        </w:rPr>
        <w:t>.</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2 (Section</w:t>
      </w:r>
      <w:r w:rsidRPr="00FA1502">
        <w:rPr>
          <w:rFonts w:ascii="Times New Roman" w:eastAsia="Times New Roman" w:hAnsi="Times New Roman" w:cs="Times New Roman"/>
          <w:b/>
          <w:bCs/>
          <w:sz w:val="24"/>
          <w:szCs w:val="24"/>
          <w:u w:val="single"/>
          <w:lang w:val="en-GB" w:eastAsia="cs-CZ"/>
        </w:rPr>
        <w:t xml:space="preserve"> 9):</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purpose of the amendments is to elimina</w:t>
      </w:r>
      <w:r w:rsidRPr="00FA1502" w:rsidR="00867A29">
        <w:rPr>
          <w:rFonts w:ascii="Times New Roman" w:eastAsia="Times New Roman" w:hAnsi="Times New Roman" w:cs="Times New Roman"/>
          <w:sz w:val="24"/>
          <w:szCs w:val="24"/>
          <w:lang w:val="en-GB" w:eastAsia="cs-CZ"/>
        </w:rPr>
        <w:t>te duplication between the issuance</w:t>
      </w:r>
      <w:r w:rsidRPr="00FA1502">
        <w:rPr>
          <w:rFonts w:ascii="Times New Roman" w:eastAsia="Times New Roman" w:hAnsi="Times New Roman" w:cs="Times New Roman"/>
          <w:sz w:val="24"/>
          <w:szCs w:val="24"/>
          <w:lang w:val="en-GB" w:eastAsia="cs-CZ"/>
        </w:rPr>
        <w:t xml:space="preserve"> conditions and the prospectus, if </w:t>
      </w:r>
      <w:r w:rsidRPr="00FA1502" w:rsidR="00331F08">
        <w:rPr>
          <w:rFonts w:ascii="Times New Roman" w:eastAsia="Times New Roman" w:hAnsi="Times New Roman" w:cs="Times New Roman"/>
          <w:sz w:val="24"/>
          <w:szCs w:val="24"/>
          <w:lang w:val="en-GB" w:eastAsia="cs-CZ"/>
        </w:rPr>
        <w:t>prepared</w:t>
      </w:r>
      <w:r w:rsidRPr="00FA1502">
        <w:rPr>
          <w:rFonts w:ascii="Times New Roman" w:eastAsia="Times New Roman" w:hAnsi="Times New Roman" w:cs="Times New Roman"/>
          <w:sz w:val="24"/>
          <w:szCs w:val="24"/>
          <w:lang w:val="en-GB" w:eastAsia="cs-CZ"/>
        </w:rPr>
        <w:t>. According to the currently valid and effe</w:t>
      </w:r>
      <w:r w:rsidRPr="00FA1502" w:rsidR="00044B72">
        <w:rPr>
          <w:rFonts w:ascii="Times New Roman" w:eastAsia="Times New Roman" w:hAnsi="Times New Roman" w:cs="Times New Roman"/>
          <w:sz w:val="24"/>
          <w:szCs w:val="24"/>
          <w:lang w:val="en-GB" w:eastAsia="cs-CZ"/>
        </w:rPr>
        <w:t>ctive legislation contained in Section</w:t>
      </w:r>
      <w:r w:rsidRPr="00FA1502">
        <w:rPr>
          <w:rFonts w:ascii="Times New Roman" w:eastAsia="Times New Roman" w:hAnsi="Times New Roman" w:cs="Times New Roman"/>
          <w:sz w:val="24"/>
          <w:szCs w:val="24"/>
          <w:lang w:val="en-GB" w:eastAsia="cs-CZ"/>
        </w:rPr>
        <w:t xml:space="preserve"> 9 of </w:t>
      </w:r>
      <w:r w:rsidRPr="00FA1502" w:rsidR="00044B72">
        <w:rPr>
          <w:rFonts w:ascii="Times New Roman" w:eastAsia="Times New Roman" w:hAnsi="Times New Roman" w:cs="Times New Roman"/>
          <w:sz w:val="24"/>
          <w:szCs w:val="24"/>
          <w:lang w:val="en-GB" w:eastAsia="cs-CZ"/>
        </w:rPr>
        <w:t>ZoDluh</w:t>
      </w:r>
      <w:r w:rsidRPr="00FA1502" w:rsidR="00044B72">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the </w:t>
      </w:r>
      <w:r w:rsidRPr="00FA1502" w:rsidR="00867A29">
        <w:rPr>
          <w:rFonts w:ascii="Times New Roman" w:eastAsia="Times New Roman" w:hAnsi="Times New Roman" w:cs="Times New Roman"/>
          <w:sz w:val="24"/>
          <w:szCs w:val="24"/>
          <w:lang w:val="en-GB" w:eastAsia="cs-CZ"/>
        </w:rPr>
        <w:t xml:space="preserve">issuance conditions </w:t>
      </w:r>
      <w:r w:rsidRPr="00FA1502">
        <w:rPr>
          <w:rFonts w:ascii="Times New Roman" w:eastAsia="Times New Roman" w:hAnsi="Times New Roman" w:cs="Times New Roman"/>
          <w:sz w:val="24"/>
          <w:szCs w:val="24"/>
          <w:lang w:val="en-GB" w:eastAsia="cs-CZ"/>
        </w:rPr>
        <w:t xml:space="preserve">always contain at least a reference to the information contained in the prospectus. Thus, where a prospectus is </w:t>
      </w:r>
      <w:r w:rsidRPr="00FA1502" w:rsidR="00044B72">
        <w:rPr>
          <w:rFonts w:ascii="Times New Roman" w:eastAsia="Times New Roman" w:hAnsi="Times New Roman" w:cs="Times New Roman"/>
          <w:sz w:val="24"/>
          <w:szCs w:val="24"/>
          <w:lang w:val="en-GB" w:eastAsia="cs-CZ"/>
        </w:rPr>
        <w:t>prepared</w:t>
      </w:r>
      <w:r w:rsidRPr="00FA1502">
        <w:rPr>
          <w:rFonts w:ascii="Times New Roman" w:eastAsia="Times New Roman" w:hAnsi="Times New Roman" w:cs="Times New Roman"/>
          <w:sz w:val="24"/>
          <w:szCs w:val="24"/>
          <w:lang w:val="en-GB" w:eastAsia="cs-CZ"/>
        </w:rPr>
        <w:t xml:space="preserve">, the relevant information is either duplicated in both the </w:t>
      </w:r>
      <w:r w:rsidRPr="00FA1502" w:rsidR="00867A29">
        <w:rPr>
          <w:rFonts w:ascii="Times New Roman" w:eastAsia="Times New Roman" w:hAnsi="Times New Roman" w:cs="Times New Roman"/>
          <w:sz w:val="24"/>
          <w:szCs w:val="24"/>
          <w:lang w:val="en-GB" w:eastAsia="cs-CZ"/>
        </w:rPr>
        <w:t xml:space="preserve">issuance conditions </w:t>
      </w:r>
      <w:r w:rsidRPr="00FA1502" w:rsidR="004760B0">
        <w:rPr>
          <w:rFonts w:ascii="Times New Roman" w:eastAsia="Times New Roman" w:hAnsi="Times New Roman" w:cs="Times New Roman"/>
          <w:sz w:val="24"/>
          <w:szCs w:val="24"/>
          <w:lang w:val="en-GB" w:eastAsia="cs-CZ"/>
        </w:rPr>
        <w:t>and the prospectus</w:t>
      </w:r>
      <w:r w:rsidRPr="00FA1502">
        <w:rPr>
          <w:rFonts w:ascii="Times New Roman" w:eastAsia="Times New Roman" w:hAnsi="Times New Roman" w:cs="Times New Roman"/>
          <w:sz w:val="24"/>
          <w:szCs w:val="24"/>
          <w:lang w:val="en-GB" w:eastAsia="cs-CZ"/>
        </w:rPr>
        <w:t xml:space="preserve">, or the </w:t>
      </w:r>
      <w:r w:rsidRPr="00FA1502" w:rsidR="00867A29">
        <w:rPr>
          <w:rFonts w:ascii="Times New Roman" w:eastAsia="Times New Roman" w:hAnsi="Times New Roman" w:cs="Times New Roman"/>
          <w:sz w:val="24"/>
          <w:szCs w:val="24"/>
          <w:lang w:val="en-GB" w:eastAsia="cs-CZ"/>
        </w:rPr>
        <w:t xml:space="preserve">issuance conditions </w:t>
      </w:r>
      <w:r w:rsidRPr="00FA1502">
        <w:rPr>
          <w:rFonts w:ascii="Times New Roman" w:eastAsia="Times New Roman" w:hAnsi="Times New Roman" w:cs="Times New Roman"/>
          <w:sz w:val="24"/>
          <w:szCs w:val="24"/>
          <w:lang w:val="en-GB" w:eastAsia="cs-CZ"/>
        </w:rPr>
        <w:t xml:space="preserve">merely refer to the information contained in the prospectus. In our opinion, this does not provide the investor with any extra comfort or protection and unnecessarily </w:t>
      </w:r>
      <w:r w:rsidRPr="00FA1502">
        <w:rPr>
          <w:rFonts w:ascii="Times New Roman" w:eastAsia="Times New Roman" w:hAnsi="Times New Roman" w:cs="Times New Roman"/>
          <w:sz w:val="24"/>
          <w:szCs w:val="24"/>
          <w:lang w:val="en-GB" w:eastAsia="cs-CZ"/>
        </w:rPr>
        <w:t xml:space="preserve">burdens the </w:t>
      </w:r>
      <w:r w:rsidRPr="00FA1502" w:rsidR="00867A29">
        <w:rPr>
          <w:rFonts w:ascii="Times New Roman" w:eastAsia="Times New Roman" w:hAnsi="Times New Roman" w:cs="Times New Roman"/>
          <w:sz w:val="24"/>
          <w:szCs w:val="24"/>
          <w:lang w:val="en-GB" w:eastAsia="cs-CZ"/>
        </w:rPr>
        <w:t xml:space="preserve">issuance conditions </w:t>
      </w:r>
      <w:r w:rsidRPr="00FA1502">
        <w:rPr>
          <w:rFonts w:ascii="Times New Roman" w:eastAsia="Times New Roman" w:hAnsi="Times New Roman" w:cs="Times New Roman"/>
          <w:sz w:val="24"/>
          <w:szCs w:val="24"/>
          <w:lang w:val="en-GB" w:eastAsia="cs-CZ"/>
        </w:rPr>
        <w:t xml:space="preserve">with the information already included in the prospectus. The proposed text </w:t>
      </w:r>
      <w:r w:rsidRPr="00FA1502" w:rsidR="004760B0">
        <w:rPr>
          <w:rFonts w:ascii="Times New Roman" w:eastAsia="Times New Roman" w:hAnsi="Times New Roman" w:cs="Times New Roman"/>
          <w:sz w:val="24"/>
          <w:szCs w:val="24"/>
          <w:lang w:val="en-GB" w:eastAsia="cs-CZ"/>
        </w:rPr>
        <w:t>contains an obligation t</w:t>
      </w:r>
      <w:r w:rsidRPr="00FA1502">
        <w:rPr>
          <w:rFonts w:ascii="Times New Roman" w:eastAsia="Times New Roman" w:hAnsi="Times New Roman" w:cs="Times New Roman"/>
          <w:sz w:val="24"/>
          <w:szCs w:val="24"/>
          <w:lang w:val="en-GB" w:eastAsia="cs-CZ"/>
        </w:rPr>
        <w:t xml:space="preserve">o refer </w:t>
      </w:r>
      <w:r w:rsidRPr="00FA1502" w:rsidR="004760B0">
        <w:rPr>
          <w:rFonts w:ascii="Times New Roman" w:eastAsia="Times New Roman" w:hAnsi="Times New Roman" w:cs="Times New Roman"/>
          <w:sz w:val="24"/>
          <w:szCs w:val="24"/>
          <w:lang w:val="en-GB" w:eastAsia="cs-CZ"/>
        </w:rPr>
        <w:t xml:space="preserve">in the </w:t>
      </w:r>
      <w:r w:rsidRPr="00FA1502" w:rsidR="00867A29">
        <w:rPr>
          <w:rFonts w:ascii="Times New Roman" w:eastAsia="Times New Roman" w:hAnsi="Times New Roman" w:cs="Times New Roman"/>
          <w:sz w:val="24"/>
          <w:szCs w:val="24"/>
          <w:lang w:val="en-GB" w:eastAsia="cs-CZ"/>
        </w:rPr>
        <w:t xml:space="preserve">issuance conditions </w:t>
      </w:r>
      <w:r w:rsidRPr="00FA1502" w:rsidR="004760B0">
        <w:rPr>
          <w:rFonts w:ascii="Times New Roman" w:eastAsia="Times New Roman" w:hAnsi="Times New Roman" w:cs="Times New Roman"/>
          <w:sz w:val="24"/>
          <w:szCs w:val="24"/>
          <w:lang w:val="en-GB" w:eastAsia="cs-CZ"/>
        </w:rPr>
        <w:t xml:space="preserve">to the information contained in the prospectus only with respect to the </w:t>
      </w:r>
      <w:r w:rsidRPr="00FA1502">
        <w:rPr>
          <w:rFonts w:ascii="Times New Roman" w:eastAsia="Times New Roman" w:hAnsi="Times New Roman" w:cs="Times New Roman"/>
          <w:sz w:val="24"/>
          <w:szCs w:val="24"/>
          <w:lang w:val="en-GB" w:eastAsia="cs-CZ"/>
        </w:rPr>
        <w:t xml:space="preserve">most essential information </w:t>
      </w:r>
      <w:r w:rsidRPr="00FA1502" w:rsidR="00BF557D">
        <w:rPr>
          <w:rFonts w:ascii="Times New Roman" w:eastAsia="Times New Roman" w:hAnsi="Times New Roman" w:cs="Times New Roman"/>
          <w:sz w:val="24"/>
          <w:szCs w:val="24"/>
          <w:lang w:val="en-GB" w:eastAsia="cs-CZ"/>
        </w:rPr>
        <w:t>in case of</w:t>
      </w:r>
      <w:r w:rsidRPr="00FA1502">
        <w:rPr>
          <w:rFonts w:ascii="Times New Roman" w:eastAsia="Times New Roman" w:hAnsi="Times New Roman" w:cs="Times New Roman"/>
          <w:sz w:val="24"/>
          <w:szCs w:val="24"/>
          <w:lang w:val="en-GB" w:eastAsia="cs-CZ"/>
        </w:rPr>
        <w:t xml:space="preserve"> which this duplication does not represent a serious problem (</w:t>
      </w:r>
      <w:r w:rsidRPr="00FA1502" w:rsidR="00BF557D">
        <w:rPr>
          <w:rFonts w:ascii="Times New Roman" w:eastAsia="Times New Roman" w:hAnsi="Times New Roman" w:cs="Times New Roman"/>
          <w:sz w:val="24"/>
          <w:szCs w:val="24"/>
          <w:lang w:val="en-GB" w:eastAsia="cs-CZ"/>
        </w:rPr>
        <w:t>p</w:t>
      </w:r>
      <w:r w:rsidRPr="00FA1502">
        <w:rPr>
          <w:rFonts w:ascii="Times New Roman" w:eastAsia="Times New Roman" w:hAnsi="Times New Roman" w:cs="Times New Roman"/>
          <w:sz w:val="24"/>
          <w:szCs w:val="24"/>
          <w:lang w:val="en-GB" w:eastAsia="cs-CZ"/>
        </w:rPr>
        <w:t xml:space="preserve">aragraph 1) or information that is relevant to each of the specific cases provided for in </w:t>
      </w:r>
      <w:r w:rsidRPr="00FA1502">
        <w:rPr>
          <w:rFonts w:ascii="Times New Roman" w:eastAsia="Times New Roman" w:hAnsi="Times New Roman" w:cs="Times New Roman"/>
          <w:sz w:val="24"/>
          <w:szCs w:val="24"/>
          <w:lang w:val="en-GB" w:eastAsia="cs-CZ"/>
        </w:rPr>
        <w:t>ZoDluh</w:t>
      </w:r>
      <w:r w:rsidRPr="00FA1502">
        <w:rPr>
          <w:rFonts w:ascii="Times New Roman" w:eastAsia="Times New Roman" w:hAnsi="Times New Roman" w:cs="Times New Roman"/>
          <w:sz w:val="24"/>
          <w:szCs w:val="24"/>
          <w:lang w:val="en-GB" w:eastAsia="cs-CZ"/>
        </w:rPr>
        <w:t xml:space="preserve"> or different types </w:t>
      </w:r>
      <w:r w:rsidRPr="00FA1502" w:rsidR="00BF557D">
        <w:rPr>
          <w:rFonts w:ascii="Times New Roman" w:eastAsia="Times New Roman" w:hAnsi="Times New Roman" w:cs="Times New Roman"/>
          <w:sz w:val="24"/>
          <w:szCs w:val="24"/>
          <w:lang w:val="en-GB" w:eastAsia="cs-CZ"/>
        </w:rPr>
        <w:t xml:space="preserve">of </w:t>
      </w:r>
      <w:r w:rsidRPr="00FA1502">
        <w:rPr>
          <w:rFonts w:ascii="Times New Roman" w:eastAsia="Times New Roman" w:hAnsi="Times New Roman" w:cs="Times New Roman"/>
          <w:sz w:val="24"/>
          <w:szCs w:val="24"/>
          <w:lang w:val="en-GB" w:eastAsia="cs-CZ"/>
        </w:rPr>
        <w:t>bonds (par</w:t>
      </w:r>
      <w:r w:rsidRPr="00FA1502" w:rsidR="00BF557D">
        <w:rPr>
          <w:rFonts w:ascii="Times New Roman" w:eastAsia="Times New Roman" w:hAnsi="Times New Roman" w:cs="Times New Roman"/>
          <w:sz w:val="24"/>
          <w:szCs w:val="24"/>
          <w:lang w:val="en-GB" w:eastAsia="cs-CZ"/>
        </w:rPr>
        <w:t>agraph</w:t>
      </w:r>
      <w:r w:rsidRPr="00FA1502">
        <w:rPr>
          <w:rFonts w:ascii="Times New Roman" w:eastAsia="Times New Roman" w:hAnsi="Times New Roman" w:cs="Times New Roman"/>
          <w:sz w:val="24"/>
          <w:szCs w:val="24"/>
          <w:lang w:val="en-GB" w:eastAsia="cs-CZ"/>
        </w:rPr>
        <w:t xml:space="preserve"> 3). In other cases, an obligation to refer </w:t>
      </w:r>
      <w:r w:rsidRPr="00FA1502" w:rsidR="00867A29">
        <w:rPr>
          <w:rFonts w:ascii="Times New Roman" w:eastAsia="Times New Roman" w:hAnsi="Times New Roman" w:cs="Times New Roman"/>
          <w:sz w:val="24"/>
          <w:szCs w:val="24"/>
          <w:lang w:val="en-GB" w:eastAsia="cs-CZ"/>
        </w:rPr>
        <w:t xml:space="preserve">to </w:t>
      </w:r>
      <w:r w:rsidRPr="00FA1502">
        <w:rPr>
          <w:rFonts w:ascii="Times New Roman" w:eastAsia="Times New Roman" w:hAnsi="Times New Roman" w:cs="Times New Roman"/>
          <w:sz w:val="24"/>
          <w:szCs w:val="24"/>
          <w:lang w:val="en-GB" w:eastAsia="cs-CZ"/>
        </w:rPr>
        <w:t xml:space="preserve">the </w:t>
      </w:r>
      <w:r w:rsidRPr="00FA1502" w:rsidR="00867A29">
        <w:rPr>
          <w:rFonts w:ascii="Times New Roman" w:eastAsia="Times New Roman" w:hAnsi="Times New Roman" w:cs="Times New Roman"/>
          <w:sz w:val="24"/>
          <w:szCs w:val="24"/>
          <w:lang w:val="en-GB" w:eastAsia="cs-CZ"/>
        </w:rPr>
        <w:t xml:space="preserve">issuance conditions </w:t>
      </w:r>
      <w:r w:rsidRPr="00FA1502">
        <w:rPr>
          <w:rFonts w:ascii="Times New Roman" w:eastAsia="Times New Roman" w:hAnsi="Times New Roman" w:cs="Times New Roman"/>
          <w:sz w:val="24"/>
          <w:szCs w:val="24"/>
          <w:lang w:val="en-GB" w:eastAsia="cs-CZ"/>
        </w:rPr>
        <w:t xml:space="preserve">of the information provided in the prospectus </w:t>
      </w:r>
      <w:r w:rsidRPr="00FA1502" w:rsidR="00867A29">
        <w:rPr>
          <w:rFonts w:ascii="Times New Roman" w:eastAsia="Times New Roman" w:hAnsi="Times New Roman" w:cs="Times New Roman"/>
          <w:sz w:val="24"/>
          <w:szCs w:val="24"/>
          <w:lang w:val="en-GB" w:eastAsia="cs-CZ"/>
        </w:rPr>
        <w:t xml:space="preserve">is proposed to be omitted and such </w:t>
      </w:r>
      <w:r w:rsidRPr="00FA1502">
        <w:rPr>
          <w:rFonts w:ascii="Times New Roman" w:eastAsia="Times New Roman" w:hAnsi="Times New Roman" w:cs="Times New Roman"/>
          <w:sz w:val="24"/>
          <w:szCs w:val="24"/>
          <w:lang w:val="en-GB" w:eastAsia="cs-CZ"/>
        </w:rPr>
        <w:t xml:space="preserve">information should be </w:t>
      </w:r>
      <w:r w:rsidRPr="00FA1502" w:rsidR="00867A29">
        <w:rPr>
          <w:rFonts w:ascii="Times New Roman" w:eastAsia="Times New Roman" w:hAnsi="Times New Roman" w:cs="Times New Roman"/>
          <w:sz w:val="24"/>
          <w:szCs w:val="24"/>
          <w:lang w:val="en-GB" w:eastAsia="cs-CZ"/>
        </w:rPr>
        <w:t>contained in the issuance conditions o</w:t>
      </w:r>
      <w:r w:rsidRPr="00FA1502">
        <w:rPr>
          <w:rFonts w:ascii="Times New Roman" w:eastAsia="Times New Roman" w:hAnsi="Times New Roman" w:cs="Times New Roman"/>
          <w:sz w:val="24"/>
          <w:szCs w:val="24"/>
          <w:lang w:val="en-GB" w:eastAsia="cs-CZ"/>
        </w:rPr>
        <w:t xml:space="preserve">nly in the event that the issuer does not </w:t>
      </w:r>
      <w:r w:rsidRPr="00FA1502" w:rsidR="00867A29">
        <w:rPr>
          <w:rFonts w:ascii="Times New Roman" w:eastAsia="Times New Roman" w:hAnsi="Times New Roman" w:cs="Times New Roman"/>
          <w:sz w:val="24"/>
          <w:szCs w:val="24"/>
          <w:lang w:val="en-GB" w:eastAsia="cs-CZ"/>
        </w:rPr>
        <w:t xml:space="preserve">prepare </w:t>
      </w:r>
      <w:r w:rsidRPr="00FA1502">
        <w:rPr>
          <w:rFonts w:ascii="Times New Roman" w:eastAsia="Times New Roman" w:hAnsi="Times New Roman" w:cs="Times New Roman"/>
          <w:sz w:val="24"/>
          <w:szCs w:val="24"/>
          <w:lang w:val="en-GB" w:eastAsia="cs-CZ"/>
        </w:rPr>
        <w:t xml:space="preserve">and </w:t>
      </w:r>
      <w:r w:rsidRPr="00FA1502" w:rsidR="00867A29">
        <w:rPr>
          <w:rFonts w:ascii="Times New Roman" w:eastAsia="Times New Roman" w:hAnsi="Times New Roman" w:cs="Times New Roman"/>
          <w:sz w:val="24"/>
          <w:szCs w:val="24"/>
          <w:lang w:val="en-GB" w:eastAsia="cs-CZ"/>
        </w:rPr>
        <w:t xml:space="preserve">publish a prospectus (paragraphs </w:t>
      </w:r>
      <w:r w:rsidRPr="00FA1502">
        <w:rPr>
          <w:rFonts w:ascii="Times New Roman" w:eastAsia="Times New Roman" w:hAnsi="Times New Roman" w:cs="Times New Roman"/>
          <w:sz w:val="24"/>
          <w:szCs w:val="24"/>
          <w:lang w:val="en-GB" w:eastAsia="cs-CZ"/>
        </w:rPr>
        <w:t xml:space="preserve">2 and 4). The </w:t>
      </w:r>
      <w:r w:rsidRPr="00FA1502" w:rsidR="00BC3C28">
        <w:rPr>
          <w:rFonts w:ascii="Times New Roman" w:eastAsia="Times New Roman" w:hAnsi="Times New Roman" w:cs="Times New Roman"/>
          <w:sz w:val="24"/>
          <w:szCs w:val="24"/>
          <w:lang w:val="en-GB" w:eastAsia="cs-CZ"/>
        </w:rPr>
        <w:t>extent</w:t>
      </w:r>
      <w:r w:rsidRPr="00FA1502">
        <w:rPr>
          <w:rFonts w:ascii="Times New Roman" w:eastAsia="Times New Roman" w:hAnsi="Times New Roman" w:cs="Times New Roman"/>
          <w:sz w:val="24"/>
          <w:szCs w:val="24"/>
          <w:lang w:val="en-GB" w:eastAsia="cs-CZ"/>
        </w:rPr>
        <w:t xml:space="preserve"> and form of the information in the prospectus </w:t>
      </w:r>
      <w:r w:rsidRPr="00FA1502" w:rsidR="00BC3C28">
        <w:rPr>
          <w:rFonts w:ascii="Times New Roman" w:eastAsia="Times New Roman" w:hAnsi="Times New Roman" w:cs="Times New Roman"/>
          <w:sz w:val="24"/>
          <w:szCs w:val="24"/>
          <w:lang w:val="en-GB" w:eastAsia="cs-CZ"/>
        </w:rPr>
        <w:t>is</w:t>
      </w:r>
      <w:r w:rsidRPr="00FA1502">
        <w:rPr>
          <w:rFonts w:ascii="Times New Roman" w:eastAsia="Times New Roman" w:hAnsi="Times New Roman" w:cs="Times New Roman"/>
          <w:sz w:val="24"/>
          <w:szCs w:val="24"/>
          <w:lang w:val="en-GB" w:eastAsia="cs-CZ"/>
        </w:rPr>
        <w:t xml:space="preserve"> governed by EU regulations.</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w:t>
      </w:r>
      <w:r w:rsidRPr="00FA1502">
        <w:rPr>
          <w:rFonts w:ascii="Times New Roman" w:eastAsia="Times New Roman" w:hAnsi="Times New Roman" w:cs="Times New Roman"/>
          <w:b/>
          <w:bCs/>
          <w:sz w:val="24"/>
          <w:szCs w:val="24"/>
          <w:u w:val="single"/>
          <w:lang w:val="en-GB" w:eastAsia="cs-CZ"/>
        </w:rPr>
        <w:t xml:space="preserve"> point 3 (new </w:t>
      </w:r>
      <w:r w:rsidRPr="00FA1502">
        <w:rPr>
          <w:rFonts w:ascii="Times New Roman" w:eastAsia="Times New Roman" w:hAnsi="Times New Roman" w:cs="Times New Roman"/>
          <w:b/>
          <w:bCs/>
          <w:sz w:val="24"/>
          <w:szCs w:val="24"/>
          <w:u w:val="single"/>
          <w:lang w:val="en-GB" w:eastAsia="cs-CZ"/>
        </w:rPr>
        <w:t>Section 9</w:t>
      </w:r>
      <w:r w:rsidRPr="00FA1502">
        <w:rPr>
          <w:rFonts w:ascii="Times New Roman" w:eastAsia="Times New Roman" w:hAnsi="Times New Roman" w:cs="Times New Roman"/>
          <w:b/>
          <w:bCs/>
          <w:sz w:val="24"/>
          <w:szCs w:val="24"/>
          <w:u w:val="single"/>
          <w:lang w:val="en-GB" w:eastAsia="cs-CZ"/>
        </w:rPr>
        <w:t>a)</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Re paragraph 1:</w:t>
      </w:r>
      <w:r w:rsidRPr="00FA1502">
        <w:rPr>
          <w:rFonts w:ascii="Times New Roman" w:eastAsia="Times New Roman" w:hAnsi="Times New Roman" w:cs="Times New Roman"/>
          <w:sz w:val="24"/>
          <w:szCs w:val="24"/>
          <w:lang w:val="en-GB" w:eastAsia="cs-CZ"/>
        </w:rPr>
        <w:t xml:space="preserve"> I</w:t>
      </w:r>
      <w:r w:rsidRPr="00FA1502" w:rsidR="00A77B98">
        <w:rPr>
          <w:rFonts w:ascii="Times New Roman" w:eastAsia="Times New Roman" w:hAnsi="Times New Roman" w:cs="Times New Roman"/>
          <w:sz w:val="24"/>
          <w:szCs w:val="24"/>
          <w:lang w:val="en-GB" w:eastAsia="cs-CZ"/>
        </w:rPr>
        <w:t>f</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 xml:space="preserve">a bond </w:t>
      </w:r>
      <w:r w:rsidRPr="00FA1502">
        <w:rPr>
          <w:rFonts w:ascii="Times New Roman" w:eastAsia="Times New Roman" w:hAnsi="Times New Roman" w:cs="Times New Roman"/>
          <w:sz w:val="24"/>
          <w:szCs w:val="24"/>
          <w:lang w:val="en-GB" w:eastAsia="cs-CZ"/>
        </w:rPr>
        <w:t xml:space="preserve">is </w:t>
      </w:r>
      <w:r w:rsidRPr="00FA1502">
        <w:rPr>
          <w:rFonts w:ascii="Times New Roman" w:eastAsia="Times New Roman" w:hAnsi="Times New Roman" w:cs="Times New Roman"/>
          <w:sz w:val="24"/>
          <w:szCs w:val="24"/>
          <w:lang w:val="en-GB" w:eastAsia="cs-CZ"/>
        </w:rPr>
        <w:t>p</w:t>
      </w:r>
      <w:r w:rsidRPr="00FA1502">
        <w:rPr>
          <w:rFonts w:ascii="Times New Roman" w:eastAsia="Times New Roman" w:hAnsi="Times New Roman" w:cs="Times New Roman"/>
          <w:sz w:val="24"/>
          <w:szCs w:val="24"/>
          <w:lang w:val="en-GB" w:eastAsia="cs-CZ"/>
        </w:rPr>
        <w:t>ublicly offered</w:t>
      </w:r>
      <w:r w:rsidRPr="00FA1502" w:rsidR="00A77B98">
        <w:rPr>
          <w:rFonts w:ascii="Times New Roman" w:eastAsia="Times New Roman" w:hAnsi="Times New Roman" w:cs="Times New Roman"/>
          <w:sz w:val="24"/>
          <w:szCs w:val="24"/>
          <w:lang w:val="en-GB" w:eastAsia="cs-CZ"/>
        </w:rPr>
        <w:t xml:space="preserve"> and</w:t>
      </w:r>
      <w:r w:rsidRPr="00FA1502">
        <w:rPr>
          <w:rFonts w:ascii="Times New Roman" w:eastAsia="Times New Roman" w:hAnsi="Times New Roman" w:cs="Times New Roman"/>
          <w:sz w:val="24"/>
          <w:szCs w:val="24"/>
          <w:lang w:val="en-GB" w:eastAsia="cs-CZ"/>
        </w:rPr>
        <w:t xml:space="preserve"> if </w:t>
      </w:r>
      <w:r w:rsidRPr="00FA1502">
        <w:rPr>
          <w:rFonts w:ascii="Times New Roman" w:eastAsia="Times New Roman" w:hAnsi="Times New Roman" w:cs="Times New Roman"/>
          <w:sz w:val="24"/>
          <w:szCs w:val="24"/>
          <w:lang w:val="en-GB" w:eastAsia="cs-CZ"/>
        </w:rPr>
        <w:t xml:space="preserve">prospectus is </w:t>
      </w:r>
      <w:r w:rsidRPr="00FA1502">
        <w:rPr>
          <w:rFonts w:ascii="Times New Roman" w:eastAsia="Times New Roman" w:hAnsi="Times New Roman" w:cs="Times New Roman"/>
          <w:sz w:val="24"/>
          <w:szCs w:val="24"/>
          <w:lang w:val="en-GB" w:eastAsia="cs-CZ"/>
        </w:rPr>
        <w:t xml:space="preserve">not </w:t>
      </w:r>
      <w:r w:rsidRPr="00FA1502">
        <w:rPr>
          <w:rFonts w:ascii="Times New Roman" w:eastAsia="Times New Roman" w:hAnsi="Times New Roman" w:cs="Times New Roman"/>
          <w:sz w:val="24"/>
          <w:szCs w:val="24"/>
          <w:lang w:val="en-GB" w:eastAsia="cs-CZ"/>
        </w:rPr>
        <w:t xml:space="preserve">published until the </w:t>
      </w:r>
      <w:r w:rsidRPr="00FA1502">
        <w:rPr>
          <w:rFonts w:ascii="Times New Roman" w:eastAsia="Times New Roman" w:hAnsi="Times New Roman" w:cs="Times New Roman"/>
          <w:sz w:val="24"/>
          <w:szCs w:val="24"/>
          <w:lang w:val="en-GB" w:eastAsia="cs-CZ"/>
        </w:rPr>
        <w:t xml:space="preserve">date of the issue </w:t>
      </w:r>
      <w:r w:rsidRPr="00FA1502">
        <w:rPr>
          <w:rFonts w:ascii="Times New Roman" w:eastAsia="Times New Roman" w:hAnsi="Times New Roman" w:cs="Times New Roman"/>
          <w:sz w:val="24"/>
          <w:szCs w:val="24"/>
          <w:lang w:val="en-GB" w:eastAsia="cs-CZ"/>
        </w:rPr>
        <w:t>a</w:t>
      </w:r>
      <w:r w:rsidRPr="00FA1502">
        <w:rPr>
          <w:rFonts w:ascii="Times New Roman" w:eastAsia="Times New Roman" w:hAnsi="Times New Roman" w:cs="Times New Roman"/>
          <w:sz w:val="24"/>
          <w:szCs w:val="24"/>
          <w:lang w:val="en-GB" w:eastAsia="cs-CZ"/>
        </w:rPr>
        <w:t xml:space="preserve">nd if it is </w:t>
      </w:r>
      <w:r w:rsidRPr="00FA1502" w:rsidR="00A77B98">
        <w:rPr>
          <w:rFonts w:ascii="Times New Roman" w:eastAsia="Times New Roman" w:hAnsi="Times New Roman" w:cs="Times New Roman"/>
          <w:sz w:val="24"/>
          <w:szCs w:val="24"/>
          <w:lang w:val="en-GB" w:eastAsia="cs-CZ"/>
        </w:rPr>
        <w:t>so-called below-the-limit issue,</w:t>
      </w:r>
      <w:r w:rsidRPr="00FA1502">
        <w:rPr>
          <w:rFonts w:ascii="Times New Roman" w:eastAsia="Times New Roman" w:hAnsi="Times New Roman" w:cs="Times New Roman"/>
          <w:sz w:val="24"/>
          <w:szCs w:val="24"/>
          <w:lang w:val="en-GB" w:eastAsia="cs-CZ"/>
        </w:rPr>
        <w:t xml:space="preserve"> </w:t>
      </w:r>
      <w:r w:rsidRPr="00FA1502" w:rsidR="00A77B98">
        <w:rPr>
          <w:rFonts w:ascii="Times New Roman" w:eastAsia="Times New Roman" w:hAnsi="Times New Roman" w:cs="Times New Roman"/>
          <w:sz w:val="24"/>
          <w:szCs w:val="24"/>
          <w:lang w:val="en-GB" w:eastAsia="cs-CZ"/>
        </w:rPr>
        <w:t>the issuance conditions must also contain other requirements</w:t>
      </w:r>
      <w:r w:rsidRPr="00FA1502">
        <w:rPr>
          <w:rFonts w:ascii="Times New Roman" w:eastAsia="Times New Roman" w:hAnsi="Times New Roman" w:cs="Times New Roman"/>
          <w:sz w:val="24"/>
          <w:szCs w:val="24"/>
          <w:lang w:val="en-GB" w:eastAsia="cs-CZ"/>
        </w:rPr>
        <w:t xml:space="preserve">. </w:t>
      </w:r>
      <w:r w:rsidRPr="00FA1502" w:rsidR="000E1122">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9</w:t>
      </w:r>
      <w:r w:rsidRPr="00FA1502" w:rsidR="000E1122">
        <w:rPr>
          <w:rFonts w:ascii="Times New Roman" w:eastAsia="Times New Roman" w:hAnsi="Times New Roman" w:cs="Times New Roman"/>
          <w:sz w:val="24"/>
          <w:szCs w:val="24"/>
          <w:lang w:val="en-GB" w:eastAsia="cs-CZ"/>
        </w:rPr>
        <w:t>a</w:t>
      </w:r>
      <w:r w:rsidRPr="00FA1502">
        <w:rPr>
          <w:rFonts w:ascii="Times New Roman" w:eastAsia="Times New Roman" w:hAnsi="Times New Roman" w:cs="Times New Roman"/>
          <w:sz w:val="24"/>
          <w:szCs w:val="24"/>
          <w:lang w:val="en-GB" w:eastAsia="cs-CZ"/>
        </w:rPr>
        <w:t xml:space="preserve"> </w:t>
      </w:r>
      <w:r w:rsidRPr="00FA1502" w:rsidR="000E1122">
        <w:rPr>
          <w:rFonts w:ascii="Times New Roman" w:eastAsia="Times New Roman" w:hAnsi="Times New Roman" w:cs="Times New Roman"/>
          <w:sz w:val="24"/>
          <w:szCs w:val="24"/>
          <w:lang w:val="en-GB" w:eastAsia="cs-CZ"/>
        </w:rPr>
        <w:t xml:space="preserve">of </w:t>
      </w:r>
      <w:r w:rsidRPr="00FA1502">
        <w:rPr>
          <w:rFonts w:ascii="Times New Roman" w:eastAsia="Times New Roman" w:hAnsi="Times New Roman" w:cs="Times New Roman"/>
          <w:sz w:val="24"/>
          <w:szCs w:val="24"/>
          <w:lang w:val="en-GB" w:eastAsia="cs-CZ"/>
        </w:rPr>
        <w:t>ZoDluh</w:t>
      </w:r>
      <w:r w:rsidRPr="00FA1502">
        <w:rPr>
          <w:rFonts w:ascii="Times New Roman" w:eastAsia="Times New Roman" w:hAnsi="Times New Roman" w:cs="Times New Roman"/>
          <w:sz w:val="24"/>
          <w:szCs w:val="24"/>
          <w:lang w:val="en-GB" w:eastAsia="cs-CZ"/>
        </w:rPr>
        <w:t xml:space="preserve"> is proposed also with regard to the so-called</w:t>
      </w:r>
      <w:r w:rsidRPr="00FA1502" w:rsidR="000E1122">
        <w:rPr>
          <w:rFonts w:ascii="Times New Roman" w:eastAsia="Times New Roman" w:hAnsi="Times New Roman" w:cs="Times New Roman"/>
          <w:sz w:val="24"/>
          <w:szCs w:val="24"/>
          <w:lang w:val="en-GB" w:eastAsia="cs-CZ"/>
        </w:rPr>
        <w:t xml:space="preserve"> Corporate Bond Scorecard</w:t>
      </w:r>
      <w:r w:rsidRPr="00FA1502">
        <w:rPr>
          <w:rFonts w:ascii="Times New Roman" w:eastAsia="Times New Roman" w:hAnsi="Times New Roman" w:cs="Times New Roman"/>
          <w:sz w:val="24"/>
          <w:szCs w:val="24"/>
          <w:lang w:val="en-GB" w:eastAsia="cs-CZ"/>
        </w:rPr>
        <w:t xml:space="preserve">, </w:t>
      </w:r>
      <w:r w:rsidRPr="00FA1502" w:rsidR="000E1122">
        <w:rPr>
          <w:rFonts w:ascii="Times New Roman" w:eastAsia="Times New Roman" w:hAnsi="Times New Roman" w:cs="Times New Roman"/>
          <w:sz w:val="24"/>
          <w:szCs w:val="24"/>
          <w:lang w:val="en-GB" w:eastAsia="cs-CZ"/>
        </w:rPr>
        <w:t>the aim of which i</w:t>
      </w:r>
      <w:r w:rsidRPr="00FA1502">
        <w:rPr>
          <w:rFonts w:ascii="Times New Roman" w:eastAsia="Times New Roman" w:hAnsi="Times New Roman" w:cs="Times New Roman"/>
          <w:sz w:val="24"/>
          <w:szCs w:val="24"/>
          <w:lang w:val="en-GB" w:eastAsia="cs-CZ"/>
        </w:rPr>
        <w:t xml:space="preserve">s to provide retail investors who </w:t>
      </w:r>
      <w:r w:rsidRPr="00FA1502" w:rsidR="000E1122">
        <w:rPr>
          <w:rFonts w:ascii="Times New Roman" w:eastAsia="Times New Roman" w:hAnsi="Times New Roman" w:cs="Times New Roman"/>
          <w:sz w:val="24"/>
          <w:szCs w:val="24"/>
          <w:lang w:val="en-GB" w:eastAsia="cs-CZ"/>
        </w:rPr>
        <w:t xml:space="preserve">do not have experience </w:t>
      </w:r>
      <w:r w:rsidRPr="00FA1502">
        <w:rPr>
          <w:rFonts w:ascii="Times New Roman" w:eastAsia="Times New Roman" w:hAnsi="Times New Roman" w:cs="Times New Roman"/>
          <w:sz w:val="24"/>
          <w:szCs w:val="24"/>
          <w:lang w:val="en-GB" w:eastAsia="cs-CZ"/>
        </w:rPr>
        <w:t>wi</w:t>
      </w:r>
      <w:r w:rsidRPr="00FA1502" w:rsidR="000E1122">
        <w:rPr>
          <w:rFonts w:ascii="Times New Roman" w:eastAsia="Times New Roman" w:hAnsi="Times New Roman" w:cs="Times New Roman"/>
          <w:sz w:val="24"/>
          <w:szCs w:val="24"/>
          <w:lang w:val="en-GB" w:eastAsia="cs-CZ"/>
        </w:rPr>
        <w:t>th a similar form of investment</w:t>
      </w:r>
      <w:r w:rsidRPr="00FA1502">
        <w:rPr>
          <w:rFonts w:ascii="Times New Roman" w:eastAsia="Times New Roman" w:hAnsi="Times New Roman" w:cs="Times New Roman"/>
          <w:sz w:val="24"/>
          <w:szCs w:val="24"/>
          <w:lang w:val="en-GB" w:eastAsia="cs-CZ"/>
        </w:rPr>
        <w:t xml:space="preserve">, or </w:t>
      </w:r>
      <w:r w:rsidRPr="00FA1502" w:rsidR="000E1122">
        <w:rPr>
          <w:rFonts w:ascii="Times New Roman" w:eastAsia="Times New Roman" w:hAnsi="Times New Roman" w:cs="Times New Roman"/>
          <w:sz w:val="24"/>
          <w:szCs w:val="24"/>
          <w:lang w:val="en-GB" w:eastAsia="cs-CZ"/>
        </w:rPr>
        <w:t xml:space="preserve">who </w:t>
      </w:r>
      <w:r w:rsidRPr="00FA1502">
        <w:rPr>
          <w:rFonts w:ascii="Times New Roman" w:eastAsia="Times New Roman" w:hAnsi="Times New Roman" w:cs="Times New Roman"/>
          <w:sz w:val="24"/>
          <w:szCs w:val="24"/>
          <w:lang w:val="en-GB" w:eastAsia="cs-CZ"/>
        </w:rPr>
        <w:t xml:space="preserve">lack advanced financial literacy, </w:t>
      </w:r>
      <w:r w:rsidRPr="00FA1502" w:rsidR="000E1122">
        <w:rPr>
          <w:rFonts w:ascii="Times New Roman" w:eastAsia="Times New Roman" w:hAnsi="Times New Roman" w:cs="Times New Roman"/>
          <w:sz w:val="24"/>
          <w:szCs w:val="24"/>
          <w:lang w:val="en-GB" w:eastAsia="cs-CZ"/>
        </w:rPr>
        <w:t xml:space="preserve">a </w:t>
      </w:r>
      <w:r w:rsidRPr="00FA1502">
        <w:rPr>
          <w:rFonts w:ascii="Times New Roman" w:eastAsia="Times New Roman" w:hAnsi="Times New Roman" w:cs="Times New Roman"/>
          <w:sz w:val="24"/>
          <w:szCs w:val="24"/>
          <w:lang w:val="en-GB" w:eastAsia="cs-CZ"/>
        </w:rPr>
        <w:t xml:space="preserve">simple and fast tool for initial assessment </w:t>
      </w:r>
      <w:r w:rsidRPr="00FA1502" w:rsidR="000E1122">
        <w:rPr>
          <w:rFonts w:ascii="Times New Roman" w:eastAsia="Times New Roman" w:hAnsi="Times New Roman" w:cs="Times New Roman"/>
          <w:sz w:val="24"/>
          <w:szCs w:val="24"/>
          <w:lang w:val="en-GB" w:eastAsia="cs-CZ"/>
        </w:rPr>
        <w:t xml:space="preserve">of </w:t>
      </w:r>
      <w:r w:rsidRPr="00FA1502" w:rsidR="00384360">
        <w:rPr>
          <w:rFonts w:ascii="Times New Roman" w:eastAsia="Times New Roman" w:hAnsi="Times New Roman" w:cs="Times New Roman"/>
          <w:sz w:val="24"/>
          <w:szCs w:val="24"/>
          <w:lang w:val="en-GB" w:eastAsia="cs-CZ"/>
        </w:rPr>
        <w:t>bonds. Based on</w:t>
      </w:r>
      <w:r w:rsidRPr="00FA1502">
        <w:rPr>
          <w:rFonts w:ascii="Times New Roman" w:eastAsia="Times New Roman" w:hAnsi="Times New Roman" w:cs="Times New Roman"/>
          <w:sz w:val="24"/>
          <w:szCs w:val="24"/>
          <w:lang w:val="en-GB" w:eastAsia="cs-CZ"/>
        </w:rPr>
        <w:t xml:space="preserve"> this non-legislative tool</w:t>
      </w:r>
      <w:r w:rsidRPr="00FA1502" w:rsidR="00384360">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 xml:space="preserve">which </w:t>
      </w:r>
      <w:r w:rsidRPr="00FA1502" w:rsidR="00384360">
        <w:rPr>
          <w:rFonts w:ascii="Times New Roman" w:eastAsia="Times New Roman" w:hAnsi="Times New Roman" w:cs="Times New Roman"/>
          <w:sz w:val="24"/>
          <w:szCs w:val="24"/>
          <w:lang w:val="en-GB" w:eastAsia="cs-CZ"/>
        </w:rPr>
        <w:t xml:space="preserve">was </w:t>
      </w:r>
      <w:r w:rsidRPr="00FA1502">
        <w:rPr>
          <w:rFonts w:ascii="Times New Roman" w:eastAsia="Times New Roman" w:hAnsi="Times New Roman" w:cs="Times New Roman"/>
          <w:sz w:val="24"/>
          <w:szCs w:val="24"/>
          <w:lang w:val="en-GB" w:eastAsia="cs-CZ"/>
        </w:rPr>
        <w:t xml:space="preserve">created </w:t>
      </w:r>
      <w:r w:rsidRPr="00FA1502" w:rsidR="00384360">
        <w:rPr>
          <w:rFonts w:ascii="Times New Roman" w:eastAsia="Times New Roman" w:hAnsi="Times New Roman" w:cs="Times New Roman"/>
          <w:sz w:val="24"/>
          <w:szCs w:val="24"/>
          <w:lang w:val="en-GB" w:eastAsia="cs-CZ"/>
        </w:rPr>
        <w:t xml:space="preserve">by </w:t>
      </w:r>
      <w:r w:rsidRPr="00FA1502">
        <w:rPr>
          <w:rFonts w:ascii="Times New Roman" w:eastAsia="Times New Roman" w:hAnsi="Times New Roman" w:cs="Times New Roman"/>
          <w:sz w:val="24"/>
          <w:szCs w:val="24"/>
          <w:lang w:val="en-GB" w:eastAsia="cs-CZ"/>
        </w:rPr>
        <w:t>the Ministry of Finance</w:t>
      </w:r>
      <w:r w:rsidRPr="00FA1502" w:rsidR="00384360">
        <w:rPr>
          <w:rFonts w:ascii="Times New Roman" w:eastAsia="Times New Roman" w:hAnsi="Times New Roman" w:cs="Times New Roman"/>
          <w:sz w:val="24"/>
          <w:szCs w:val="24"/>
          <w:lang w:val="en-GB" w:eastAsia="cs-CZ"/>
        </w:rPr>
        <w:t>, the legislator s</w:t>
      </w:r>
      <w:r w:rsidRPr="00FA1502">
        <w:rPr>
          <w:rFonts w:ascii="Times New Roman" w:eastAsia="Times New Roman" w:hAnsi="Times New Roman" w:cs="Times New Roman"/>
          <w:sz w:val="24"/>
          <w:szCs w:val="24"/>
          <w:lang w:val="en-GB" w:eastAsia="cs-CZ"/>
        </w:rPr>
        <w:t xml:space="preserve">ubsequently </w:t>
      </w:r>
      <w:r w:rsidRPr="00FA1502" w:rsidR="00384360">
        <w:rPr>
          <w:rFonts w:ascii="Times New Roman" w:eastAsia="Times New Roman" w:hAnsi="Times New Roman" w:cs="Times New Roman"/>
          <w:sz w:val="24"/>
          <w:szCs w:val="24"/>
          <w:lang w:val="en-GB" w:eastAsia="cs-CZ"/>
        </w:rPr>
        <w:t xml:space="preserve">formulated legal provisions which </w:t>
      </w:r>
      <w:r w:rsidRPr="00FA1502">
        <w:rPr>
          <w:rFonts w:ascii="Times New Roman" w:eastAsia="Times New Roman" w:hAnsi="Times New Roman" w:cs="Times New Roman"/>
          <w:sz w:val="24"/>
          <w:szCs w:val="24"/>
          <w:lang w:val="en-GB" w:eastAsia="cs-CZ"/>
        </w:rPr>
        <w:t>must be included in the issu</w:t>
      </w:r>
      <w:r w:rsidRPr="00FA1502" w:rsidR="00384360">
        <w:rPr>
          <w:rFonts w:ascii="Times New Roman" w:eastAsia="Times New Roman" w:hAnsi="Times New Roman" w:cs="Times New Roman"/>
          <w:sz w:val="24"/>
          <w:szCs w:val="24"/>
          <w:lang w:val="en-GB" w:eastAsia="cs-CZ"/>
        </w:rPr>
        <w:t>ance conditions</w:t>
      </w:r>
      <w:r w:rsidRPr="00FA1502">
        <w:rPr>
          <w:rFonts w:ascii="Times New Roman" w:eastAsia="Times New Roman" w:hAnsi="Times New Roman" w:cs="Times New Roman"/>
          <w:sz w:val="24"/>
          <w:szCs w:val="24"/>
          <w:lang w:val="en-GB" w:eastAsia="cs-CZ"/>
        </w:rPr>
        <w:t xml:space="preserve">, </w:t>
      </w:r>
      <w:r w:rsidRPr="00FA1502" w:rsidR="00233F47">
        <w:rPr>
          <w:rFonts w:ascii="Times New Roman" w:eastAsia="Times New Roman" w:hAnsi="Times New Roman" w:cs="Times New Roman"/>
          <w:sz w:val="24"/>
          <w:szCs w:val="24"/>
          <w:lang w:val="en-GB" w:eastAsia="cs-CZ"/>
        </w:rPr>
        <w:t xml:space="preserve">so that the investor could have a picture of the overall situation and </w:t>
      </w:r>
      <w:r w:rsidRPr="00FA1502">
        <w:rPr>
          <w:rFonts w:ascii="Times New Roman" w:eastAsia="Times New Roman" w:hAnsi="Times New Roman" w:cs="Times New Roman"/>
          <w:sz w:val="24"/>
          <w:szCs w:val="24"/>
          <w:lang w:val="en-GB" w:eastAsia="cs-CZ"/>
        </w:rPr>
        <w:t xml:space="preserve">the creditworthiness of the issuer, the history of its emissions, the reason why emits etc. The addition of the issuing conditions in paragraph 2 to this effect aims to increase the protection of </w:t>
      </w:r>
      <w:r w:rsidRPr="00FA1502" w:rsidR="005D36CB">
        <w:rPr>
          <w:rFonts w:ascii="Times New Roman" w:eastAsia="Times New Roman" w:hAnsi="Times New Roman" w:cs="Times New Roman"/>
          <w:sz w:val="24"/>
          <w:szCs w:val="24"/>
          <w:lang w:val="en-GB" w:eastAsia="cs-CZ"/>
        </w:rPr>
        <w:t>bond investors</w:t>
      </w:r>
      <w:r w:rsidRPr="00FA1502">
        <w:rPr>
          <w:rFonts w:ascii="Times New Roman" w:eastAsia="Times New Roman" w:hAnsi="Times New Roman" w:cs="Times New Roman"/>
          <w:sz w:val="24"/>
          <w:szCs w:val="24"/>
          <w:lang w:val="en-GB" w:eastAsia="cs-CZ"/>
        </w:rPr>
        <w:t>. The issuer must respect these obligations of extended issuance conditions whenever it does not prepare a prospectus and it is a so-called below</w:t>
      </w:r>
      <w:r w:rsidRPr="00FA1502" w:rsidR="005D36CB">
        <w:rPr>
          <w:rFonts w:ascii="Times New Roman" w:eastAsia="Times New Roman" w:hAnsi="Times New Roman" w:cs="Times New Roman"/>
          <w:sz w:val="24"/>
          <w:szCs w:val="24"/>
          <w:lang w:val="en-GB" w:eastAsia="cs-CZ"/>
        </w:rPr>
        <w:t>-the</w:t>
      </w:r>
      <w:r w:rsidRPr="00FA1502">
        <w:rPr>
          <w:rFonts w:ascii="Times New Roman" w:eastAsia="Times New Roman" w:hAnsi="Times New Roman" w:cs="Times New Roman"/>
          <w:sz w:val="24"/>
          <w:szCs w:val="24"/>
          <w:lang w:val="en-GB" w:eastAsia="cs-CZ"/>
        </w:rPr>
        <w:t>-limit issue, i</w:t>
      </w:r>
      <w:r w:rsidRPr="00FA1502" w:rsidR="005D36CB">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5D36CB">
        <w:rPr>
          <w:rFonts w:ascii="Times New Roman" w:eastAsia="Times New Roman" w:hAnsi="Times New Roman" w:cs="Times New Roman"/>
          <w:sz w:val="24"/>
          <w:szCs w:val="24"/>
          <w:lang w:val="en-GB" w:eastAsia="cs-CZ"/>
        </w:rPr>
        <w:t>. em</w:t>
      </w:r>
      <w:r w:rsidRPr="00FA1502">
        <w:rPr>
          <w:rFonts w:ascii="Times New Roman" w:eastAsia="Times New Roman" w:hAnsi="Times New Roman" w:cs="Times New Roman"/>
          <w:sz w:val="24"/>
          <w:szCs w:val="24"/>
          <w:lang w:val="en-GB" w:eastAsia="cs-CZ"/>
        </w:rPr>
        <w:t>ission of up to EUR 1 million.</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Re paragraph 2 (b)</w:t>
      </w:r>
      <w:r w:rsidRPr="00FA1502">
        <w:rPr>
          <w:rFonts w:ascii="Times New Roman" w:eastAsia="Times New Roman" w:hAnsi="Times New Roman" w:cs="Times New Roman"/>
          <w:sz w:val="24"/>
          <w:szCs w:val="24"/>
          <w:lang w:val="en-GB" w:eastAsia="cs-CZ"/>
        </w:rPr>
        <w:t xml:space="preserve"> Bonds current</w:t>
      </w:r>
      <w:r w:rsidRPr="00FA1502">
        <w:rPr>
          <w:rFonts w:ascii="Times New Roman" w:eastAsia="Times New Roman" w:hAnsi="Times New Roman" w:cs="Times New Roman"/>
          <w:sz w:val="24"/>
          <w:szCs w:val="24"/>
          <w:lang w:val="en-GB" w:eastAsia="cs-CZ"/>
        </w:rPr>
        <w:t>ly emit also</w:t>
      </w:r>
      <w:r w:rsidRPr="00FA1502">
        <w:rPr>
          <w:rFonts w:ascii="Times New Roman" w:eastAsia="Times New Roman" w:hAnsi="Times New Roman" w:cs="Times New Roman"/>
          <w:sz w:val="24"/>
          <w:szCs w:val="24"/>
          <w:lang w:val="en-GB" w:eastAsia="cs-CZ"/>
        </w:rPr>
        <w:t xml:space="preserve"> recently established companies, f</w:t>
      </w:r>
      <w:r w:rsidRPr="00FA1502">
        <w:rPr>
          <w:rFonts w:ascii="Times New Roman" w:eastAsia="Times New Roman" w:hAnsi="Times New Roman" w:cs="Times New Roman"/>
          <w:sz w:val="24"/>
          <w:szCs w:val="24"/>
          <w:lang w:val="en-GB" w:eastAsia="cs-CZ"/>
        </w:rPr>
        <w:t>or which there is the risk that they will not be able to meet their commitments</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still higher than is the case of</w:t>
      </w:r>
      <w:r w:rsidRPr="00FA1502">
        <w:rPr>
          <w:rFonts w:ascii="Times New Roman" w:eastAsia="Times New Roman" w:hAnsi="Times New Roman" w:cs="Times New Roman"/>
          <w:sz w:val="24"/>
          <w:szCs w:val="24"/>
          <w:lang w:val="en-GB" w:eastAsia="cs-CZ"/>
        </w:rPr>
        <w:t xml:space="preserve"> companies</w:t>
      </w:r>
      <w:r w:rsidRPr="00FA1502">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 xml:space="preserve">which have been </w:t>
      </w:r>
      <w:r w:rsidRPr="00FA1502">
        <w:rPr>
          <w:rFonts w:ascii="Times New Roman" w:eastAsia="Times New Roman" w:hAnsi="Times New Roman" w:cs="Times New Roman"/>
          <w:sz w:val="24"/>
          <w:szCs w:val="24"/>
          <w:lang w:val="en-GB" w:eastAsia="cs-CZ"/>
        </w:rPr>
        <w:t>operating for some time. The problem is also the difference between the issuer's commencement date</w:t>
      </w:r>
      <w:r w:rsidRPr="00FA1502">
        <w:rPr>
          <w:rFonts w:ascii="Times New Roman" w:eastAsia="Times New Roman" w:hAnsi="Times New Roman" w:cs="Times New Roman"/>
          <w:sz w:val="24"/>
          <w:szCs w:val="24"/>
          <w:lang w:val="en-GB" w:eastAsia="cs-CZ"/>
        </w:rPr>
        <w:t xml:space="preserve"> of operating</w:t>
      </w:r>
      <w:r w:rsidRPr="00FA1502" w:rsidR="00E93E62">
        <w:rPr>
          <w:rFonts w:ascii="Times New Roman" w:eastAsia="Times New Roman" w:hAnsi="Times New Roman" w:cs="Times New Roman"/>
          <w:sz w:val="24"/>
          <w:szCs w:val="24"/>
          <w:lang w:val="en-GB" w:eastAsia="cs-CZ"/>
        </w:rPr>
        <w:t xml:space="preserve"> and the date of its</w:t>
      </w:r>
      <w:r w:rsidRPr="00FA1502">
        <w:rPr>
          <w:rFonts w:ascii="Times New Roman" w:eastAsia="Times New Roman" w:hAnsi="Times New Roman" w:cs="Times New Roman"/>
          <w:sz w:val="24"/>
          <w:szCs w:val="24"/>
          <w:lang w:val="en-GB" w:eastAsia="cs-CZ"/>
        </w:rPr>
        <w:t xml:space="preserve"> establishment,</w:t>
      </w:r>
      <w:r w:rsidRPr="00FA1502" w:rsidR="00E93E62">
        <w:rPr>
          <w:rFonts w:ascii="Times New Roman" w:eastAsia="Times New Roman" w:hAnsi="Times New Roman" w:cs="Times New Roman"/>
          <w:sz w:val="24"/>
          <w:szCs w:val="24"/>
          <w:lang w:val="en-GB" w:eastAsia="cs-CZ"/>
        </w:rPr>
        <w:t xml:space="preserve"> as the issuer can purchase a „ready-made“</w:t>
      </w:r>
      <w:r w:rsidRPr="00FA1502">
        <w:rPr>
          <w:rFonts w:ascii="Times New Roman" w:eastAsia="Times New Roman" w:hAnsi="Times New Roman" w:cs="Times New Roman"/>
          <w:sz w:val="24"/>
          <w:szCs w:val="24"/>
          <w:lang w:val="en-GB" w:eastAsia="cs-CZ"/>
        </w:rPr>
        <w:t xml:space="preserve"> company that </w:t>
      </w:r>
      <w:r w:rsidRPr="00FA1502" w:rsidR="00E93E62">
        <w:rPr>
          <w:rFonts w:ascii="Times New Roman" w:eastAsia="Times New Roman" w:hAnsi="Times New Roman" w:cs="Times New Roman"/>
          <w:sz w:val="24"/>
          <w:szCs w:val="24"/>
          <w:lang w:val="en-GB" w:eastAsia="cs-CZ"/>
        </w:rPr>
        <w:t xml:space="preserve">did not operate but was founded </w:t>
      </w:r>
      <w:r w:rsidRPr="00FA1502">
        <w:rPr>
          <w:rFonts w:ascii="Times New Roman" w:eastAsia="Times New Roman" w:hAnsi="Times New Roman" w:cs="Times New Roman"/>
          <w:sz w:val="24"/>
          <w:szCs w:val="24"/>
          <w:lang w:val="en-GB" w:eastAsia="cs-CZ"/>
        </w:rPr>
        <w:t>e</w:t>
      </w:r>
      <w:r w:rsidRPr="00FA1502" w:rsidR="00E93E62">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g</w:t>
      </w:r>
      <w:r w:rsidRPr="00FA1502" w:rsidR="00E93E62">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t>
      </w:r>
      <w:r w:rsidRPr="00FA1502" w:rsidR="00E93E62">
        <w:rPr>
          <w:rFonts w:ascii="Times New Roman" w:eastAsia="Times New Roman" w:hAnsi="Times New Roman" w:cs="Times New Roman"/>
          <w:sz w:val="24"/>
          <w:szCs w:val="24"/>
          <w:lang w:val="en-GB" w:eastAsia="cs-CZ"/>
        </w:rPr>
        <w:t>five years ago. Another thing are special purpose</w:t>
      </w:r>
      <w:r w:rsidRPr="00FA1502">
        <w:rPr>
          <w:rFonts w:ascii="Times New Roman" w:eastAsia="Times New Roman" w:hAnsi="Times New Roman" w:cs="Times New Roman"/>
          <w:sz w:val="24"/>
          <w:szCs w:val="24"/>
          <w:lang w:val="en-GB" w:eastAsia="cs-CZ"/>
        </w:rPr>
        <w:t xml:space="preserve"> companies </w:t>
      </w:r>
      <w:r w:rsidRPr="00FA1502" w:rsidR="00E93E62">
        <w:rPr>
          <w:rFonts w:ascii="Times New Roman" w:eastAsia="Times New Roman" w:hAnsi="Times New Roman" w:cs="Times New Roman"/>
          <w:sz w:val="24"/>
          <w:szCs w:val="24"/>
          <w:lang w:val="en-GB" w:eastAsia="cs-CZ"/>
        </w:rPr>
        <w:t xml:space="preserve">(SPV) </w:t>
      </w:r>
      <w:r w:rsidRPr="00FA1502">
        <w:rPr>
          <w:rFonts w:ascii="Times New Roman" w:eastAsia="Times New Roman" w:hAnsi="Times New Roman" w:cs="Times New Roman"/>
          <w:sz w:val="24"/>
          <w:szCs w:val="24"/>
          <w:lang w:val="en-GB" w:eastAsia="cs-CZ"/>
        </w:rPr>
        <w:t>financing companies within the holding that also do not have a long history. Indication o</w:t>
      </w:r>
      <w:r w:rsidRPr="00FA1502" w:rsidR="00E93E62">
        <w:rPr>
          <w:rFonts w:ascii="Times New Roman" w:eastAsia="Times New Roman" w:hAnsi="Times New Roman" w:cs="Times New Roman"/>
          <w:sz w:val="24"/>
          <w:szCs w:val="24"/>
          <w:lang w:val="en-GB" w:eastAsia="cs-CZ"/>
        </w:rPr>
        <w:t>f the year and month of commencement of operation</w:t>
      </w:r>
      <w:r w:rsidRPr="00FA1502">
        <w:rPr>
          <w:rFonts w:ascii="Times New Roman" w:eastAsia="Times New Roman" w:hAnsi="Times New Roman" w:cs="Times New Roman"/>
          <w:sz w:val="24"/>
          <w:szCs w:val="24"/>
          <w:lang w:val="en-GB" w:eastAsia="cs-CZ"/>
        </w:rPr>
        <w:t xml:space="preserve"> will help investors to better assess the</w:t>
      </w:r>
      <w:r w:rsidRPr="00FA1502" w:rsidR="00E93E62">
        <w:rPr>
          <w:rFonts w:ascii="Times New Roman" w:eastAsia="Times New Roman" w:hAnsi="Times New Roman" w:cs="Times New Roman"/>
          <w:sz w:val="24"/>
          <w:szCs w:val="24"/>
          <w:lang w:val="en-GB" w:eastAsia="cs-CZ"/>
        </w:rPr>
        <w:t xml:space="preserve"> risk associated with short-term operating companies</w:t>
      </w:r>
      <w:r w:rsidRPr="00FA1502">
        <w:rPr>
          <w:rFonts w:ascii="Times New Roman" w:eastAsia="Times New Roman" w:hAnsi="Times New Roman" w:cs="Times New Roman"/>
          <w:sz w:val="24"/>
          <w:szCs w:val="24"/>
          <w:lang w:val="en-GB" w:eastAsia="cs-CZ"/>
        </w:rPr>
        <w:t xml:space="preserve"> and, in the case of special-purpose companies, together with other points in this proposal, indicates the need to</w:t>
      </w:r>
      <w:r w:rsidRPr="00FA1502" w:rsidR="00E93E62">
        <w:rPr>
          <w:rFonts w:ascii="Times New Roman" w:eastAsia="Times New Roman" w:hAnsi="Times New Roman" w:cs="Times New Roman"/>
          <w:sz w:val="24"/>
          <w:szCs w:val="24"/>
          <w:lang w:val="en-GB" w:eastAsia="cs-CZ"/>
        </w:rPr>
        <w:t xml:space="preserve"> verify the liability</w:t>
      </w:r>
      <w:r w:rsidRPr="00FA1502">
        <w:rPr>
          <w:rFonts w:ascii="Times New Roman" w:eastAsia="Times New Roman" w:hAnsi="Times New Roman" w:cs="Times New Roman"/>
          <w:sz w:val="24"/>
          <w:szCs w:val="24"/>
          <w:lang w:val="en-GB" w:eastAsia="cs-CZ"/>
        </w:rPr>
        <w:t xml:space="preserve"> statement, financial guarantee and consolidated results of the group.</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Re paragraph 2 (c):</w:t>
      </w:r>
      <w:r w:rsidRPr="00FA1502">
        <w:rPr>
          <w:rFonts w:ascii="Times New Roman" w:eastAsia="Times New Roman" w:hAnsi="Times New Roman" w:cs="Times New Roman"/>
          <w:sz w:val="24"/>
          <w:szCs w:val="24"/>
          <w:lang w:val="en-GB" w:eastAsia="cs-CZ"/>
        </w:rPr>
        <w:t xml:space="preserve"> The issuer's primary business description</w:t>
      </w:r>
      <w:r w:rsidRPr="00FA1502">
        <w:rPr>
          <w:rFonts w:ascii="Times New Roman" w:eastAsia="Times New Roman" w:hAnsi="Times New Roman" w:cs="Times New Roman"/>
          <w:sz w:val="24"/>
          <w:szCs w:val="24"/>
          <w:lang w:val="en-GB" w:eastAsia="cs-CZ"/>
        </w:rPr>
        <w:t xml:space="preserve"> enables the investor to obtain a better understanding of the sector</w:t>
      </w:r>
      <w:r w:rsidRPr="00FA1502">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in which the issuer operates. Based on such information, the investor assesses the potential of the industry, the company's market position, market saturation and other information. This, in the context of other information, provides a more</w:t>
      </w:r>
      <w:r w:rsidRPr="00FA1502">
        <w:rPr>
          <w:rFonts w:ascii="Times New Roman" w:eastAsia="Times New Roman" w:hAnsi="Times New Roman" w:cs="Times New Roman"/>
          <w:sz w:val="24"/>
          <w:szCs w:val="24"/>
          <w:lang w:val="en-GB" w:eastAsia="cs-CZ"/>
        </w:rPr>
        <w:t xml:space="preserve"> comprehensive view of the issuance</w:t>
      </w:r>
      <w:r w:rsidRPr="00FA1502">
        <w:rPr>
          <w:rFonts w:ascii="Times New Roman" w:eastAsia="Times New Roman" w:hAnsi="Times New Roman" w:cs="Times New Roman"/>
          <w:sz w:val="24"/>
          <w:szCs w:val="24"/>
          <w:lang w:val="en-GB" w:eastAsia="cs-CZ"/>
        </w:rPr>
        <w:t>.</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Re paragraph 2 (d):</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The</w:t>
      </w:r>
      <w:r w:rsidRPr="00FA1502">
        <w:rPr>
          <w:rFonts w:ascii="Times New Roman" w:eastAsia="Times New Roman" w:hAnsi="Times New Roman" w:cs="Times New Roman"/>
          <w:sz w:val="24"/>
          <w:szCs w:val="24"/>
          <w:lang w:val="en-GB" w:eastAsia="cs-CZ"/>
        </w:rPr>
        <w:t xml:space="preserve"> minimum investment threshold</w:t>
      </w:r>
      <w:r w:rsidRPr="00FA1502" w:rsidR="00CC3E20">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 xml:space="preserve"> main goal is to inform investors about</w:t>
      </w:r>
      <w:r w:rsidRPr="00FA1502">
        <w:rPr>
          <w:rFonts w:ascii="Times New Roman" w:eastAsia="Times New Roman" w:hAnsi="Times New Roman" w:cs="Times New Roman"/>
          <w:sz w:val="24"/>
          <w:szCs w:val="24"/>
          <w:lang w:val="en-GB" w:eastAsia="cs-CZ"/>
        </w:rPr>
        <w:t xml:space="preserve"> the minimum amount</w:t>
      </w:r>
      <w:r w:rsidRPr="00FA1502" w:rsidR="00CC3E20">
        <w:rPr>
          <w:rFonts w:ascii="Times New Roman" w:eastAsia="Times New Roman" w:hAnsi="Times New Roman" w:cs="Times New Roman"/>
          <w:sz w:val="24"/>
          <w:szCs w:val="24"/>
          <w:lang w:val="en-GB" w:eastAsia="cs-CZ"/>
        </w:rPr>
        <w:t xml:space="preserve"> they</w:t>
      </w:r>
      <w:r w:rsidRPr="00FA1502">
        <w:rPr>
          <w:rFonts w:ascii="Times New Roman" w:eastAsia="Times New Roman" w:hAnsi="Times New Roman" w:cs="Times New Roman"/>
          <w:sz w:val="24"/>
          <w:szCs w:val="24"/>
          <w:lang w:val="en-GB" w:eastAsia="cs-CZ"/>
        </w:rPr>
        <w:t xml:space="preserve"> must</w:t>
      </w:r>
      <w:r w:rsidRPr="00FA1502" w:rsidR="00CC3E20">
        <w:rPr>
          <w:rFonts w:ascii="Times New Roman" w:eastAsia="Times New Roman" w:hAnsi="Times New Roman" w:cs="Times New Roman"/>
          <w:sz w:val="24"/>
          <w:szCs w:val="24"/>
          <w:lang w:val="en-GB" w:eastAsia="cs-CZ"/>
        </w:rPr>
        <w:t xml:space="preserve"> spend to buy bonds. Investor can</w:t>
      </w:r>
      <w:r w:rsidRPr="00FA1502">
        <w:rPr>
          <w:rFonts w:ascii="Times New Roman" w:eastAsia="Times New Roman" w:hAnsi="Times New Roman" w:cs="Times New Roman"/>
          <w:sz w:val="24"/>
          <w:szCs w:val="24"/>
          <w:lang w:val="en-GB" w:eastAsia="cs-CZ"/>
        </w:rPr>
        <w:t xml:space="preserve"> be particularly interested in </w:t>
      </w:r>
      <w:r w:rsidRPr="00FA1502" w:rsidR="00CC3E20">
        <w:rPr>
          <w:rFonts w:ascii="Times New Roman" w:eastAsia="Times New Roman" w:hAnsi="Times New Roman" w:cs="Times New Roman"/>
          <w:sz w:val="24"/>
          <w:szCs w:val="24"/>
          <w:lang w:val="en-GB" w:eastAsia="cs-CZ"/>
        </w:rPr>
        <w:t>this due to the diversification, since he/she distributes</w:t>
      </w:r>
      <w:r w:rsidRPr="00FA1502">
        <w:rPr>
          <w:rFonts w:ascii="Times New Roman" w:eastAsia="Times New Roman" w:hAnsi="Times New Roman" w:cs="Times New Roman"/>
          <w:sz w:val="24"/>
          <w:szCs w:val="24"/>
          <w:lang w:val="en-GB" w:eastAsia="cs-CZ"/>
        </w:rPr>
        <w:t xml:space="preserve"> a limited i</w:t>
      </w:r>
      <w:r w:rsidRPr="00FA1502" w:rsidR="00CC3E20">
        <w:rPr>
          <w:rFonts w:ascii="Times New Roman" w:eastAsia="Times New Roman" w:hAnsi="Times New Roman" w:cs="Times New Roman"/>
          <w:sz w:val="24"/>
          <w:szCs w:val="24"/>
          <w:lang w:val="en-GB" w:eastAsia="cs-CZ"/>
        </w:rPr>
        <w:t>nvestment budget</w:t>
      </w:r>
      <w:r w:rsidRPr="00FA1502">
        <w:rPr>
          <w:rFonts w:ascii="Times New Roman" w:eastAsia="Times New Roman" w:hAnsi="Times New Roman" w:cs="Times New Roman"/>
          <w:sz w:val="24"/>
          <w:szCs w:val="24"/>
          <w:lang w:val="en-GB" w:eastAsia="cs-CZ"/>
        </w:rPr>
        <w:t xml:space="preserve"> resources </w:t>
      </w:r>
      <w:r w:rsidRPr="00FA1502">
        <w:rPr>
          <w:rFonts w:ascii="Times New Roman" w:eastAsia="Times New Roman" w:hAnsi="Times New Roman" w:cs="Times New Roman"/>
          <w:sz w:val="24"/>
          <w:szCs w:val="24"/>
          <w:lang w:val="en-GB" w:eastAsia="cs-CZ"/>
        </w:rPr>
        <w:t>among several investments. The main reason is there</w:t>
      </w:r>
      <w:r w:rsidRPr="00FA1502" w:rsidR="00CC3E20">
        <w:rPr>
          <w:rFonts w:ascii="Times New Roman" w:eastAsia="Times New Roman" w:hAnsi="Times New Roman" w:cs="Times New Roman"/>
          <w:sz w:val="24"/>
          <w:szCs w:val="24"/>
          <w:lang w:val="en-GB" w:eastAsia="cs-CZ"/>
        </w:rPr>
        <w:t>fore an increase in transparency and awareness</w:t>
      </w:r>
      <w:r w:rsidRPr="00FA1502">
        <w:rPr>
          <w:rFonts w:ascii="Times New Roman" w:eastAsia="Times New Roman" w:hAnsi="Times New Roman" w:cs="Times New Roman"/>
          <w:sz w:val="24"/>
          <w:szCs w:val="24"/>
          <w:lang w:val="en-GB" w:eastAsia="cs-CZ"/>
        </w:rPr>
        <w:t>, which contributes to the overall evaluation of the issue.</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Re paragraph 2 (</w:t>
      </w:r>
      <w:r w:rsidRPr="00FA1502">
        <w:rPr>
          <w:rFonts w:ascii="Times New Roman" w:eastAsia="Times New Roman" w:hAnsi="Times New Roman" w:cs="Times New Roman"/>
          <w:sz w:val="24"/>
          <w:szCs w:val="24"/>
          <w:u w:val="single"/>
          <w:lang w:val="en-GB" w:eastAsia="cs-CZ"/>
        </w:rPr>
        <w:t xml:space="preserve">e): </w:t>
      </w:r>
      <w:r w:rsidRPr="00FA1502">
        <w:rPr>
          <w:rFonts w:ascii="Times New Roman" w:eastAsia="Times New Roman" w:hAnsi="Times New Roman" w:cs="Times New Roman"/>
          <w:sz w:val="24"/>
          <w:szCs w:val="24"/>
          <w:lang w:val="en-GB" w:eastAsia="cs-CZ"/>
        </w:rPr>
        <w:t>The main reason for including this provision (total issue vol</w:t>
      </w:r>
      <w:r w:rsidRPr="00FA1502">
        <w:rPr>
          <w:rFonts w:ascii="Times New Roman" w:eastAsia="Times New Roman" w:hAnsi="Times New Roman" w:cs="Times New Roman"/>
          <w:sz w:val="24"/>
          <w:szCs w:val="24"/>
          <w:lang w:val="en-GB" w:eastAsia="cs-CZ"/>
        </w:rPr>
        <w:t>ume) is again to raise the transparency and awareness</w:t>
      </w:r>
      <w:r w:rsidRPr="00FA1502">
        <w:rPr>
          <w:rFonts w:ascii="Times New Roman" w:eastAsia="Times New Roman" w:hAnsi="Times New Roman" w:cs="Times New Roman"/>
          <w:sz w:val="24"/>
          <w:szCs w:val="24"/>
          <w:lang w:val="en-GB" w:eastAsia="cs-CZ"/>
        </w:rPr>
        <w:t>, w</w:t>
      </w:r>
      <w:r w:rsidRPr="00FA1502">
        <w:rPr>
          <w:rFonts w:ascii="Times New Roman" w:eastAsia="Times New Roman" w:hAnsi="Times New Roman" w:cs="Times New Roman"/>
          <w:sz w:val="24"/>
          <w:szCs w:val="24"/>
          <w:lang w:val="en-GB" w:eastAsia="cs-CZ"/>
        </w:rPr>
        <w:t xml:space="preserve">hich </w:t>
      </w:r>
      <w:r w:rsidRPr="00FA1502">
        <w:rPr>
          <w:rFonts w:ascii="Times New Roman" w:eastAsia="Times New Roman" w:hAnsi="Times New Roman" w:cs="Times New Roman"/>
          <w:sz w:val="24"/>
          <w:szCs w:val="24"/>
          <w:lang w:val="en-GB" w:eastAsia="cs-CZ"/>
        </w:rPr>
        <w:t>contr</w:t>
      </w:r>
      <w:r w:rsidRPr="00FA1502">
        <w:rPr>
          <w:rFonts w:ascii="Times New Roman" w:eastAsia="Times New Roman" w:hAnsi="Times New Roman" w:cs="Times New Roman"/>
          <w:sz w:val="24"/>
          <w:szCs w:val="24"/>
          <w:lang w:val="en-GB" w:eastAsia="cs-CZ"/>
        </w:rPr>
        <w:t>ibutes to the overall evaluation</w:t>
      </w:r>
      <w:r w:rsidRPr="00FA1502">
        <w:rPr>
          <w:rFonts w:ascii="Times New Roman" w:eastAsia="Times New Roman" w:hAnsi="Times New Roman" w:cs="Times New Roman"/>
          <w:sz w:val="24"/>
          <w:szCs w:val="24"/>
          <w:lang w:val="en-GB" w:eastAsia="cs-CZ"/>
        </w:rPr>
        <w:t xml:space="preserve"> of the issue, primarily in terms of future financial analytical projections.</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Re paragraph 2</w:t>
      </w:r>
      <w:r w:rsidRPr="00FA1502">
        <w:rPr>
          <w:rFonts w:ascii="Times New Roman" w:eastAsia="Times New Roman" w:hAnsi="Times New Roman" w:cs="Times New Roman"/>
          <w:sz w:val="24"/>
          <w:szCs w:val="24"/>
          <w:u w:val="single"/>
          <w:lang w:val="en-GB" w:eastAsia="cs-CZ"/>
        </w:rPr>
        <w:t xml:space="preserve"> </w:t>
      </w:r>
      <w:r w:rsidRPr="00FA1502">
        <w:rPr>
          <w:rFonts w:ascii="Times New Roman" w:eastAsia="Times New Roman" w:hAnsi="Times New Roman" w:cs="Times New Roman"/>
          <w:sz w:val="24"/>
          <w:szCs w:val="24"/>
          <w:u w:val="single"/>
          <w:lang w:val="en-GB" w:eastAsia="cs-CZ"/>
        </w:rPr>
        <w:t>(</w:t>
      </w:r>
      <w:r w:rsidRPr="00FA1502">
        <w:rPr>
          <w:rFonts w:ascii="Times New Roman" w:eastAsia="Times New Roman" w:hAnsi="Times New Roman" w:cs="Times New Roman"/>
          <w:sz w:val="24"/>
          <w:szCs w:val="24"/>
          <w:u w:val="single"/>
          <w:lang w:val="en-GB" w:eastAsia="cs-CZ"/>
        </w:rPr>
        <w:t>f):</w:t>
      </w:r>
      <w:r w:rsidRPr="00FA1502">
        <w:rPr>
          <w:rFonts w:ascii="Times New Roman" w:eastAsia="Times New Roman" w:hAnsi="Times New Roman" w:cs="Times New Roman"/>
          <w:sz w:val="24"/>
          <w:szCs w:val="24"/>
          <w:lang w:val="en-GB" w:eastAsia="cs-CZ"/>
        </w:rPr>
        <w:t xml:space="preserve"> The purpose of the issue, together with the business plan, informs</w:t>
      </w:r>
      <w:r w:rsidRPr="00FA1502" w:rsidR="001C3705">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why the co</w:t>
      </w:r>
      <w:r w:rsidRPr="00FA1502" w:rsidR="002947A5">
        <w:rPr>
          <w:rFonts w:ascii="Times New Roman" w:eastAsia="Times New Roman" w:hAnsi="Times New Roman" w:cs="Times New Roman"/>
          <w:sz w:val="24"/>
          <w:szCs w:val="24"/>
          <w:lang w:val="en-GB" w:eastAsia="cs-CZ"/>
        </w:rPr>
        <w:t xml:space="preserve">mpany issues bonds, more precisely, </w:t>
      </w:r>
      <w:r w:rsidRPr="00FA1502">
        <w:rPr>
          <w:rFonts w:ascii="Times New Roman" w:eastAsia="Times New Roman" w:hAnsi="Times New Roman" w:cs="Times New Roman"/>
          <w:sz w:val="24"/>
          <w:szCs w:val="24"/>
          <w:lang w:val="en-GB" w:eastAsia="cs-CZ"/>
        </w:rPr>
        <w:t>answers the question</w:t>
      </w:r>
      <w:r w:rsidRPr="00FA1502" w:rsidR="002947A5">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why the company borrows. </w:t>
      </w:r>
      <w:r w:rsidRPr="00FA1502" w:rsidR="002947A5">
        <w:rPr>
          <w:rFonts w:ascii="Times New Roman" w:eastAsia="Times New Roman" w:hAnsi="Times New Roman" w:cs="Times New Roman"/>
          <w:sz w:val="24"/>
          <w:szCs w:val="24"/>
          <w:lang w:val="en-GB" w:eastAsia="cs-CZ"/>
        </w:rPr>
        <w:t>Also based on this</w:t>
      </w:r>
      <w:r w:rsidRPr="00FA1502">
        <w:rPr>
          <w:rFonts w:ascii="Times New Roman" w:eastAsia="Times New Roman" w:hAnsi="Times New Roman" w:cs="Times New Roman"/>
          <w:sz w:val="24"/>
          <w:szCs w:val="24"/>
          <w:lang w:val="en-GB" w:eastAsia="cs-CZ"/>
        </w:rPr>
        <w:t>, the likelihood of an investor's return on investment can be better assessed in the overall context of the issue. Purpose of the issue should be one of the f</w:t>
      </w:r>
      <w:r w:rsidRPr="00FA1502" w:rsidR="002947A5">
        <w:rPr>
          <w:rFonts w:ascii="Times New Roman" w:eastAsia="Times New Roman" w:hAnsi="Times New Roman" w:cs="Times New Roman"/>
          <w:sz w:val="24"/>
          <w:szCs w:val="24"/>
          <w:lang w:val="en-GB" w:eastAsia="cs-CZ"/>
        </w:rPr>
        <w:t>irst information that investor examines</w:t>
      </w:r>
      <w:r w:rsidRPr="00FA1502">
        <w:rPr>
          <w:rFonts w:ascii="Times New Roman" w:eastAsia="Times New Roman" w:hAnsi="Times New Roman" w:cs="Times New Roman"/>
          <w:sz w:val="24"/>
          <w:szCs w:val="24"/>
          <w:lang w:val="en-GB" w:eastAsia="cs-CZ"/>
        </w:rPr>
        <w:t xml:space="preserve">, as </w:t>
      </w:r>
      <w:r w:rsidRPr="00FA1502" w:rsidR="002947A5">
        <w:rPr>
          <w:rFonts w:ascii="Times New Roman" w:eastAsia="Times New Roman" w:hAnsi="Times New Roman" w:cs="Times New Roman"/>
          <w:sz w:val="24"/>
          <w:szCs w:val="24"/>
          <w:lang w:val="en-GB" w:eastAsia="cs-CZ"/>
        </w:rPr>
        <w:t xml:space="preserve">he </w:t>
      </w:r>
      <w:r w:rsidRPr="00FA1502">
        <w:rPr>
          <w:rFonts w:ascii="Times New Roman" w:eastAsia="Times New Roman" w:hAnsi="Times New Roman" w:cs="Times New Roman"/>
          <w:sz w:val="24"/>
          <w:szCs w:val="24"/>
          <w:lang w:val="en-GB" w:eastAsia="cs-CZ"/>
        </w:rPr>
        <w:t>shou</w:t>
      </w:r>
      <w:r w:rsidRPr="00FA1502" w:rsidR="002947A5">
        <w:rPr>
          <w:rFonts w:ascii="Times New Roman" w:eastAsia="Times New Roman" w:hAnsi="Times New Roman" w:cs="Times New Roman"/>
          <w:sz w:val="24"/>
          <w:szCs w:val="24"/>
          <w:lang w:val="en-GB" w:eastAsia="cs-CZ"/>
        </w:rPr>
        <w:t>ld invest in industries, which are known to him or he is able to gathe</w:t>
      </w:r>
      <w:r w:rsidRPr="00FA1502" w:rsidR="00044DFE">
        <w:rPr>
          <w:rFonts w:ascii="Times New Roman" w:eastAsia="Times New Roman" w:hAnsi="Times New Roman" w:cs="Times New Roman"/>
          <w:sz w:val="24"/>
          <w:szCs w:val="24"/>
          <w:lang w:val="en-GB" w:eastAsia="cs-CZ"/>
        </w:rPr>
        <w:t>r enough information about them.</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Re paragraph 2 (g):</w:t>
      </w:r>
      <w:r w:rsidRPr="00FA1502">
        <w:rPr>
          <w:rFonts w:ascii="Times New Roman" w:eastAsia="Times New Roman" w:hAnsi="Times New Roman" w:cs="Times New Roman"/>
          <w:sz w:val="24"/>
          <w:szCs w:val="24"/>
          <w:lang w:val="en-GB" w:eastAsia="cs-CZ"/>
        </w:rPr>
        <w:t xml:space="preserve"> The planned debt-to-</w:t>
      </w:r>
      <w:r w:rsidRPr="00FA1502">
        <w:rPr>
          <w:rFonts w:ascii="Times New Roman" w:eastAsia="Times New Roman" w:hAnsi="Times New Roman" w:cs="Times New Roman"/>
          <w:sz w:val="24"/>
          <w:szCs w:val="24"/>
          <w:lang w:val="en-GB" w:eastAsia="cs-CZ"/>
        </w:rPr>
        <w:t>equity ratio (active debt policy) is a very important factor for the investor. The investor usually lends the money to the company at the time it makes sens</w:t>
      </w:r>
      <w:r w:rsidRPr="00FA1502" w:rsidR="00187B25">
        <w:rPr>
          <w:rFonts w:ascii="Times New Roman" w:eastAsia="Times New Roman" w:hAnsi="Times New Roman" w:cs="Times New Roman"/>
          <w:sz w:val="24"/>
          <w:szCs w:val="24"/>
          <w:lang w:val="en-GB" w:eastAsia="cs-CZ"/>
        </w:rPr>
        <w:t xml:space="preserve">e for him, but if the company would use twice as much of another debt </w:t>
      </w:r>
      <w:r w:rsidRPr="00FA1502">
        <w:rPr>
          <w:rFonts w:ascii="Times New Roman" w:eastAsia="Times New Roman" w:hAnsi="Times New Roman" w:cs="Times New Roman"/>
          <w:sz w:val="24"/>
          <w:szCs w:val="24"/>
          <w:lang w:val="en-GB" w:eastAsia="cs-CZ"/>
        </w:rPr>
        <w:t>in the ne</w:t>
      </w:r>
      <w:r w:rsidRPr="00FA1502" w:rsidR="00187B25">
        <w:rPr>
          <w:rFonts w:ascii="Times New Roman" w:eastAsia="Times New Roman" w:hAnsi="Times New Roman" w:cs="Times New Roman"/>
          <w:sz w:val="24"/>
          <w:szCs w:val="24"/>
          <w:lang w:val="en-GB" w:eastAsia="cs-CZ"/>
        </w:rPr>
        <w:t>xt period and the investor</w:t>
      </w:r>
      <w:r w:rsidRPr="00FA1502">
        <w:rPr>
          <w:rFonts w:ascii="Times New Roman" w:eastAsia="Times New Roman" w:hAnsi="Times New Roman" w:cs="Times New Roman"/>
          <w:sz w:val="24"/>
          <w:szCs w:val="24"/>
          <w:lang w:val="en-GB" w:eastAsia="cs-CZ"/>
        </w:rPr>
        <w:t xml:space="preserve"> </w:t>
      </w:r>
      <w:r w:rsidRPr="00FA1502" w:rsidR="00187B25">
        <w:rPr>
          <w:rFonts w:ascii="Times New Roman" w:eastAsia="Times New Roman" w:hAnsi="Times New Roman" w:cs="Times New Roman"/>
          <w:sz w:val="24"/>
          <w:szCs w:val="24"/>
          <w:lang w:val="en-GB" w:eastAsia="cs-CZ"/>
        </w:rPr>
        <w:t xml:space="preserve">had </w:t>
      </w:r>
      <w:r w:rsidRPr="00FA1502">
        <w:rPr>
          <w:rFonts w:ascii="Times New Roman" w:eastAsia="Times New Roman" w:hAnsi="Times New Roman" w:cs="Times New Roman"/>
          <w:sz w:val="24"/>
          <w:szCs w:val="24"/>
          <w:lang w:val="en-GB" w:eastAsia="cs-CZ"/>
        </w:rPr>
        <w:t>know</w:t>
      </w:r>
      <w:r w:rsidRPr="00FA1502" w:rsidR="00187B25">
        <w:rPr>
          <w:rFonts w:ascii="Times New Roman" w:eastAsia="Times New Roman" w:hAnsi="Times New Roman" w:cs="Times New Roman"/>
          <w:sz w:val="24"/>
          <w:szCs w:val="24"/>
          <w:lang w:val="en-GB" w:eastAsia="cs-CZ"/>
        </w:rPr>
        <w:t>n this</w:t>
      </w:r>
      <w:r w:rsidRPr="00FA1502">
        <w:rPr>
          <w:rFonts w:ascii="Times New Roman" w:eastAsia="Times New Roman" w:hAnsi="Times New Roman" w:cs="Times New Roman"/>
          <w:sz w:val="24"/>
          <w:szCs w:val="24"/>
          <w:lang w:val="en-GB" w:eastAsia="cs-CZ"/>
        </w:rPr>
        <w:t xml:space="preserve"> in advance, then he would </w:t>
      </w:r>
      <w:r w:rsidRPr="00FA1502" w:rsidR="00187B25">
        <w:rPr>
          <w:rFonts w:ascii="Times New Roman" w:eastAsia="Times New Roman" w:hAnsi="Times New Roman" w:cs="Times New Roman"/>
          <w:sz w:val="24"/>
          <w:szCs w:val="24"/>
          <w:lang w:val="en-GB" w:eastAsia="cs-CZ"/>
        </w:rPr>
        <w:t>have not probably</w:t>
      </w:r>
      <w:r w:rsidRPr="00FA1502">
        <w:rPr>
          <w:rFonts w:ascii="Times New Roman" w:eastAsia="Times New Roman" w:hAnsi="Times New Roman" w:cs="Times New Roman"/>
          <w:sz w:val="24"/>
          <w:szCs w:val="24"/>
          <w:lang w:val="en-GB" w:eastAsia="cs-CZ"/>
        </w:rPr>
        <w:t xml:space="preserve"> invest</w:t>
      </w:r>
      <w:r w:rsidRPr="00FA1502" w:rsidR="00187B25">
        <w:rPr>
          <w:rFonts w:ascii="Times New Roman" w:eastAsia="Times New Roman" w:hAnsi="Times New Roman" w:cs="Times New Roman"/>
          <w:sz w:val="24"/>
          <w:szCs w:val="24"/>
          <w:lang w:val="en-GB" w:eastAsia="cs-CZ"/>
        </w:rPr>
        <w:t>ed in that company before.</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Re paragraph 2 (h):</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In the prospectus, the investor shall acquaint himself with important and addi</w:t>
      </w:r>
      <w:r w:rsidRPr="00FA1502">
        <w:rPr>
          <w:rFonts w:ascii="Times New Roman" w:eastAsia="Times New Roman" w:hAnsi="Times New Roman" w:cs="Times New Roman"/>
          <w:sz w:val="24"/>
          <w:szCs w:val="24"/>
          <w:lang w:val="en-GB" w:eastAsia="cs-CZ"/>
        </w:rPr>
        <w:t>tional information. In case, in which</w:t>
      </w:r>
      <w:r w:rsidRPr="00FA1502">
        <w:rPr>
          <w:rFonts w:ascii="Times New Roman" w:eastAsia="Times New Roman" w:hAnsi="Times New Roman" w:cs="Times New Roman"/>
          <w:sz w:val="24"/>
          <w:szCs w:val="24"/>
          <w:lang w:val="en-GB" w:eastAsia="cs-CZ"/>
        </w:rPr>
        <w:t xml:space="preserve"> the prospectus has not been approved by the Czech National Bank or the supervisory authority of</w:t>
      </w:r>
      <w:r w:rsidRPr="00FA1502">
        <w:rPr>
          <w:rFonts w:ascii="Times New Roman" w:eastAsia="Times New Roman" w:hAnsi="Times New Roman" w:cs="Times New Roman"/>
          <w:sz w:val="24"/>
          <w:szCs w:val="24"/>
          <w:lang w:val="en-GB" w:eastAsia="cs-CZ"/>
        </w:rPr>
        <w:t xml:space="preserve"> another Member State of the EU</w:t>
      </w:r>
      <w:r w:rsidRPr="00FA1502">
        <w:rPr>
          <w:rFonts w:ascii="Times New Roman" w:eastAsia="Times New Roman" w:hAnsi="Times New Roman" w:cs="Times New Roman"/>
          <w:sz w:val="24"/>
          <w:szCs w:val="24"/>
          <w:lang w:val="en-GB" w:eastAsia="cs-CZ"/>
        </w:rPr>
        <w:t>, th</w:t>
      </w:r>
      <w:r w:rsidRPr="00FA1502">
        <w:rPr>
          <w:rFonts w:ascii="Times New Roman" w:eastAsia="Times New Roman" w:hAnsi="Times New Roman" w:cs="Times New Roman"/>
          <w:sz w:val="24"/>
          <w:szCs w:val="24"/>
          <w:lang w:val="en-GB" w:eastAsia="cs-CZ"/>
        </w:rPr>
        <w:t>is information should also be communicated to the investor</w:t>
      </w:r>
      <w:r w:rsidRPr="00FA1502">
        <w:rPr>
          <w:rFonts w:ascii="Times New Roman" w:eastAsia="Times New Roman" w:hAnsi="Times New Roman" w:cs="Times New Roman"/>
          <w:sz w:val="24"/>
          <w:szCs w:val="24"/>
          <w:lang w:val="en-GB" w:eastAsia="cs-CZ"/>
        </w:rPr>
        <w:t>.</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Re paragraph 2 (h):</w:t>
      </w:r>
      <w:r w:rsidRPr="00FA1502">
        <w:rPr>
          <w:rFonts w:ascii="Times New Roman" w:eastAsia="Times New Roman" w:hAnsi="Times New Roman" w:cs="Times New Roman"/>
          <w:sz w:val="24"/>
          <w:szCs w:val="24"/>
          <w:lang w:val="en-GB" w:eastAsia="cs-CZ"/>
        </w:rPr>
        <w:t xml:space="preserve"> Provision of the </w:t>
      </w:r>
      <w:r w:rsidRPr="00FA1502">
        <w:rPr>
          <w:rFonts w:ascii="Times New Roman" w:eastAsia="Times New Roman" w:hAnsi="Times New Roman" w:cs="Times New Roman"/>
          <w:sz w:val="24"/>
          <w:szCs w:val="24"/>
          <w:lang w:val="en-GB" w:eastAsia="cs-CZ"/>
        </w:rPr>
        <w:t>Section 21a o</w:t>
      </w:r>
      <w:r w:rsidRPr="00FA1502">
        <w:rPr>
          <w:rFonts w:ascii="Times New Roman" w:eastAsia="Times New Roman" w:hAnsi="Times New Roman" w:cs="Times New Roman"/>
          <w:sz w:val="24"/>
          <w:szCs w:val="24"/>
          <w:lang w:val="en-GB" w:eastAsia="cs-CZ"/>
        </w:rPr>
        <w:t xml:space="preserve">f the Act on Accounting regulates </w:t>
      </w:r>
      <w:r w:rsidRPr="00FA1502">
        <w:rPr>
          <w:rFonts w:ascii="Times New Roman" w:eastAsia="Times New Roman" w:hAnsi="Times New Roman" w:cs="Times New Roman"/>
          <w:sz w:val="24"/>
          <w:szCs w:val="24"/>
          <w:lang w:val="en-GB" w:eastAsia="cs-CZ"/>
        </w:rPr>
        <w:t>the mandatory disclosure of financial statemen</w:t>
      </w:r>
      <w:r w:rsidRPr="00FA1502">
        <w:rPr>
          <w:rFonts w:ascii="Times New Roman" w:eastAsia="Times New Roman" w:hAnsi="Times New Roman" w:cs="Times New Roman"/>
          <w:sz w:val="24"/>
          <w:szCs w:val="24"/>
          <w:lang w:val="en-GB" w:eastAsia="cs-CZ"/>
        </w:rPr>
        <w:t>ts for entities, which are listed</w:t>
      </w:r>
      <w:r w:rsidRPr="00FA1502">
        <w:rPr>
          <w:rFonts w:ascii="Times New Roman" w:eastAsia="Times New Roman" w:hAnsi="Times New Roman" w:cs="Times New Roman"/>
          <w:sz w:val="24"/>
          <w:szCs w:val="24"/>
          <w:lang w:val="en-GB" w:eastAsia="cs-CZ"/>
        </w:rPr>
        <w:t xml:space="preserve"> in the public register or for those</w:t>
      </w:r>
      <w:r w:rsidRPr="00FA1502">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fo</w:t>
      </w:r>
      <w:r w:rsidRPr="00FA1502">
        <w:rPr>
          <w:rFonts w:ascii="Times New Roman" w:eastAsia="Times New Roman" w:hAnsi="Times New Roman" w:cs="Times New Roman"/>
          <w:sz w:val="24"/>
          <w:szCs w:val="24"/>
          <w:lang w:val="en-GB" w:eastAsia="cs-CZ"/>
        </w:rPr>
        <w:t xml:space="preserve">r which a special regulation </w:t>
      </w:r>
      <w:r w:rsidRPr="00FA1502">
        <w:rPr>
          <w:rFonts w:ascii="Times New Roman" w:eastAsia="Times New Roman" w:hAnsi="Times New Roman" w:cs="Times New Roman"/>
          <w:sz w:val="24"/>
          <w:szCs w:val="24"/>
          <w:lang w:val="en-GB" w:eastAsia="cs-CZ"/>
        </w:rPr>
        <w:t>requires</w:t>
      </w:r>
      <w:r w:rsidRPr="00FA1502">
        <w:rPr>
          <w:rFonts w:ascii="Times New Roman" w:eastAsia="Times New Roman" w:hAnsi="Times New Roman" w:cs="Times New Roman"/>
          <w:sz w:val="24"/>
          <w:szCs w:val="24"/>
          <w:lang w:val="en-GB" w:eastAsia="cs-CZ"/>
        </w:rPr>
        <w:t xml:space="preserve"> so</w:t>
      </w:r>
      <w:r w:rsidRPr="00FA1502">
        <w:rPr>
          <w:rFonts w:ascii="Times New Roman" w:eastAsia="Times New Roman" w:hAnsi="Times New Roman" w:cs="Times New Roman"/>
          <w:sz w:val="24"/>
          <w:szCs w:val="24"/>
          <w:lang w:val="en-GB" w:eastAsia="cs-CZ"/>
        </w:rPr>
        <w:t>. However, in practice, not all issuers publish their financial statements or</w:t>
      </w:r>
      <w:r w:rsidRPr="00FA1502">
        <w:rPr>
          <w:rFonts w:ascii="Times New Roman" w:eastAsia="Times New Roman" w:hAnsi="Times New Roman" w:cs="Times New Roman"/>
          <w:sz w:val="24"/>
          <w:szCs w:val="24"/>
          <w:lang w:val="en-GB" w:eastAsia="cs-CZ"/>
        </w:rPr>
        <w:t xml:space="preserve"> do not publish them before the deadline</w:t>
      </w:r>
      <w:r w:rsidRPr="00FA1502">
        <w:rPr>
          <w:rFonts w:ascii="Times New Roman" w:eastAsia="Times New Roman" w:hAnsi="Times New Roman" w:cs="Times New Roman"/>
          <w:sz w:val="24"/>
          <w:szCs w:val="24"/>
          <w:lang w:val="en-GB" w:eastAsia="cs-CZ"/>
        </w:rPr>
        <w:t>. It is the</w:t>
      </w:r>
      <w:r w:rsidRPr="00FA1502" w:rsidR="00313CEE">
        <w:rPr>
          <w:rFonts w:ascii="Times New Roman" w:eastAsia="Times New Roman" w:hAnsi="Times New Roman" w:cs="Times New Roman"/>
          <w:sz w:val="24"/>
          <w:szCs w:val="24"/>
          <w:lang w:val="en-GB" w:eastAsia="cs-CZ"/>
        </w:rPr>
        <w:t>refore proposed that the issuance</w:t>
      </w:r>
      <w:r w:rsidRPr="00FA1502">
        <w:rPr>
          <w:rFonts w:ascii="Times New Roman" w:eastAsia="Times New Roman" w:hAnsi="Times New Roman" w:cs="Times New Roman"/>
          <w:sz w:val="24"/>
          <w:szCs w:val="24"/>
          <w:lang w:val="en-GB" w:eastAsia="cs-CZ"/>
        </w:rPr>
        <w:t xml:space="preserve"> conditions </w:t>
      </w:r>
      <w:r w:rsidRPr="00FA1502" w:rsidR="00313CEE">
        <w:rPr>
          <w:rFonts w:ascii="Times New Roman" w:eastAsia="Times New Roman" w:hAnsi="Times New Roman" w:cs="Times New Roman"/>
          <w:sz w:val="24"/>
          <w:szCs w:val="24"/>
          <w:lang w:val="en-GB" w:eastAsia="cs-CZ"/>
        </w:rPr>
        <w:t xml:space="preserve">should </w:t>
      </w:r>
      <w:r w:rsidRPr="00FA1502">
        <w:rPr>
          <w:rFonts w:ascii="Times New Roman" w:eastAsia="Times New Roman" w:hAnsi="Times New Roman" w:cs="Times New Roman"/>
          <w:sz w:val="24"/>
          <w:szCs w:val="24"/>
          <w:lang w:val="en-GB" w:eastAsia="cs-CZ"/>
        </w:rPr>
        <w:t>also include this information on the issu</w:t>
      </w:r>
      <w:r w:rsidRPr="00FA1502" w:rsidR="00313CEE">
        <w:rPr>
          <w:rFonts w:ascii="Times New Roman" w:eastAsia="Times New Roman" w:hAnsi="Times New Roman" w:cs="Times New Roman"/>
          <w:sz w:val="24"/>
          <w:szCs w:val="24"/>
          <w:lang w:val="en-GB" w:eastAsia="cs-CZ"/>
        </w:rPr>
        <w:t>er's annual reports and financial statements. It is</w:t>
      </w:r>
      <w:r w:rsidRPr="00FA1502">
        <w:rPr>
          <w:rFonts w:ascii="Times New Roman" w:eastAsia="Times New Roman" w:hAnsi="Times New Roman" w:cs="Times New Roman"/>
          <w:sz w:val="24"/>
          <w:szCs w:val="24"/>
          <w:lang w:val="en-GB" w:eastAsia="cs-CZ"/>
        </w:rPr>
        <w:t xml:space="preserve"> required to publish financial statements or annual report for the last two financial years, and since those two financial years mostly contain a reference to a previous period, it is possible to take into acc</w:t>
      </w:r>
      <w:r w:rsidRPr="00FA1502" w:rsidR="00313CEE">
        <w:rPr>
          <w:rFonts w:ascii="Times New Roman" w:eastAsia="Times New Roman" w:hAnsi="Times New Roman" w:cs="Times New Roman"/>
          <w:sz w:val="24"/>
          <w:szCs w:val="24"/>
          <w:lang w:val="en-GB" w:eastAsia="cs-CZ"/>
        </w:rPr>
        <w:t>ount the situation retrospectively</w:t>
      </w:r>
      <w:r w:rsidRPr="00FA1502">
        <w:rPr>
          <w:rFonts w:ascii="Times New Roman" w:eastAsia="Times New Roman" w:hAnsi="Times New Roman" w:cs="Times New Roman"/>
          <w:sz w:val="24"/>
          <w:szCs w:val="24"/>
          <w:lang w:val="en-GB" w:eastAsia="cs-CZ"/>
        </w:rPr>
        <w:t xml:space="preserve"> for the past three years. The audited financial statements then determine the accuracy and increase the credibility of the data, and if th</w:t>
      </w:r>
      <w:r w:rsidRPr="00FA1502" w:rsidR="00313CEE">
        <w:rPr>
          <w:rFonts w:ascii="Times New Roman" w:eastAsia="Times New Roman" w:hAnsi="Times New Roman" w:cs="Times New Roman"/>
          <w:sz w:val="24"/>
          <w:szCs w:val="24"/>
          <w:lang w:val="en-GB" w:eastAsia="cs-CZ"/>
        </w:rPr>
        <w:t>e auditor's issues a qualified opinion</w:t>
      </w:r>
      <w:r w:rsidRPr="00FA1502">
        <w:rPr>
          <w:rFonts w:ascii="Times New Roman" w:eastAsia="Times New Roman" w:hAnsi="Times New Roman" w:cs="Times New Roman"/>
          <w:sz w:val="24"/>
          <w:szCs w:val="24"/>
          <w:lang w:val="en-GB" w:eastAsia="cs-CZ"/>
        </w:rPr>
        <w:t>,</w:t>
      </w:r>
      <w:r w:rsidRPr="00FA1502" w:rsidR="00313CEE">
        <w:rPr>
          <w:rFonts w:ascii="Times New Roman" w:eastAsia="Times New Roman" w:hAnsi="Times New Roman" w:cs="Times New Roman"/>
          <w:sz w:val="24"/>
          <w:szCs w:val="24"/>
          <w:lang w:val="en-GB" w:eastAsia="cs-CZ"/>
        </w:rPr>
        <w:t xml:space="preserve"> the going concern</w:t>
      </w:r>
      <w:r w:rsidRPr="00FA1502">
        <w:rPr>
          <w:rFonts w:ascii="Times New Roman" w:eastAsia="Times New Roman" w:hAnsi="Times New Roman" w:cs="Times New Roman"/>
          <w:sz w:val="24"/>
          <w:szCs w:val="24"/>
          <w:lang w:val="en-GB" w:eastAsia="cs-CZ"/>
        </w:rPr>
        <w:t xml:space="preserve"> of the company is </w:t>
      </w:r>
      <w:r w:rsidRPr="00FA1502" w:rsidR="00313CEE">
        <w:rPr>
          <w:rFonts w:ascii="Times New Roman" w:eastAsia="Times New Roman" w:hAnsi="Times New Roman" w:cs="Times New Roman"/>
          <w:sz w:val="24"/>
          <w:szCs w:val="24"/>
          <w:lang w:val="en-GB" w:eastAsia="cs-CZ"/>
        </w:rPr>
        <w:t xml:space="preserve">then </w:t>
      </w:r>
      <w:r w:rsidRPr="00FA1502" w:rsidR="00A9213F">
        <w:rPr>
          <w:rFonts w:ascii="Times New Roman" w:eastAsia="Times New Roman" w:hAnsi="Times New Roman" w:cs="Times New Roman"/>
          <w:sz w:val="24"/>
          <w:szCs w:val="24"/>
          <w:lang w:val="en-GB" w:eastAsia="cs-CZ"/>
        </w:rPr>
        <w:t>questioned. The cash flow statement</w:t>
      </w:r>
      <w:r w:rsidRPr="00FA1502">
        <w:rPr>
          <w:rFonts w:ascii="Times New Roman" w:eastAsia="Times New Roman" w:hAnsi="Times New Roman" w:cs="Times New Roman"/>
          <w:i/>
          <w:iCs/>
          <w:sz w:val="24"/>
          <w:szCs w:val="24"/>
          <w:lang w:val="en-GB" w:eastAsia="cs-CZ"/>
        </w:rPr>
        <w:t xml:space="preserve"> </w:t>
      </w:r>
      <w:r w:rsidRPr="00FA1502">
        <w:rPr>
          <w:rFonts w:ascii="Times New Roman" w:eastAsia="Times New Roman" w:hAnsi="Times New Roman" w:cs="Times New Roman"/>
          <w:sz w:val="24"/>
          <w:szCs w:val="24"/>
          <w:lang w:val="en-GB" w:eastAsia="cs-CZ"/>
        </w:rPr>
        <w:t>provides infor</w:t>
      </w:r>
      <w:r w:rsidRPr="00FA1502" w:rsidR="009C0EA1">
        <w:rPr>
          <w:rFonts w:ascii="Times New Roman" w:eastAsia="Times New Roman" w:hAnsi="Times New Roman" w:cs="Times New Roman"/>
          <w:sz w:val="24"/>
          <w:szCs w:val="24"/>
          <w:lang w:val="en-GB" w:eastAsia="cs-CZ"/>
        </w:rPr>
        <w:t>mation on income and expenses and thus shows the actual flow of cash. I</w:t>
      </w:r>
      <w:r w:rsidRPr="00FA1502">
        <w:rPr>
          <w:rFonts w:ascii="Times New Roman" w:eastAsia="Times New Roman" w:hAnsi="Times New Roman" w:cs="Times New Roman"/>
          <w:sz w:val="24"/>
          <w:szCs w:val="24"/>
          <w:lang w:val="en-GB" w:eastAsia="cs-CZ"/>
        </w:rPr>
        <w:t>ts existe</w:t>
      </w:r>
      <w:r w:rsidRPr="00FA1502" w:rsidR="009C0EA1">
        <w:rPr>
          <w:rFonts w:ascii="Times New Roman" w:eastAsia="Times New Roman" w:hAnsi="Times New Roman" w:cs="Times New Roman"/>
          <w:sz w:val="24"/>
          <w:szCs w:val="24"/>
          <w:lang w:val="en-GB" w:eastAsia="cs-CZ"/>
        </w:rPr>
        <w:t>nce is very important annex</w:t>
      </w:r>
      <w:r w:rsidRPr="00FA1502">
        <w:rPr>
          <w:rFonts w:ascii="Times New Roman" w:eastAsia="Times New Roman" w:hAnsi="Times New Roman" w:cs="Times New Roman"/>
          <w:sz w:val="24"/>
          <w:szCs w:val="24"/>
          <w:lang w:val="en-GB" w:eastAsia="cs-CZ"/>
        </w:rPr>
        <w:t xml:space="preserve"> to the balance sh</w:t>
      </w:r>
      <w:r w:rsidRPr="00FA1502" w:rsidR="009C0EA1">
        <w:rPr>
          <w:rFonts w:ascii="Times New Roman" w:eastAsia="Times New Roman" w:hAnsi="Times New Roman" w:cs="Times New Roman"/>
          <w:sz w:val="24"/>
          <w:szCs w:val="24"/>
          <w:lang w:val="en-GB" w:eastAsia="cs-CZ"/>
        </w:rPr>
        <w:t>eet and profit and</w:t>
      </w:r>
      <w:r w:rsidRPr="00FA1502">
        <w:rPr>
          <w:rFonts w:ascii="Times New Roman" w:eastAsia="Times New Roman" w:hAnsi="Times New Roman" w:cs="Times New Roman"/>
          <w:sz w:val="24"/>
          <w:szCs w:val="24"/>
          <w:lang w:val="en-GB" w:eastAsia="cs-CZ"/>
        </w:rPr>
        <w:t xml:space="preserve"> loss account as on the basis of this statement can be</w:t>
      </w:r>
      <w:r w:rsidRPr="00FA1502" w:rsidR="009C0EA1">
        <w:rPr>
          <w:rFonts w:ascii="Times New Roman" w:eastAsia="Times New Roman" w:hAnsi="Times New Roman" w:cs="Times New Roman"/>
          <w:sz w:val="24"/>
          <w:szCs w:val="24"/>
          <w:lang w:val="en-GB" w:eastAsia="cs-CZ"/>
        </w:rPr>
        <w:t xml:space="preserve"> better determined, for example, the solvency of the issuer</w:t>
      </w:r>
      <w:r w:rsidRPr="00FA1502">
        <w:rPr>
          <w:rFonts w:ascii="Times New Roman" w:eastAsia="Times New Roman" w:hAnsi="Times New Roman" w:cs="Times New Roman"/>
          <w:sz w:val="24"/>
          <w:szCs w:val="24"/>
          <w:lang w:val="en-GB" w:eastAsia="cs-CZ"/>
        </w:rPr>
        <w:t>. All information</w:t>
      </w:r>
      <w:r w:rsidRPr="00FA1502" w:rsidR="009C0EA1">
        <w:rPr>
          <w:rFonts w:ascii="Times New Roman" w:eastAsia="Times New Roman" w:hAnsi="Times New Roman" w:cs="Times New Roman"/>
          <w:sz w:val="24"/>
          <w:szCs w:val="24"/>
          <w:lang w:val="en-GB" w:eastAsia="cs-CZ"/>
        </w:rPr>
        <w:t xml:space="preserve"> included in this provision thus aim</w:t>
      </w:r>
      <w:r w:rsidRPr="00FA1502">
        <w:rPr>
          <w:rFonts w:ascii="Times New Roman" w:eastAsia="Times New Roman" w:hAnsi="Times New Roman" w:cs="Times New Roman"/>
          <w:sz w:val="24"/>
          <w:szCs w:val="24"/>
          <w:lang w:val="en-GB" w:eastAsia="cs-CZ"/>
        </w:rPr>
        <w:t xml:space="preserve"> at the necessary increase i</w:t>
      </w:r>
      <w:r w:rsidRPr="00FA1502" w:rsidR="009C0EA1">
        <w:rPr>
          <w:rFonts w:ascii="Times New Roman" w:eastAsia="Times New Roman" w:hAnsi="Times New Roman" w:cs="Times New Roman"/>
          <w:sz w:val="24"/>
          <w:szCs w:val="24"/>
          <w:lang w:val="en-GB" w:eastAsia="cs-CZ"/>
        </w:rPr>
        <w:t>n transparency and a better ability to evaluate risk</w:t>
      </w:r>
      <w:r w:rsidRPr="00FA1502">
        <w:rPr>
          <w:rFonts w:ascii="Times New Roman" w:eastAsia="Times New Roman" w:hAnsi="Times New Roman" w:cs="Times New Roman"/>
          <w:sz w:val="24"/>
          <w:szCs w:val="24"/>
          <w:lang w:val="en-GB" w:eastAsia="cs-CZ"/>
        </w:rPr>
        <w:t xml:space="preserve"> by the inve</w:t>
      </w:r>
      <w:r w:rsidRPr="00FA1502" w:rsidR="009C0EA1">
        <w:rPr>
          <w:rFonts w:ascii="Times New Roman" w:eastAsia="Times New Roman" w:hAnsi="Times New Roman" w:cs="Times New Roman"/>
          <w:sz w:val="24"/>
          <w:szCs w:val="24"/>
          <w:lang w:val="en-GB" w:eastAsia="cs-CZ"/>
        </w:rPr>
        <w:t>stor through financial analysis</w:t>
      </w:r>
      <w:r w:rsidRPr="00FA1502">
        <w:rPr>
          <w:rFonts w:ascii="Times New Roman" w:eastAsia="Times New Roman" w:hAnsi="Times New Roman" w:cs="Times New Roman"/>
          <w:sz w:val="24"/>
          <w:szCs w:val="24"/>
          <w:lang w:val="en-GB" w:eastAsia="cs-CZ"/>
        </w:rPr>
        <w:t>.</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Re paragraph 2</w:t>
      </w:r>
      <w:r w:rsidRPr="00FA1502">
        <w:rPr>
          <w:rFonts w:ascii="Times New Roman" w:eastAsia="Times New Roman" w:hAnsi="Times New Roman" w:cs="Times New Roman"/>
          <w:sz w:val="24"/>
          <w:szCs w:val="24"/>
          <w:u w:val="single"/>
          <w:lang w:val="en-GB" w:eastAsia="cs-CZ"/>
        </w:rPr>
        <w:t xml:space="preserve"> </w:t>
      </w:r>
      <w:r w:rsidRPr="00FA1502">
        <w:rPr>
          <w:rFonts w:ascii="Times New Roman" w:eastAsia="Times New Roman" w:hAnsi="Times New Roman" w:cs="Times New Roman"/>
          <w:sz w:val="24"/>
          <w:szCs w:val="24"/>
          <w:u w:val="single"/>
          <w:lang w:val="en-GB" w:eastAsia="cs-CZ"/>
        </w:rPr>
        <w:t>(j)</w:t>
      </w:r>
      <w:r w:rsidRPr="00FA1502">
        <w:rPr>
          <w:rFonts w:ascii="Times New Roman" w:eastAsia="Times New Roman" w:hAnsi="Times New Roman" w:cs="Times New Roman"/>
          <w:sz w:val="24"/>
          <w:szCs w:val="24"/>
          <w:lang w:val="en-GB" w:eastAsia="cs-CZ"/>
        </w:rPr>
        <w:t xml:space="preserve">: Very important </w:t>
      </w:r>
      <w:r w:rsidRPr="00FA1502">
        <w:rPr>
          <w:rFonts w:ascii="Times New Roman" w:eastAsia="Times New Roman" w:hAnsi="Times New Roman" w:cs="Times New Roman"/>
          <w:sz w:val="24"/>
          <w:szCs w:val="24"/>
          <w:lang w:val="en-GB" w:eastAsia="cs-CZ"/>
        </w:rPr>
        <w:t>provisions</w:t>
      </w:r>
      <w:r w:rsidRPr="00FA1502">
        <w:rPr>
          <w:rFonts w:ascii="Times New Roman" w:eastAsia="Times New Roman" w:hAnsi="Times New Roman" w:cs="Times New Roman"/>
          <w:sz w:val="24"/>
          <w:szCs w:val="24"/>
          <w:lang w:val="en-GB" w:eastAsia="cs-CZ"/>
        </w:rPr>
        <w:t xml:space="preserve"> is amended</w:t>
      </w:r>
      <w:r w:rsidRPr="00FA1502">
        <w:rPr>
          <w:rFonts w:ascii="Times New Roman" w:eastAsia="Times New Roman" w:hAnsi="Times New Roman" w:cs="Times New Roman"/>
          <w:sz w:val="24"/>
          <w:szCs w:val="24"/>
          <w:lang w:val="en-GB" w:eastAsia="cs-CZ"/>
        </w:rPr>
        <w:t xml:space="preserve"> in par</w:t>
      </w:r>
      <w:r w:rsidRPr="00FA1502">
        <w:rPr>
          <w:rFonts w:ascii="Times New Roman" w:eastAsia="Times New Roman" w:hAnsi="Times New Roman" w:cs="Times New Roman"/>
          <w:sz w:val="24"/>
          <w:szCs w:val="24"/>
          <w:lang w:val="en-GB" w:eastAsia="cs-CZ"/>
        </w:rPr>
        <w:t>ticular with regard to holding structures and special purpose companies (SPVs), which finance</w:t>
      </w:r>
      <w:r w:rsidR="00A7116F">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assigne</w:t>
      </w:r>
      <w:r w:rsidRPr="00FA1502">
        <w:rPr>
          <w:rFonts w:ascii="Times New Roman" w:eastAsia="Times New Roman" w:hAnsi="Times New Roman" w:cs="Times New Roman"/>
          <w:sz w:val="24"/>
          <w:szCs w:val="24"/>
          <w:lang w:val="en-GB" w:eastAsia="cs-CZ"/>
        </w:rPr>
        <w:t xml:space="preserve">d </w:t>
      </w:r>
      <w:r w:rsidRPr="00FA1502">
        <w:rPr>
          <w:rFonts w:ascii="Times New Roman" w:eastAsia="Times New Roman" w:hAnsi="Times New Roman" w:cs="Times New Roman"/>
          <w:sz w:val="24"/>
          <w:szCs w:val="24"/>
          <w:lang w:val="en-GB" w:eastAsia="cs-CZ"/>
        </w:rPr>
        <w:t>companies within the holding. In the case of bonds being issued by subsidiaries, it is important to assess the issue in terms of holding structure using consol</w:t>
      </w:r>
      <w:r w:rsidRPr="00FA1502" w:rsidR="00F72610">
        <w:rPr>
          <w:rFonts w:ascii="Times New Roman" w:eastAsia="Times New Roman" w:hAnsi="Times New Roman" w:cs="Times New Roman"/>
          <w:sz w:val="24"/>
          <w:szCs w:val="24"/>
          <w:lang w:val="en-GB" w:eastAsia="cs-CZ"/>
        </w:rPr>
        <w:t>idated statements, financial guarantees and liability statements</w:t>
      </w:r>
      <w:r w:rsidRPr="00FA1502">
        <w:rPr>
          <w:rFonts w:ascii="Times New Roman" w:eastAsia="Times New Roman" w:hAnsi="Times New Roman" w:cs="Times New Roman"/>
          <w:sz w:val="24"/>
          <w:szCs w:val="24"/>
          <w:lang w:val="en-GB" w:eastAsia="cs-CZ"/>
        </w:rPr>
        <w:t>. Therefore, in t</w:t>
      </w:r>
      <w:r w:rsidRPr="00FA1502" w:rsidR="00F72610">
        <w:rPr>
          <w:rFonts w:ascii="Times New Roman" w:eastAsia="Times New Roman" w:hAnsi="Times New Roman" w:cs="Times New Roman"/>
          <w:sz w:val="24"/>
          <w:szCs w:val="24"/>
          <w:lang w:val="en-GB" w:eastAsia="cs-CZ"/>
        </w:rPr>
        <w:t>he case of a liability statement</w:t>
      </w:r>
      <w:r w:rsidRPr="00FA1502">
        <w:rPr>
          <w:rFonts w:ascii="Times New Roman" w:eastAsia="Times New Roman" w:hAnsi="Times New Roman" w:cs="Times New Roman"/>
          <w:sz w:val="24"/>
          <w:szCs w:val="24"/>
          <w:lang w:val="en-GB" w:eastAsia="cs-CZ"/>
        </w:rPr>
        <w:t xml:space="preserve"> or a financial guarantee by the parent company, the investor </w:t>
      </w:r>
      <w:r w:rsidRPr="00FA1502" w:rsidR="00F72610">
        <w:rPr>
          <w:rFonts w:ascii="Times New Roman" w:eastAsia="Times New Roman" w:hAnsi="Times New Roman" w:cs="Times New Roman"/>
          <w:sz w:val="24"/>
          <w:szCs w:val="24"/>
          <w:lang w:val="en-GB" w:eastAsia="cs-CZ"/>
        </w:rPr>
        <w:t>should also check</w:t>
      </w:r>
      <w:r w:rsidRPr="00FA1502">
        <w:rPr>
          <w:rFonts w:ascii="Times New Roman" w:eastAsia="Times New Roman" w:hAnsi="Times New Roman" w:cs="Times New Roman"/>
          <w:sz w:val="24"/>
          <w:szCs w:val="24"/>
          <w:lang w:val="en-GB" w:eastAsia="cs-CZ"/>
        </w:rPr>
        <w:t xml:space="preserve"> that guarantor. It is therefore important to attach such facts and financial statements. </w:t>
      </w:r>
      <w:r w:rsidRPr="00FA1502" w:rsidR="00F72610">
        <w:rPr>
          <w:rFonts w:ascii="Times New Roman" w:eastAsia="Times New Roman" w:hAnsi="Times New Roman" w:cs="Times New Roman"/>
          <w:sz w:val="24"/>
          <w:szCs w:val="24"/>
          <w:lang w:val="en-GB" w:eastAsia="cs-CZ"/>
        </w:rPr>
        <w:t>All information included in this provision thus aim at the necessary increase in transparency and a better ability to evaluate risk by the investor through financial analysis.</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Re paragraph 2 (k):</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Distributors and arrangers of an issue are also indicators</w:t>
      </w:r>
      <w:r w:rsidRPr="00FA1502">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by which the quality and risk of the issue can be assessed. If it is an established</w:t>
      </w:r>
      <w:r w:rsidRPr="00FA1502">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large, well-known, reputable </w:t>
      </w:r>
      <w:r w:rsidRPr="00FA1502">
        <w:rPr>
          <w:rFonts w:ascii="Times New Roman" w:eastAsia="Times New Roman" w:hAnsi="Times New Roman" w:cs="Times New Roman"/>
          <w:sz w:val="24"/>
          <w:szCs w:val="24"/>
          <w:lang w:val="en-GB" w:eastAsia="cs-CZ"/>
        </w:rPr>
        <w:t>institution u</w:t>
      </w:r>
      <w:r w:rsidRPr="00FA1502">
        <w:rPr>
          <w:rFonts w:ascii="Times New Roman" w:eastAsia="Times New Roman" w:hAnsi="Times New Roman" w:cs="Times New Roman"/>
          <w:sz w:val="24"/>
          <w:szCs w:val="24"/>
          <w:lang w:val="en-GB" w:eastAsia="cs-CZ"/>
        </w:rPr>
        <w:t>nder the supervision of the CNB</w:t>
      </w:r>
      <w:r w:rsidRPr="00FA1502">
        <w:rPr>
          <w:rFonts w:ascii="Times New Roman" w:eastAsia="Times New Roman" w:hAnsi="Times New Roman" w:cs="Times New Roman"/>
          <w:sz w:val="24"/>
          <w:szCs w:val="24"/>
          <w:lang w:val="en-GB" w:eastAsia="cs-CZ"/>
        </w:rPr>
        <w:t xml:space="preserve">, it will not automatically be a non-risky investment, but it will certainly be an investment with a probably lower risk than </w:t>
      </w:r>
      <w:r w:rsidRPr="00FA1502">
        <w:rPr>
          <w:rFonts w:ascii="Times New Roman" w:eastAsia="Times New Roman" w:hAnsi="Times New Roman" w:cs="Times New Roman"/>
          <w:sz w:val="24"/>
          <w:szCs w:val="24"/>
          <w:lang w:val="en-GB" w:eastAsia="cs-CZ"/>
        </w:rPr>
        <w:t xml:space="preserve">in a case of </w:t>
      </w:r>
      <w:r w:rsidRPr="00FA1502">
        <w:rPr>
          <w:rFonts w:ascii="Times New Roman" w:eastAsia="Times New Roman" w:hAnsi="Times New Roman" w:cs="Times New Roman"/>
          <w:sz w:val="24"/>
          <w:szCs w:val="24"/>
          <w:lang w:val="en-GB" w:eastAsia="cs-CZ"/>
        </w:rPr>
        <w:t>a distributor (person, institution)</w:t>
      </w:r>
      <w:r w:rsidRPr="00FA1502">
        <w:rPr>
          <w:rFonts w:ascii="Times New Roman" w:eastAsia="Times New Roman" w:hAnsi="Times New Roman" w:cs="Times New Roman"/>
          <w:sz w:val="24"/>
          <w:szCs w:val="24"/>
          <w:lang w:val="en-GB" w:eastAsia="cs-CZ"/>
        </w:rPr>
        <w:t xml:space="preserve">, which is not </w:t>
      </w:r>
      <w:r w:rsidRPr="00FA1502">
        <w:rPr>
          <w:rFonts w:ascii="Times New Roman" w:eastAsia="Times New Roman" w:hAnsi="Times New Roman" w:cs="Times New Roman"/>
          <w:sz w:val="24"/>
          <w:szCs w:val="24"/>
          <w:lang w:val="en-GB" w:eastAsia="cs-CZ"/>
        </w:rPr>
        <w:t>supervised</w:t>
      </w:r>
      <w:r w:rsidRPr="00FA1502">
        <w:rPr>
          <w:rFonts w:ascii="Times New Roman" w:eastAsia="Times New Roman" w:hAnsi="Times New Roman" w:cs="Times New Roman"/>
          <w:sz w:val="24"/>
          <w:szCs w:val="24"/>
          <w:lang w:val="en-GB" w:eastAsia="cs-CZ"/>
        </w:rPr>
        <w:t xml:space="preserve"> by the CNB</w:t>
      </w:r>
      <w:r w:rsidRPr="00FA1502">
        <w:rPr>
          <w:rFonts w:ascii="Times New Roman" w:eastAsia="Times New Roman" w:hAnsi="Times New Roman" w:cs="Times New Roman"/>
          <w:sz w:val="24"/>
          <w:szCs w:val="24"/>
          <w:lang w:val="en-GB" w:eastAsia="cs-CZ"/>
        </w:rPr>
        <w:t>. The name, registered office and identification number of these persons help the investor to identify and distinguish the persons</w:t>
      </w:r>
      <w:r w:rsidRPr="00FA1502" w:rsidR="006F0294">
        <w:rPr>
          <w:rFonts w:ascii="Times New Roman" w:eastAsia="Times New Roman" w:hAnsi="Times New Roman" w:cs="Times New Roman"/>
          <w:sz w:val="24"/>
          <w:szCs w:val="24"/>
          <w:lang w:val="en-GB" w:eastAsia="cs-CZ"/>
        </w:rPr>
        <w:t>, who are offering the issues</w:t>
      </w:r>
      <w:r w:rsidRPr="00FA1502">
        <w:rPr>
          <w:rFonts w:ascii="Times New Roman" w:eastAsia="Times New Roman" w:hAnsi="Times New Roman" w:cs="Times New Roman"/>
          <w:sz w:val="24"/>
          <w:szCs w:val="24"/>
          <w:lang w:val="en-GB" w:eastAsia="cs-CZ"/>
        </w:rPr>
        <w:t>.</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Re paragraph 2</w:t>
      </w:r>
      <w:r w:rsidRPr="00FA1502">
        <w:rPr>
          <w:rFonts w:ascii="Times New Roman" w:eastAsia="Times New Roman" w:hAnsi="Times New Roman" w:cs="Times New Roman"/>
          <w:sz w:val="24"/>
          <w:szCs w:val="24"/>
          <w:u w:val="single"/>
          <w:lang w:val="en-GB" w:eastAsia="cs-CZ"/>
        </w:rPr>
        <w:t xml:space="preserve"> </w:t>
      </w:r>
      <w:r w:rsidRPr="00FA1502">
        <w:rPr>
          <w:rFonts w:ascii="Times New Roman" w:eastAsia="Times New Roman" w:hAnsi="Times New Roman" w:cs="Times New Roman"/>
          <w:sz w:val="24"/>
          <w:szCs w:val="24"/>
          <w:u w:val="single"/>
          <w:lang w:val="en-GB" w:eastAsia="cs-CZ"/>
        </w:rPr>
        <w:t>(</w:t>
      </w:r>
      <w:r w:rsidRPr="00FA1502">
        <w:rPr>
          <w:rFonts w:ascii="Times New Roman" w:eastAsia="Times New Roman" w:hAnsi="Times New Roman" w:cs="Times New Roman"/>
          <w:sz w:val="24"/>
          <w:szCs w:val="24"/>
          <w:u w:val="single"/>
          <w:lang w:val="en-GB" w:eastAsia="cs-CZ"/>
        </w:rPr>
        <w:t>l):</w:t>
      </w:r>
      <w:r w:rsidRPr="00FA1502">
        <w:rPr>
          <w:rFonts w:ascii="Times New Roman" w:eastAsia="Times New Roman" w:hAnsi="Times New Roman" w:cs="Times New Roman"/>
          <w:sz w:val="24"/>
          <w:szCs w:val="24"/>
          <w:lang w:val="en-GB" w:eastAsia="cs-CZ"/>
        </w:rPr>
        <w:t xml:space="preserve"> Collateral is considered an important factor in the purchase of a bond, especially if the issuer is already in debt. The importance of collateral grows with the probability of repayment problems. In the case of a bond purchase from an issuer with a higher rate of </w:t>
      </w:r>
      <w:r w:rsidRPr="00FA1502" w:rsidR="0026077F">
        <w:rPr>
          <w:rFonts w:ascii="Times New Roman" w:eastAsia="Times New Roman" w:hAnsi="Times New Roman" w:cs="Times New Roman"/>
          <w:sz w:val="24"/>
          <w:szCs w:val="24"/>
          <w:lang w:val="en-GB" w:eastAsia="cs-CZ"/>
        </w:rPr>
        <w:t>loans</w:t>
      </w:r>
      <w:r w:rsidRPr="00FA1502">
        <w:rPr>
          <w:rFonts w:ascii="Times New Roman" w:eastAsia="Times New Roman" w:hAnsi="Times New Roman" w:cs="Times New Roman"/>
          <w:sz w:val="24"/>
          <w:szCs w:val="24"/>
          <w:lang w:val="en-GB" w:eastAsia="cs-CZ"/>
        </w:rPr>
        <w:t xml:space="preserve"> or worse financial results / indicators, </w:t>
      </w:r>
      <w:r w:rsidRPr="00FA1502" w:rsidR="0026077F">
        <w:rPr>
          <w:rFonts w:ascii="Times New Roman" w:eastAsia="Times New Roman" w:hAnsi="Times New Roman" w:cs="Times New Roman"/>
          <w:sz w:val="24"/>
          <w:szCs w:val="24"/>
          <w:lang w:val="en-GB" w:eastAsia="cs-CZ"/>
        </w:rPr>
        <w:t xml:space="preserve">collateral </w:t>
      </w:r>
      <w:r w:rsidRPr="00FA1502">
        <w:rPr>
          <w:rFonts w:ascii="Times New Roman" w:eastAsia="Times New Roman" w:hAnsi="Times New Roman" w:cs="Times New Roman"/>
          <w:sz w:val="24"/>
          <w:szCs w:val="24"/>
          <w:lang w:val="en-GB" w:eastAsia="cs-CZ"/>
        </w:rPr>
        <w:t>is absolutely essential. Information on what is secured or not secured repayment of the amount owed greatly helps in the selection and investment in the bond and possibly reduces losses in case of default.</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Re paragraph</w:t>
      </w:r>
      <w:r w:rsidRPr="00FA1502" w:rsidR="003C748B">
        <w:rPr>
          <w:rFonts w:ascii="Times New Roman" w:eastAsia="Times New Roman" w:hAnsi="Times New Roman" w:cs="Times New Roman"/>
          <w:sz w:val="24"/>
          <w:szCs w:val="24"/>
          <w:u w:val="single"/>
          <w:lang w:val="en-GB" w:eastAsia="cs-CZ"/>
        </w:rPr>
        <w:t xml:space="preserve"> 2</w:t>
      </w:r>
      <w:r w:rsidRPr="00FA1502">
        <w:rPr>
          <w:rFonts w:ascii="Times New Roman" w:eastAsia="Times New Roman" w:hAnsi="Times New Roman" w:cs="Times New Roman"/>
          <w:sz w:val="24"/>
          <w:szCs w:val="24"/>
          <w:u w:val="single"/>
          <w:lang w:val="en-GB" w:eastAsia="cs-CZ"/>
        </w:rPr>
        <w:t xml:space="preserve"> </w:t>
      </w:r>
      <w:r w:rsidRPr="00FA1502">
        <w:rPr>
          <w:rFonts w:ascii="Times New Roman" w:eastAsia="Times New Roman" w:hAnsi="Times New Roman" w:cs="Times New Roman"/>
          <w:sz w:val="24"/>
          <w:szCs w:val="24"/>
          <w:u w:val="single"/>
          <w:lang w:val="en-GB" w:eastAsia="cs-CZ"/>
        </w:rPr>
        <w:t>(</w:t>
      </w:r>
      <w:r w:rsidRPr="00FA1502">
        <w:rPr>
          <w:rFonts w:ascii="Times New Roman" w:eastAsia="Times New Roman" w:hAnsi="Times New Roman" w:cs="Times New Roman"/>
          <w:sz w:val="24"/>
          <w:szCs w:val="24"/>
          <w:u w:val="single"/>
          <w:lang w:val="en-GB" w:eastAsia="cs-CZ"/>
        </w:rPr>
        <w:t>m):</w:t>
      </w:r>
      <w:r w:rsidRPr="00FA1502">
        <w:rPr>
          <w:rFonts w:ascii="Times New Roman" w:eastAsia="Times New Roman" w:hAnsi="Times New Roman" w:cs="Times New Roman"/>
          <w:sz w:val="24"/>
          <w:szCs w:val="24"/>
          <w:lang w:val="en-GB" w:eastAsia="cs-CZ"/>
        </w:rPr>
        <w:t xml:space="preserve"> The company management and information about its individual members point to the transparency, quality, skills and experience of the company. In practice, it may also happen that management </w:t>
      </w:r>
      <w:r w:rsidRPr="00FA1502">
        <w:rPr>
          <w:rFonts w:ascii="Times New Roman" w:eastAsia="Times New Roman" w:hAnsi="Times New Roman" w:cs="Times New Roman"/>
          <w:sz w:val="24"/>
          <w:szCs w:val="24"/>
          <w:lang w:val="en-GB" w:eastAsia="cs-CZ"/>
        </w:rPr>
        <w:t>members</w:t>
      </w:r>
      <w:r w:rsidRPr="00FA1502">
        <w:rPr>
          <w:rFonts w:ascii="Times New Roman" w:eastAsia="Times New Roman" w:hAnsi="Times New Roman" w:cs="Times New Roman"/>
          <w:sz w:val="24"/>
          <w:szCs w:val="24"/>
          <w:lang w:val="en-GB" w:eastAsia="cs-CZ"/>
        </w:rPr>
        <w:t xml:space="preserve"> bankrupt one company and then start or work for another, which may or may not indicate risk. Publication of information about individual management members helps investors in the overall assessment of the issue.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Re paragraph 2 (n</w:t>
      </w:r>
      <w:r w:rsidRPr="00FA1502">
        <w:rPr>
          <w:rFonts w:ascii="Times New Roman" w:eastAsia="Times New Roman" w:hAnsi="Times New Roman" w:cs="Times New Roman"/>
          <w:sz w:val="24"/>
          <w:szCs w:val="24"/>
          <w:u w:val="single"/>
          <w:lang w:val="en-GB" w:eastAsia="cs-CZ"/>
        </w:rPr>
        <w:t>):</w:t>
      </w:r>
      <w:r w:rsidRPr="00FA1502">
        <w:rPr>
          <w:rFonts w:ascii="Times New Roman" w:eastAsia="Times New Roman" w:hAnsi="Times New Roman" w:cs="Times New Roman"/>
          <w:sz w:val="24"/>
          <w:szCs w:val="24"/>
          <w:lang w:val="en-GB" w:eastAsia="cs-CZ"/>
        </w:rPr>
        <w:t xml:space="preserve"> Thi</w:t>
      </w:r>
      <w:r w:rsidRPr="00FA1502">
        <w:rPr>
          <w:rFonts w:ascii="Times New Roman" w:eastAsia="Times New Roman" w:hAnsi="Times New Roman" w:cs="Times New Roman"/>
          <w:sz w:val="24"/>
          <w:szCs w:val="24"/>
          <w:lang w:val="en-GB" w:eastAsia="cs-CZ"/>
        </w:rPr>
        <w:t>s provision is particularly important with regard t</w:t>
      </w:r>
      <w:r w:rsidRPr="00FA1502">
        <w:rPr>
          <w:rFonts w:ascii="Times New Roman" w:eastAsia="Times New Roman" w:hAnsi="Times New Roman" w:cs="Times New Roman"/>
          <w:sz w:val="24"/>
          <w:szCs w:val="24"/>
          <w:lang w:val="en-GB" w:eastAsia="cs-CZ"/>
        </w:rPr>
        <w:t>o holding structures and ready</w:t>
      </w:r>
      <w:r w:rsidRPr="00FA1502">
        <w:rPr>
          <w:rFonts w:ascii="Times New Roman" w:eastAsia="Times New Roman" w:hAnsi="Times New Roman" w:cs="Times New Roman"/>
          <w:sz w:val="24"/>
          <w:szCs w:val="24"/>
          <w:lang w:val="en-GB" w:eastAsia="cs-CZ"/>
        </w:rPr>
        <w:t xml:space="preserve">-built companies financing companies and subsidiaries within the holding. Where bonds are issued by subsidiaries, it is important to assess the issue in terms of holding structure using consolidated </w:t>
      </w:r>
      <w:r w:rsidRPr="00FA1502">
        <w:rPr>
          <w:rFonts w:ascii="Times New Roman" w:eastAsia="Times New Roman" w:hAnsi="Times New Roman" w:cs="Times New Roman"/>
          <w:sz w:val="24"/>
          <w:szCs w:val="24"/>
          <w:lang w:val="en-GB" w:eastAsia="cs-CZ"/>
        </w:rPr>
        <w:t xml:space="preserve">financial </w:t>
      </w:r>
      <w:r w:rsidRPr="00FA1502">
        <w:rPr>
          <w:rFonts w:ascii="Times New Roman" w:eastAsia="Times New Roman" w:hAnsi="Times New Roman" w:cs="Times New Roman"/>
          <w:sz w:val="24"/>
          <w:szCs w:val="24"/>
          <w:lang w:val="en-GB" w:eastAsia="cs-CZ"/>
        </w:rPr>
        <w:t>statements, guarantees and overall ownership</w:t>
      </w:r>
      <w:r w:rsidRPr="00FA1502">
        <w:rPr>
          <w:rFonts w:ascii="Times New Roman" w:eastAsia="Times New Roman" w:hAnsi="Times New Roman" w:cs="Times New Roman"/>
          <w:sz w:val="24"/>
          <w:szCs w:val="24"/>
          <w:lang w:val="en-GB" w:eastAsia="cs-CZ"/>
        </w:rPr>
        <w:t xml:space="preserve"> structure</w:t>
      </w:r>
      <w:r w:rsidRPr="00FA1502">
        <w:rPr>
          <w:rFonts w:ascii="Times New Roman" w:eastAsia="Times New Roman" w:hAnsi="Times New Roman" w:cs="Times New Roman"/>
          <w:sz w:val="24"/>
          <w:szCs w:val="24"/>
          <w:lang w:val="en-GB" w:eastAsia="cs-CZ"/>
        </w:rPr>
        <w:t>. This, among other things, helps the investor to determine, for example, whether or not the owner is a fraudulent person, information about companies within the holding, associated risks, etc.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Re paragraph 3:</w:t>
      </w:r>
      <w:r w:rsidRPr="00FA1502">
        <w:rPr>
          <w:rFonts w:ascii="Times New Roman" w:eastAsia="Times New Roman" w:hAnsi="Times New Roman" w:cs="Times New Roman"/>
          <w:sz w:val="24"/>
          <w:szCs w:val="24"/>
          <w:lang w:val="en-GB" w:eastAsia="cs-CZ"/>
        </w:rPr>
        <w:t xml:space="preserve"> In view of transparency and increased protection of investors, it is proposed that the issuer or other person offering the bond should be obliged to publish the </w:t>
      </w:r>
      <w:r w:rsidRPr="00FA1502" w:rsidR="000A4E92">
        <w:rPr>
          <w:rFonts w:ascii="Times New Roman" w:eastAsia="Times New Roman" w:hAnsi="Times New Roman" w:cs="Times New Roman"/>
          <w:sz w:val="24"/>
          <w:szCs w:val="24"/>
          <w:lang w:val="en-GB" w:eastAsia="cs-CZ"/>
        </w:rPr>
        <w:t>issuance conditions</w:t>
      </w:r>
      <w:r w:rsidRPr="00FA1502">
        <w:rPr>
          <w:rFonts w:ascii="Times New Roman" w:eastAsia="Times New Roman" w:hAnsi="Times New Roman" w:cs="Times New Roman"/>
          <w:sz w:val="24"/>
          <w:szCs w:val="24"/>
          <w:lang w:val="en-GB" w:eastAsia="cs-CZ"/>
        </w:rPr>
        <w:t xml:space="preserve"> on its website.</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points 4 and 5 [</w:t>
      </w:r>
      <w:r w:rsidRPr="00FA1502" w:rsidR="006251A5">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10 </w:t>
      </w:r>
      <w:r w:rsidRPr="00FA1502" w:rsidR="006251A5">
        <w:rPr>
          <w:rFonts w:ascii="Times New Roman" w:eastAsia="Times New Roman" w:hAnsi="Times New Roman" w:cs="Times New Roman"/>
          <w:b/>
          <w:bCs/>
          <w:sz w:val="24"/>
          <w:szCs w:val="24"/>
          <w:u w:val="single"/>
          <w:lang w:val="en-GB" w:eastAsia="cs-CZ"/>
        </w:rPr>
        <w:t>(2)</w:t>
      </w:r>
      <w:r w:rsidRPr="00FA1502">
        <w:rPr>
          <w:rFonts w:ascii="Times New Roman" w:eastAsia="Times New Roman" w:hAnsi="Times New Roman" w:cs="Times New Roman"/>
          <w:b/>
          <w:bCs/>
          <w:sz w:val="24"/>
          <w:szCs w:val="24"/>
          <w:u w:val="single"/>
          <w:lang w:val="en-GB" w:eastAsia="cs-CZ"/>
        </w:rPr>
        <w:t xml:space="preserve"> (b) and new </w:t>
      </w:r>
      <w:r w:rsidRPr="00FA1502" w:rsidR="006251A5">
        <w:rPr>
          <w:rFonts w:ascii="Times New Roman" w:eastAsia="Times New Roman" w:hAnsi="Times New Roman" w:cs="Times New Roman"/>
          <w:b/>
          <w:bCs/>
          <w:sz w:val="24"/>
          <w:szCs w:val="24"/>
          <w:u w:val="single"/>
          <w:lang w:val="en-GB" w:eastAsia="cs-CZ"/>
        </w:rPr>
        <w:t xml:space="preserve">letter </w:t>
      </w:r>
      <w:r w:rsidRPr="00FA1502">
        <w:rPr>
          <w:rFonts w:ascii="Times New Roman" w:eastAsia="Times New Roman" w:hAnsi="Times New Roman" w:cs="Times New Roman"/>
          <w:b/>
          <w:bCs/>
          <w:sz w:val="24"/>
          <w:szCs w:val="24"/>
          <w:u w:val="single"/>
          <w:lang w:val="en-GB" w:eastAsia="cs-CZ"/>
        </w:rPr>
        <w:t xml:space="preserve">(c)]: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It is proposed that in cases where these are merely changes of an adm</w:t>
      </w:r>
      <w:r w:rsidRPr="00FA1502" w:rsidR="000A4E92">
        <w:rPr>
          <w:rFonts w:ascii="Times New Roman" w:eastAsia="Times New Roman" w:hAnsi="Times New Roman" w:cs="Times New Roman"/>
          <w:sz w:val="24"/>
          <w:szCs w:val="24"/>
          <w:lang w:val="en-GB" w:eastAsia="cs-CZ"/>
        </w:rPr>
        <w:t>inistrative or technical nature</w:t>
      </w:r>
      <w:r w:rsidRPr="00FA1502">
        <w:rPr>
          <w:rFonts w:ascii="Times New Roman" w:eastAsia="Times New Roman" w:hAnsi="Times New Roman" w:cs="Times New Roman"/>
          <w:sz w:val="24"/>
          <w:szCs w:val="24"/>
          <w:lang w:val="en-GB" w:eastAsia="cs-CZ"/>
        </w:rPr>
        <w:t>, or if the change does n</w:t>
      </w:r>
      <w:r w:rsidRPr="00FA1502" w:rsidR="000A4E92">
        <w:rPr>
          <w:rFonts w:ascii="Times New Roman" w:eastAsia="Times New Roman" w:hAnsi="Times New Roman" w:cs="Times New Roman"/>
          <w:sz w:val="24"/>
          <w:szCs w:val="24"/>
          <w:lang w:val="en-GB" w:eastAsia="cs-CZ"/>
        </w:rPr>
        <w:t>ot adversely affect bondholders</w:t>
      </w:r>
      <w:r w:rsidRPr="00FA1502">
        <w:rPr>
          <w:rFonts w:ascii="Times New Roman" w:eastAsia="Times New Roman" w:hAnsi="Times New Roman" w:cs="Times New Roman"/>
          <w:sz w:val="24"/>
          <w:szCs w:val="24"/>
          <w:lang w:val="en-GB" w:eastAsia="cs-CZ"/>
        </w:rPr>
        <w:t>, the issuer is not obliged to convene a meeting of bond owners. This change is intended to facilitate greater flexibility, without prejudice to investor protection.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6 [</w:t>
      </w:r>
      <w:r w:rsidRPr="00FA1502" w:rsidR="00592374">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11 </w:t>
      </w:r>
      <w:r w:rsidRPr="00FA1502" w:rsidR="00592374">
        <w:rPr>
          <w:rFonts w:ascii="Times New Roman" w:eastAsia="Times New Roman" w:hAnsi="Times New Roman" w:cs="Times New Roman"/>
          <w:b/>
          <w:bCs/>
          <w:sz w:val="24"/>
          <w:szCs w:val="24"/>
          <w:u w:val="single"/>
          <w:lang w:val="en-GB" w:eastAsia="cs-CZ"/>
        </w:rPr>
        <w:t>(3) (a</w:t>
      </w:r>
      <w:r w:rsidRPr="00FA1502">
        <w:rPr>
          <w:rFonts w:ascii="Times New Roman" w:eastAsia="Times New Roman" w:hAnsi="Times New Roman" w:cs="Times New Roman"/>
          <w:b/>
          <w:bCs/>
          <w:sz w:val="24"/>
          <w:szCs w:val="24"/>
          <w:u w:val="single"/>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This is a legislative-technical change of references.</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 7 </w:t>
      </w:r>
      <w:r w:rsidRPr="00FA1502" w:rsidR="000B09A4">
        <w:rPr>
          <w:rFonts w:ascii="Times New Roman" w:eastAsia="Times New Roman" w:hAnsi="Times New Roman" w:cs="Times New Roman"/>
          <w:b/>
          <w:bCs/>
          <w:sz w:val="24"/>
          <w:szCs w:val="24"/>
          <w:u w:val="single"/>
          <w:lang w:val="en-GB" w:eastAsia="cs-CZ"/>
        </w:rPr>
        <w:t>[Section 21a (2)]</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This is a legislative-technical change returning the </w:t>
      </w:r>
      <w:r w:rsidRPr="00FA1502" w:rsidR="000B09A4">
        <w:rPr>
          <w:rFonts w:ascii="Times New Roman" w:eastAsia="Times New Roman" w:hAnsi="Times New Roman" w:cs="Times New Roman"/>
          <w:sz w:val="24"/>
          <w:szCs w:val="24"/>
          <w:lang w:val="en-GB" w:eastAsia="cs-CZ"/>
        </w:rPr>
        <w:t>unintentionally omitted legislative abbreviation</w:t>
      </w:r>
      <w:r w:rsidRPr="00FA1502">
        <w:rPr>
          <w:rFonts w:ascii="Times New Roman" w:eastAsia="Times New Roman" w:hAnsi="Times New Roman" w:cs="Times New Roman"/>
          <w:sz w:val="24"/>
          <w:szCs w:val="24"/>
          <w:lang w:val="en-GB" w:eastAsia="cs-CZ"/>
        </w:rPr>
        <w:t>.</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points 8 and 9 </w:t>
      </w:r>
      <w:r w:rsidRPr="00FA1502" w:rsidR="00D963A9">
        <w:rPr>
          <w:rFonts w:ascii="Times New Roman" w:eastAsia="Times New Roman" w:hAnsi="Times New Roman" w:cs="Times New Roman"/>
          <w:b/>
          <w:bCs/>
          <w:sz w:val="24"/>
          <w:szCs w:val="24"/>
          <w:u w:val="single"/>
          <w:lang w:val="en-GB" w:eastAsia="cs-CZ"/>
        </w:rPr>
        <w:t>[Section 23 (5)]</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provision is liberalized in favo</w:t>
      </w:r>
      <w:r w:rsidRPr="00FA1502" w:rsidR="00D963A9">
        <w:rPr>
          <w:rFonts w:ascii="Times New Roman" w:eastAsia="Times New Roman" w:hAnsi="Times New Roman" w:cs="Times New Roman"/>
          <w:sz w:val="24"/>
          <w:szCs w:val="24"/>
          <w:lang w:val="en-GB" w:eastAsia="cs-CZ"/>
        </w:rPr>
        <w:t>u</w:t>
      </w:r>
      <w:r w:rsidRPr="00FA1502">
        <w:rPr>
          <w:rFonts w:ascii="Times New Roman" w:eastAsia="Times New Roman" w:hAnsi="Times New Roman" w:cs="Times New Roman"/>
          <w:sz w:val="24"/>
          <w:szCs w:val="24"/>
          <w:lang w:val="en-GB" w:eastAsia="cs-CZ"/>
        </w:rPr>
        <w:t xml:space="preserve">r of the issuer. </w:t>
      </w:r>
      <w:r w:rsidRPr="00FA1502" w:rsidR="00D963A9">
        <w:rPr>
          <w:rFonts w:ascii="Times New Roman" w:eastAsia="Times New Roman" w:hAnsi="Times New Roman" w:cs="Times New Roman"/>
          <w:sz w:val="24"/>
          <w:szCs w:val="24"/>
          <w:lang w:val="en-GB" w:eastAsia="cs-CZ"/>
        </w:rPr>
        <w:t>Provisions regarding</w:t>
      </w:r>
      <w:r w:rsidRPr="00FA1502">
        <w:rPr>
          <w:rFonts w:ascii="Times New Roman" w:eastAsia="Times New Roman" w:hAnsi="Times New Roman" w:cs="Times New Roman"/>
          <w:sz w:val="24"/>
          <w:szCs w:val="24"/>
          <w:lang w:val="en-GB" w:eastAsia="cs-CZ"/>
        </w:rPr>
        <w:t xml:space="preserve"> rights of </w:t>
      </w:r>
      <w:r w:rsidRPr="00FA1502" w:rsidR="00D963A9">
        <w:rPr>
          <w:rFonts w:ascii="Times New Roman" w:eastAsia="Times New Roman" w:hAnsi="Times New Roman" w:cs="Times New Roman"/>
          <w:sz w:val="24"/>
          <w:szCs w:val="24"/>
          <w:lang w:val="en-GB" w:eastAsia="cs-CZ"/>
        </w:rPr>
        <w:t>owner of the bond</w:t>
      </w:r>
      <w:r w:rsidRPr="00FA1502">
        <w:rPr>
          <w:rFonts w:ascii="Times New Roman" w:eastAsia="Times New Roman" w:hAnsi="Times New Roman" w:cs="Times New Roman"/>
          <w:sz w:val="24"/>
          <w:szCs w:val="24"/>
          <w:lang w:val="en-GB" w:eastAsia="cs-CZ"/>
        </w:rPr>
        <w:t xml:space="preserve"> </w:t>
      </w:r>
      <w:r w:rsidRPr="00FA1502" w:rsidR="00D963A9">
        <w:rPr>
          <w:rFonts w:ascii="Times New Roman" w:eastAsia="Times New Roman" w:hAnsi="Times New Roman" w:cs="Times New Roman"/>
          <w:sz w:val="24"/>
          <w:szCs w:val="24"/>
          <w:lang w:val="en-GB" w:eastAsia="cs-CZ"/>
        </w:rPr>
        <w:t xml:space="preserve">who disagreed with a change adopted in </w:t>
      </w:r>
      <w:r w:rsidRPr="00FA1502">
        <w:rPr>
          <w:rFonts w:ascii="Times New Roman" w:eastAsia="Times New Roman" w:hAnsi="Times New Roman" w:cs="Times New Roman"/>
          <w:sz w:val="24"/>
          <w:szCs w:val="24"/>
          <w:lang w:val="en-GB" w:eastAsia="cs-CZ"/>
        </w:rPr>
        <w:t xml:space="preserve">the </w:t>
      </w:r>
      <w:r w:rsidRPr="00FA1502" w:rsidR="00D963A9">
        <w:rPr>
          <w:rFonts w:ascii="Times New Roman" w:eastAsia="Times New Roman" w:hAnsi="Times New Roman" w:cs="Times New Roman"/>
          <w:sz w:val="24"/>
          <w:szCs w:val="24"/>
          <w:lang w:val="en-GB" w:eastAsia="cs-CZ"/>
        </w:rPr>
        <w:t xml:space="preserve">holders </w:t>
      </w:r>
      <w:r w:rsidRPr="00FA1502">
        <w:rPr>
          <w:rFonts w:ascii="Times New Roman" w:eastAsia="Times New Roman" w:hAnsi="Times New Roman" w:cs="Times New Roman"/>
          <w:sz w:val="24"/>
          <w:szCs w:val="24"/>
          <w:lang w:val="en-GB" w:eastAsia="cs-CZ"/>
        </w:rPr>
        <w:t xml:space="preserve">meeting </w:t>
      </w:r>
      <w:r w:rsidRPr="00FA1502" w:rsidR="00D963A9">
        <w:rPr>
          <w:rFonts w:ascii="Times New Roman" w:eastAsia="Times New Roman" w:hAnsi="Times New Roman" w:cs="Times New Roman"/>
          <w:sz w:val="24"/>
          <w:szCs w:val="24"/>
          <w:lang w:val="en-GB" w:eastAsia="cs-CZ"/>
        </w:rPr>
        <w:t xml:space="preserve">and in this respect </w:t>
      </w:r>
      <w:r w:rsidRPr="00FA1502">
        <w:rPr>
          <w:rFonts w:ascii="Times New Roman" w:eastAsia="Times New Roman" w:hAnsi="Times New Roman" w:cs="Times New Roman"/>
          <w:sz w:val="24"/>
          <w:szCs w:val="24"/>
          <w:lang w:val="en-GB" w:eastAsia="cs-CZ"/>
        </w:rPr>
        <w:t>could apply for early repayment of the nominal value of the bond</w:t>
      </w:r>
      <w:r w:rsidRPr="00FA1502" w:rsidR="00014D3F">
        <w:rPr>
          <w:rFonts w:ascii="Times New Roman" w:eastAsia="Times New Roman" w:hAnsi="Times New Roman" w:cs="Times New Roman"/>
          <w:sz w:val="24"/>
          <w:szCs w:val="24"/>
          <w:lang w:val="en-GB" w:eastAsia="cs-CZ"/>
        </w:rPr>
        <w:t>,</w:t>
      </w:r>
      <w:r w:rsidRPr="00FA1502" w:rsidR="001D6390">
        <w:rPr>
          <w:rFonts w:ascii="Times New Roman" w:eastAsia="Times New Roman" w:hAnsi="Times New Roman" w:cs="Times New Roman"/>
          <w:sz w:val="24"/>
          <w:szCs w:val="24"/>
          <w:lang w:val="en-GB" w:eastAsia="cs-CZ"/>
        </w:rPr>
        <w:t xml:space="preserve"> are</w:t>
      </w:r>
      <w:r w:rsidRPr="00FA1502">
        <w:rPr>
          <w:rFonts w:ascii="Times New Roman" w:eastAsia="Times New Roman" w:hAnsi="Times New Roman" w:cs="Times New Roman"/>
          <w:sz w:val="24"/>
          <w:szCs w:val="24"/>
          <w:lang w:val="en-GB" w:eastAsia="cs-CZ"/>
        </w:rPr>
        <w:t xml:space="preserve"> proposed as dispositive. In view </w:t>
      </w:r>
      <w:r w:rsidRPr="00FA1502">
        <w:rPr>
          <w:rFonts w:ascii="Times New Roman" w:eastAsia="Times New Roman" w:hAnsi="Times New Roman" w:cs="Times New Roman"/>
          <w:sz w:val="24"/>
          <w:szCs w:val="24"/>
          <w:lang w:val="en-GB" w:eastAsia="cs-CZ"/>
        </w:rPr>
        <w:t xml:space="preserve">of the principle of </w:t>
      </w:r>
      <w:r w:rsidRPr="00FA1502">
        <w:rPr>
          <w:rFonts w:ascii="Times New Roman" w:eastAsia="Times New Roman" w:hAnsi="Times New Roman" w:cs="Times New Roman"/>
          <w:i/>
          <w:iCs/>
          <w:sz w:val="24"/>
          <w:szCs w:val="24"/>
          <w:lang w:val="en-GB" w:eastAsia="cs-CZ"/>
        </w:rPr>
        <w:t>vigilantibus</w:t>
      </w:r>
      <w:r w:rsidRPr="00FA1502">
        <w:rPr>
          <w:rFonts w:ascii="Times New Roman" w:eastAsia="Times New Roman" w:hAnsi="Times New Roman" w:cs="Times New Roman"/>
          <w:i/>
          <w:iCs/>
          <w:sz w:val="24"/>
          <w:szCs w:val="24"/>
          <w:lang w:val="en-GB" w:eastAsia="cs-CZ"/>
        </w:rPr>
        <w:t xml:space="preserve"> </w:t>
      </w:r>
      <w:r w:rsidRPr="00FA1502">
        <w:rPr>
          <w:rFonts w:ascii="Times New Roman" w:eastAsia="Times New Roman" w:hAnsi="Times New Roman" w:cs="Times New Roman"/>
          <w:i/>
          <w:iCs/>
          <w:sz w:val="24"/>
          <w:szCs w:val="24"/>
          <w:lang w:val="en-GB" w:eastAsia="cs-CZ"/>
        </w:rPr>
        <w:t>iura</w:t>
      </w:r>
      <w:r w:rsidRPr="00FA1502">
        <w:rPr>
          <w:rFonts w:ascii="Times New Roman" w:eastAsia="Times New Roman" w:hAnsi="Times New Roman" w:cs="Times New Roman"/>
          <w:i/>
          <w:iCs/>
          <w:sz w:val="24"/>
          <w:szCs w:val="24"/>
          <w:lang w:val="en-GB" w:eastAsia="cs-CZ"/>
        </w:rPr>
        <w:t xml:space="preserve"> </w:t>
      </w:r>
      <w:r w:rsidRPr="00FA1502">
        <w:rPr>
          <w:rFonts w:ascii="Times New Roman" w:eastAsia="Times New Roman" w:hAnsi="Times New Roman" w:cs="Times New Roman"/>
          <w:i/>
          <w:iCs/>
          <w:sz w:val="24"/>
          <w:szCs w:val="24"/>
          <w:lang w:val="en-GB" w:eastAsia="cs-CZ"/>
        </w:rPr>
        <w:t>scripta</w:t>
      </w:r>
      <w:r w:rsidRPr="00FA1502">
        <w:rPr>
          <w:rFonts w:ascii="Times New Roman" w:eastAsia="Times New Roman" w:hAnsi="Times New Roman" w:cs="Times New Roman"/>
          <w:i/>
          <w:iCs/>
          <w:sz w:val="24"/>
          <w:szCs w:val="24"/>
          <w:lang w:val="en-GB" w:eastAsia="cs-CZ"/>
        </w:rPr>
        <w:t xml:space="preserve"> </w:t>
      </w:r>
      <w:r w:rsidRPr="00FA1502">
        <w:rPr>
          <w:rFonts w:ascii="Times New Roman" w:eastAsia="Times New Roman" w:hAnsi="Times New Roman" w:cs="Times New Roman"/>
          <w:i/>
          <w:iCs/>
          <w:sz w:val="24"/>
          <w:szCs w:val="24"/>
          <w:lang w:val="en-GB" w:eastAsia="cs-CZ"/>
        </w:rPr>
        <w:t>sunt</w:t>
      </w:r>
      <w:r w:rsidRPr="00FA1502">
        <w:rPr>
          <w:rFonts w:ascii="Times New Roman" w:eastAsia="Times New Roman" w:hAnsi="Times New Roman" w:cs="Times New Roman"/>
          <w:i/>
          <w:iCs/>
          <w:sz w:val="24"/>
          <w:szCs w:val="24"/>
          <w:lang w:val="en-GB" w:eastAsia="cs-CZ"/>
        </w:rPr>
        <w:t xml:space="preserve">, </w:t>
      </w:r>
      <w:r w:rsidRPr="00FA1502">
        <w:rPr>
          <w:rFonts w:ascii="Times New Roman" w:eastAsia="Times New Roman" w:hAnsi="Times New Roman" w:cs="Times New Roman"/>
          <w:sz w:val="24"/>
          <w:szCs w:val="24"/>
          <w:lang w:val="en-GB" w:eastAsia="cs-CZ"/>
        </w:rPr>
        <w:t>it seems just that a person who has not even attended a meeting of owners does not have the right to early repayment.</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 10 </w:t>
      </w:r>
      <w:r w:rsidRPr="00FA1502" w:rsidR="009B59EE">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23 new paragraph 6</w:t>
      </w:r>
      <w:r w:rsidRPr="00FA1502" w:rsidR="009B59EE">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It is necessary to eliminate debt type MREL (minimum capital requirements and eligible liabilities) with regard to the right to early repayment.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points 11 to </w:t>
      </w:r>
      <w:r w:rsidRPr="00FA1502" w:rsidR="00FE2B12">
        <w:rPr>
          <w:rFonts w:ascii="Times New Roman" w:eastAsia="Times New Roman" w:hAnsi="Times New Roman" w:cs="Times New Roman"/>
          <w:b/>
          <w:bCs/>
          <w:sz w:val="24"/>
          <w:szCs w:val="24"/>
          <w:u w:val="single"/>
          <w:lang w:val="en-GB" w:eastAsia="cs-CZ"/>
        </w:rPr>
        <w:t>1</w:t>
      </w:r>
      <w:r w:rsidRPr="00FA1502" w:rsidR="00615951">
        <w:rPr>
          <w:rFonts w:ascii="Times New Roman" w:eastAsia="Times New Roman" w:hAnsi="Times New Roman" w:cs="Times New Roman"/>
          <w:b/>
          <w:bCs/>
          <w:sz w:val="24"/>
          <w:szCs w:val="24"/>
          <w:u w:val="single"/>
          <w:lang w:val="en-GB" w:eastAsia="cs-CZ"/>
        </w:rPr>
        <w:t>4 [Section 25 (7) and Section</w:t>
      </w:r>
      <w:r w:rsidRPr="00FA1502" w:rsidR="00FE2B12">
        <w:rPr>
          <w:rFonts w:ascii="Times New Roman" w:eastAsia="Times New Roman" w:hAnsi="Times New Roman" w:cs="Times New Roman"/>
          <w:b/>
          <w:bCs/>
          <w:sz w:val="24"/>
          <w:szCs w:val="24"/>
          <w:u w:val="single"/>
          <w:lang w:val="en-GB" w:eastAsia="cs-CZ"/>
        </w:rPr>
        <w:t xml:space="preserve"> 26 (1), (2) and (</w:t>
      </w:r>
      <w:r w:rsidRPr="00FA1502">
        <w:rPr>
          <w:rFonts w:ascii="Times New Roman" w:eastAsia="Times New Roman" w:hAnsi="Times New Roman" w:cs="Times New Roman"/>
          <w:b/>
          <w:bCs/>
          <w:sz w:val="24"/>
          <w:szCs w:val="24"/>
          <w:u w:val="single"/>
          <w:lang w:val="en-GB" w:eastAsia="cs-CZ"/>
        </w:rPr>
        <w:t>3)</w:t>
      </w:r>
      <w:r w:rsidRPr="00FA1502" w:rsidR="00FE2B1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These are mainly changes of legislative and technical character. It is also proposed in Section 26 (1) of </w:t>
      </w:r>
      <w:r w:rsidRPr="00FA1502" w:rsidR="00DA0A9B">
        <w:rPr>
          <w:rFonts w:ascii="Times New Roman" w:eastAsia="Times New Roman" w:hAnsi="Times New Roman" w:cs="Times New Roman"/>
          <w:sz w:val="24"/>
          <w:szCs w:val="24"/>
          <w:lang w:val="en-GB" w:eastAsia="cs-CZ"/>
        </w:rPr>
        <w:t>ZoDluh</w:t>
      </w:r>
      <w:r w:rsidRPr="00FA1502">
        <w:rPr>
          <w:rFonts w:ascii="Times New Roman" w:eastAsia="Times New Roman" w:hAnsi="Times New Roman" w:cs="Times New Roman"/>
          <w:sz w:val="24"/>
          <w:szCs w:val="24"/>
          <w:lang w:val="en-GB" w:eastAsia="cs-CZ"/>
        </w:rPr>
        <w:t xml:space="preserve"> to simplify and speed up the process of issuing government bonds. It is newly proposed to publish the issue conditions in a manner allowing remote access and not further in the Collection of Laws.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 15 </w:t>
      </w:r>
      <w:r w:rsidRPr="00FA1502" w:rsidR="00FF0118">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26 (4)</w:t>
      </w:r>
      <w:r w:rsidRPr="00FA1502" w:rsidR="00FF0118">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existing legislation entrusts the sale of government bonds issued under Czech law exclusively to the Czech National Bank. The Czech National Bank, however, ensures the sale of government bonds through the organization of auctions, and only this way of selling hits its limits in practice. This is particularly evident in a situation where it is necessary to ensure, by issuing government bonds issued under Czech law, lump sums of tens of billions of CZK in order to pre-finance the government's budget needs or in a situation of increased market volatility and uncertainty of future developments. Since there is no factual justification for limiting the way government bonds are sold under Czech law, it is proposed to expand the range of entities that could sell government bonds. Other types of bonds are not limited to how they are to be sold on the primary market.</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Another change is related to the amendment to Section 35 of Act No. 218/2000 Coll., On Budgetary Rules, where a similar wording has been omitted.</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 </w:t>
      </w:r>
      <w:r w:rsidRPr="00FA1502">
        <w:rPr>
          <w:rFonts w:ascii="Times New Roman" w:eastAsia="Times New Roman" w:hAnsi="Times New Roman" w:cs="Times New Roman"/>
          <w:b/>
          <w:bCs/>
          <w:sz w:val="24"/>
          <w:szCs w:val="24"/>
          <w:u w:val="single"/>
          <w:lang w:val="en-GB" w:eastAsia="cs-CZ"/>
        </w:rPr>
        <w:t>16 (</w:t>
      </w:r>
      <w:r w:rsidRPr="00FA150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34):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provision specifies the definition of a subordinated bond and lays down rules for satisfying claims </w:t>
      </w:r>
      <w:r w:rsidRPr="00FA1502" w:rsidR="009319C7">
        <w:rPr>
          <w:rFonts w:ascii="Times New Roman" w:eastAsia="Times New Roman" w:hAnsi="Times New Roman" w:cs="Times New Roman"/>
          <w:sz w:val="24"/>
          <w:szCs w:val="24"/>
          <w:lang w:val="en-GB" w:eastAsia="cs-CZ"/>
        </w:rPr>
        <w:t>from</w:t>
      </w:r>
      <w:r w:rsidRPr="00FA1502">
        <w:rPr>
          <w:rFonts w:ascii="Times New Roman" w:eastAsia="Times New Roman" w:hAnsi="Times New Roman" w:cs="Times New Roman"/>
          <w:sz w:val="24"/>
          <w:szCs w:val="24"/>
          <w:lang w:val="en-GB" w:eastAsia="cs-CZ"/>
        </w:rPr>
        <w:t xml:space="preserve"> subordinated bonds.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The points 17 and </w:t>
      </w:r>
      <w:r w:rsidRPr="00FA1502">
        <w:rPr>
          <w:rFonts w:ascii="Times New Roman" w:eastAsia="Times New Roman" w:hAnsi="Times New Roman" w:cs="Times New Roman"/>
          <w:b/>
          <w:bCs/>
          <w:sz w:val="24"/>
          <w:szCs w:val="24"/>
          <w:u w:val="single"/>
          <w:lang w:val="en-GB" w:eastAsia="cs-CZ"/>
        </w:rPr>
        <w:t xml:space="preserve">19 (heading </w:t>
      </w:r>
      <w:r w:rsidRPr="00FA1502">
        <w:rPr>
          <w:rFonts w:ascii="Times New Roman" w:eastAsia="Times New Roman" w:hAnsi="Times New Roman" w:cs="Times New Roman"/>
          <w:b/>
          <w:bCs/>
          <w:sz w:val="24"/>
          <w:szCs w:val="24"/>
          <w:u w:val="single"/>
          <w:lang w:val="en-GB" w:eastAsia="cs-CZ"/>
        </w:rPr>
        <w:t>of part four</w:t>
      </w:r>
      <w:r w:rsidRPr="00FA1502">
        <w:rPr>
          <w:rFonts w:ascii="Times New Roman" w:eastAsia="Times New Roman" w:hAnsi="Times New Roman" w:cs="Times New Roman"/>
          <w:b/>
          <w:bCs/>
          <w:sz w:val="24"/>
          <w:szCs w:val="24"/>
          <w:u w:val="single"/>
          <w:lang w:val="en-GB" w:eastAsia="cs-CZ"/>
        </w:rPr>
        <w:t xml:space="preserve">, new </w:t>
      </w:r>
      <w:r w:rsidRPr="00FA150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40</w:t>
      </w:r>
      <w:r w:rsidRPr="00FA1502">
        <w:rPr>
          <w:rFonts w:ascii="Times New Roman" w:eastAsia="Times New Roman" w:hAnsi="Times New Roman" w:cs="Times New Roman"/>
          <w:b/>
          <w:bCs/>
          <w:sz w:val="24"/>
          <w:szCs w:val="24"/>
          <w:u w:val="single"/>
          <w:lang w:val="en-GB" w:eastAsia="cs-CZ"/>
        </w:rPr>
        <w:t xml:space="preserve">a </w:t>
      </w:r>
      <w:r w:rsidRPr="00FA1502">
        <w:rPr>
          <w:rFonts w:ascii="Times New Roman" w:eastAsia="Times New Roman" w:hAnsi="Times New Roman" w:cs="Times New Roman"/>
          <w:b/>
          <w:bCs/>
          <w:sz w:val="24"/>
          <w:szCs w:val="24"/>
          <w:u w:val="single"/>
          <w:lang w:val="en-GB" w:eastAsia="cs-CZ"/>
        </w:rPr>
        <w:t xml:space="preserve">and a change </w:t>
      </w:r>
      <w:r w:rsidRPr="00FA1502">
        <w:rPr>
          <w:rFonts w:ascii="Times New Roman" w:eastAsia="Times New Roman" w:hAnsi="Times New Roman" w:cs="Times New Roman"/>
          <w:b/>
          <w:bCs/>
          <w:sz w:val="24"/>
          <w:szCs w:val="24"/>
          <w:u w:val="single"/>
          <w:lang w:val="en-GB" w:eastAsia="cs-CZ"/>
        </w:rPr>
        <w:t>of Section</w:t>
      </w:r>
      <w:r w:rsidRPr="00FA1502">
        <w:rPr>
          <w:rFonts w:ascii="Times New Roman" w:eastAsia="Times New Roman" w:hAnsi="Times New Roman" w:cs="Times New Roman"/>
          <w:b/>
          <w:bCs/>
          <w:sz w:val="24"/>
          <w:szCs w:val="24"/>
          <w:u w:val="single"/>
          <w:lang w:val="en-GB" w:eastAsia="cs-CZ"/>
        </w:rPr>
        <w:t xml:space="preserve"> 41):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provision is amended with respect to administrative punishment in relation to the new Section 9a of </w:t>
      </w:r>
      <w:r w:rsidRPr="00FA1502" w:rsidR="00D102F6">
        <w:rPr>
          <w:rFonts w:ascii="Times New Roman" w:eastAsia="Times New Roman" w:hAnsi="Times New Roman" w:cs="Times New Roman"/>
          <w:sz w:val="24"/>
          <w:szCs w:val="24"/>
          <w:lang w:val="en-GB" w:eastAsia="cs-CZ"/>
        </w:rPr>
        <w:t>ZoDluh</w:t>
      </w:r>
      <w:r w:rsidRPr="00FA1502">
        <w:rPr>
          <w:rFonts w:ascii="Times New Roman" w:eastAsia="Times New Roman" w:hAnsi="Times New Roman" w:cs="Times New Roman"/>
          <w:sz w:val="24"/>
          <w:szCs w:val="24"/>
          <w:lang w:val="en-GB" w:eastAsia="cs-CZ"/>
        </w:rPr>
        <w:t>. </w:t>
      </w:r>
    </w:p>
    <w:p w:rsidR="00176359" w:rsidRPr="00FA1502" w:rsidP="00A7116F">
      <w:pPr>
        <w:keepNext/>
        <w:spacing w:after="200" w:line="276" w:lineRule="auto"/>
        <w:rPr>
          <w:rFonts w:ascii="Times New Roman" w:eastAsia="Times New Roman" w:hAnsi="Times New Roman" w:cs="Times New Roman"/>
          <w:sz w:val="24"/>
          <w:szCs w:val="24"/>
          <w:lang w:val="en-GB" w:eastAsia="cs-CZ"/>
        </w:rPr>
      </w:pP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Part Seven, Article VIII </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 xml:space="preserve">Amendment of the Capital Market </w:t>
      </w:r>
      <w:r w:rsidRPr="00FA1502" w:rsidR="00EB41A9">
        <w:rPr>
          <w:rFonts w:ascii="Times New Roman" w:eastAsia="Times New Roman" w:hAnsi="Times New Roman" w:cs="Times New Roman"/>
          <w:b/>
          <w:bCs/>
          <w:sz w:val="24"/>
          <w:szCs w:val="24"/>
          <w:lang w:val="en-GB" w:eastAsia="cs-CZ"/>
        </w:rPr>
        <w:t>Business</w:t>
      </w:r>
      <w:r w:rsidRPr="00FA1502">
        <w:rPr>
          <w:rFonts w:ascii="Times New Roman" w:eastAsia="Times New Roman" w:hAnsi="Times New Roman" w:cs="Times New Roman"/>
          <w:b/>
          <w:bCs/>
          <w:sz w:val="24"/>
          <w:szCs w:val="24"/>
          <w:lang w:val="en-GB" w:eastAsia="cs-CZ"/>
        </w:rPr>
        <w:t xml:space="preserve"> Act</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 1 [Section 15k new </w:t>
      </w:r>
      <w:r w:rsidRPr="00FA1502">
        <w:rPr>
          <w:rFonts w:ascii="Times New Roman" w:eastAsia="Times New Roman" w:hAnsi="Times New Roman" w:cs="Times New Roman"/>
          <w:b/>
          <w:bCs/>
          <w:sz w:val="24"/>
          <w:szCs w:val="24"/>
          <w:u w:val="single"/>
          <w:lang w:val="en-GB" w:eastAsia="cs-CZ"/>
        </w:rPr>
        <w:t xml:space="preserve">paragraphs </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4</w:t>
      </w:r>
      <w:r w:rsidRPr="00FA1502">
        <w:rPr>
          <w:rFonts w:ascii="Times New Roman" w:eastAsia="Times New Roman" w:hAnsi="Times New Roman" w:cs="Times New Roman"/>
          <w:b/>
          <w:bCs/>
          <w:sz w:val="24"/>
          <w:szCs w:val="24"/>
          <w:u w:val="single"/>
          <w:lang w:val="en-GB" w:eastAsia="cs-CZ"/>
        </w:rPr>
        <w:t>) to (</w:t>
      </w:r>
      <w:r w:rsidRPr="00FA1502">
        <w:rPr>
          <w:rFonts w:ascii="Times New Roman" w:eastAsia="Times New Roman" w:hAnsi="Times New Roman" w:cs="Times New Roman"/>
          <w:b/>
          <w:bCs/>
          <w:sz w:val="24"/>
          <w:szCs w:val="24"/>
          <w:u w:val="single"/>
          <w:lang w:val="en-GB" w:eastAsia="cs-CZ"/>
        </w:rPr>
        <w:t>6)</w:t>
      </w:r>
      <w:r w:rsidRPr="00FA1502">
        <w:rPr>
          <w:rFonts w:ascii="Times New Roman" w:eastAsia="Times New Roman" w:hAnsi="Times New Roman" w:cs="Times New Roman"/>
          <w:b/>
          <w:bCs/>
          <w:sz w:val="24"/>
          <w:szCs w:val="24"/>
          <w:u w:val="single"/>
          <w:lang w:val="en-GB" w:eastAsia="cs-CZ"/>
        </w:rPr>
        <w:t>]:</w:t>
      </w:r>
      <w:r w:rsidR="00A7116F">
        <w:rPr>
          <w:rFonts w:ascii="Times New Roman" w:eastAsia="Times New Roman" w:hAnsi="Times New Roman" w:cs="Times New Roman"/>
          <w:b/>
          <w:bCs/>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 xml:space="preserve">Re Section </w:t>
      </w:r>
      <w:r w:rsidRPr="00FA1502">
        <w:rPr>
          <w:rFonts w:ascii="Times New Roman" w:eastAsia="Times New Roman" w:hAnsi="Times New Roman" w:cs="Times New Roman"/>
          <w:sz w:val="24"/>
          <w:szCs w:val="24"/>
          <w:u w:val="single"/>
          <w:lang w:val="en-GB" w:eastAsia="cs-CZ"/>
        </w:rPr>
        <w:t xml:space="preserve">15k </w:t>
      </w:r>
      <w:r w:rsidRPr="00FA1502">
        <w:rPr>
          <w:rFonts w:ascii="Times New Roman" w:eastAsia="Times New Roman" w:hAnsi="Times New Roman" w:cs="Times New Roman"/>
          <w:sz w:val="24"/>
          <w:szCs w:val="24"/>
          <w:u w:val="single"/>
          <w:lang w:val="en-GB" w:eastAsia="cs-CZ"/>
        </w:rPr>
        <w:t>(</w:t>
      </w:r>
      <w:r w:rsidRPr="00FA1502">
        <w:rPr>
          <w:rFonts w:ascii="Times New Roman" w:eastAsia="Times New Roman" w:hAnsi="Times New Roman" w:cs="Times New Roman"/>
          <w:sz w:val="24"/>
          <w:szCs w:val="24"/>
          <w:u w:val="single"/>
          <w:lang w:val="en-GB" w:eastAsia="cs-CZ"/>
        </w:rPr>
        <w:t>4</w:t>
      </w:r>
      <w:r w:rsidRPr="00FA1502">
        <w:rPr>
          <w:rFonts w:ascii="Times New Roman" w:eastAsia="Times New Roman" w:hAnsi="Times New Roman" w:cs="Times New Roman"/>
          <w:sz w:val="24"/>
          <w:szCs w:val="24"/>
          <w:u w:val="single"/>
          <w:lang w:val="en-GB" w:eastAsia="cs-CZ"/>
        </w:rPr>
        <w:t>)</w:t>
      </w:r>
      <w:r w:rsidRPr="00FA1502">
        <w:rPr>
          <w:rFonts w:ascii="Times New Roman" w:eastAsia="Times New Roman" w:hAnsi="Times New Roman" w:cs="Times New Roman"/>
          <w:sz w:val="24"/>
          <w:szCs w:val="24"/>
          <w:u w:val="single"/>
          <w:lang w:val="en-GB" w:eastAsia="cs-CZ"/>
        </w:rPr>
        <w:t>:</w:t>
      </w:r>
      <w:r w:rsidRPr="00FA1502">
        <w:rPr>
          <w:rFonts w:ascii="Times New Roman" w:eastAsia="Times New Roman" w:hAnsi="Times New Roman" w:cs="Times New Roman"/>
          <w:sz w:val="24"/>
          <w:szCs w:val="24"/>
          <w:lang w:val="en-GB" w:eastAsia="cs-CZ"/>
        </w:rPr>
        <w:t xml:space="preserve"> While in Section</w:t>
      </w:r>
      <w:r w:rsidRPr="00FA1502">
        <w:rPr>
          <w:rFonts w:ascii="Times New Roman" w:eastAsia="Times New Roman" w:hAnsi="Times New Roman" w:cs="Times New Roman"/>
          <w:sz w:val="24"/>
          <w:szCs w:val="24"/>
          <w:lang w:val="en-GB" w:eastAsia="cs-CZ"/>
        </w:rPr>
        <w:t xml:space="preserve"> 15</w:t>
      </w:r>
      <w:r w:rsidRPr="00FA1502">
        <w:rPr>
          <w:rFonts w:ascii="Times New Roman" w:eastAsia="Times New Roman" w:hAnsi="Times New Roman" w:cs="Times New Roman"/>
          <w:sz w:val="24"/>
          <w:szCs w:val="24"/>
          <w:lang w:val="en-GB" w:eastAsia="cs-CZ"/>
        </w:rPr>
        <w:t>k</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(3) of</w:t>
      </w:r>
      <w:r w:rsidRPr="00FA1502">
        <w:rPr>
          <w:rFonts w:ascii="Times New Roman" w:eastAsia="Times New Roman" w:hAnsi="Times New Roman" w:cs="Times New Roman"/>
          <w:sz w:val="24"/>
          <w:szCs w:val="24"/>
          <w:lang w:val="en-GB" w:eastAsia="cs-CZ"/>
        </w:rPr>
        <w:t xml:space="preserve"> ZPKT </w:t>
      </w:r>
      <w:r w:rsidRPr="00FA1502">
        <w:rPr>
          <w:rFonts w:ascii="Times New Roman" w:eastAsia="Times New Roman" w:hAnsi="Times New Roman" w:cs="Times New Roman"/>
          <w:sz w:val="24"/>
          <w:szCs w:val="24"/>
          <w:lang w:val="en-GB" w:eastAsia="cs-CZ"/>
        </w:rPr>
        <w:t xml:space="preserve">there is </w:t>
      </w:r>
      <w:r w:rsidRPr="00FA1502">
        <w:rPr>
          <w:rFonts w:ascii="Times New Roman" w:eastAsia="Times New Roman" w:hAnsi="Times New Roman" w:cs="Times New Roman"/>
          <w:sz w:val="24"/>
          <w:szCs w:val="24"/>
          <w:lang w:val="en-GB" w:eastAsia="cs-CZ"/>
        </w:rPr>
        <w:t xml:space="preserve">an exhaustive list of simple investment instruments, this paragraph specifies the conditions under which a trader with the investment firm </w:t>
      </w:r>
      <w:r w:rsidRPr="00FA1502">
        <w:rPr>
          <w:rFonts w:ascii="Times New Roman" w:eastAsia="Times New Roman" w:hAnsi="Times New Roman" w:cs="Times New Roman"/>
          <w:sz w:val="24"/>
          <w:szCs w:val="24"/>
          <w:lang w:val="en-GB" w:eastAsia="cs-CZ"/>
        </w:rPr>
        <w:t xml:space="preserve">can </w:t>
      </w:r>
      <w:r w:rsidRPr="00FA1502">
        <w:rPr>
          <w:rFonts w:ascii="Times New Roman" w:eastAsia="Times New Roman" w:hAnsi="Times New Roman" w:cs="Times New Roman"/>
          <w:sz w:val="24"/>
          <w:szCs w:val="24"/>
          <w:lang w:val="en-GB" w:eastAsia="cs-CZ"/>
        </w:rPr>
        <w:t xml:space="preserve">provide investment services in relation to the investment instruments that are not </w:t>
      </w:r>
      <w:r w:rsidRPr="00FA1502">
        <w:rPr>
          <w:rFonts w:ascii="Times New Roman" w:eastAsia="Times New Roman" w:hAnsi="Times New Roman" w:cs="Times New Roman"/>
          <w:sz w:val="24"/>
          <w:szCs w:val="24"/>
          <w:lang w:val="en-GB" w:eastAsia="cs-CZ"/>
        </w:rPr>
        <w:t xml:space="preserve">a </w:t>
      </w:r>
      <w:r w:rsidRPr="00FA1502">
        <w:rPr>
          <w:rFonts w:ascii="Times New Roman" w:eastAsia="Times New Roman" w:hAnsi="Times New Roman" w:cs="Times New Roman"/>
          <w:sz w:val="24"/>
          <w:szCs w:val="24"/>
          <w:lang w:val="en-GB" w:eastAsia="cs-CZ"/>
        </w:rPr>
        <w:t>simple investment tool. The inspiration for this provision is based on t</w:t>
      </w:r>
      <w:r w:rsidRPr="00FA1502" w:rsidR="007F630B">
        <w:rPr>
          <w:rFonts w:ascii="Times New Roman" w:eastAsia="Times New Roman" w:hAnsi="Times New Roman" w:cs="Times New Roman"/>
          <w:sz w:val="24"/>
          <w:szCs w:val="24"/>
          <w:lang w:val="en-GB" w:eastAsia="cs-CZ"/>
        </w:rPr>
        <w:t>he UK’</w:t>
      </w:r>
      <w:r w:rsidRPr="00FA1502">
        <w:rPr>
          <w:rFonts w:ascii="Times New Roman" w:eastAsia="Times New Roman" w:hAnsi="Times New Roman" w:cs="Times New Roman"/>
          <w:sz w:val="24"/>
          <w:szCs w:val="24"/>
          <w:lang w:val="en-GB" w:eastAsia="cs-CZ"/>
        </w:rPr>
        <w:t xml:space="preserve">s classification of investors into three categories: </w:t>
      </w:r>
      <w:r w:rsidRPr="00FA1502">
        <w:rPr>
          <w:rFonts w:ascii="Times New Roman" w:eastAsia="Times New Roman" w:hAnsi="Times New Roman" w:cs="Times New Roman"/>
          <w:i/>
          <w:iCs/>
          <w:sz w:val="24"/>
          <w:szCs w:val="24"/>
          <w:lang w:val="en-GB" w:eastAsia="cs-CZ"/>
        </w:rPr>
        <w:t>Restricted Investor</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i/>
          <w:iCs/>
          <w:sz w:val="24"/>
          <w:szCs w:val="24"/>
          <w:lang w:val="en-GB" w:eastAsia="cs-CZ"/>
        </w:rPr>
        <w:t xml:space="preserve">Certified Sophisticated Investor </w:t>
      </w:r>
      <w:r w:rsidRPr="00FA1502">
        <w:rPr>
          <w:rFonts w:ascii="Times New Roman" w:eastAsia="Times New Roman" w:hAnsi="Times New Roman" w:cs="Times New Roman"/>
          <w:sz w:val="24"/>
          <w:szCs w:val="24"/>
          <w:lang w:val="en-GB" w:eastAsia="cs-CZ"/>
        </w:rPr>
        <w:t xml:space="preserve">and </w:t>
      </w:r>
      <w:r w:rsidRPr="00FA1502">
        <w:rPr>
          <w:rFonts w:ascii="Times New Roman" w:eastAsia="Times New Roman" w:hAnsi="Times New Roman" w:cs="Times New Roman"/>
          <w:i/>
          <w:iCs/>
          <w:sz w:val="24"/>
          <w:szCs w:val="24"/>
          <w:lang w:val="en-GB" w:eastAsia="cs-CZ"/>
        </w:rPr>
        <w:t xml:space="preserve">High Net </w:t>
      </w:r>
      <w:r w:rsidRPr="00FA1502">
        <w:rPr>
          <w:rFonts w:ascii="Times New Roman" w:eastAsia="Times New Roman" w:hAnsi="Times New Roman" w:cs="Times New Roman"/>
          <w:i/>
          <w:iCs/>
          <w:sz w:val="24"/>
          <w:szCs w:val="24"/>
          <w:lang w:val="en-GB" w:eastAsia="cs-CZ"/>
        </w:rPr>
        <w:t>Worth</w:t>
      </w:r>
      <w:r w:rsidRPr="00FA1502">
        <w:rPr>
          <w:rFonts w:ascii="Times New Roman" w:eastAsia="Times New Roman" w:hAnsi="Times New Roman" w:cs="Times New Roman"/>
          <w:i/>
          <w:iCs/>
          <w:sz w:val="24"/>
          <w:szCs w:val="24"/>
          <w:lang w:val="en-GB" w:eastAsia="cs-CZ"/>
        </w:rPr>
        <w:t xml:space="preserve"> Individual</w:t>
      </w:r>
      <w:r w:rsidRPr="00FA1502">
        <w:rPr>
          <w:rFonts w:ascii="Times New Roman" w:eastAsia="Times New Roman" w:hAnsi="Times New Roman" w:cs="Times New Roman"/>
          <w:sz w:val="24"/>
          <w:szCs w:val="24"/>
          <w:lang w:val="en-GB" w:eastAsia="cs-CZ"/>
        </w:rPr>
        <w:t xml:space="preserve">. The first category of the so-called </w:t>
      </w:r>
      <w:r w:rsidRPr="00FA1502">
        <w:rPr>
          <w:rFonts w:ascii="Times New Roman" w:eastAsia="Times New Roman" w:hAnsi="Times New Roman" w:cs="Times New Roman"/>
          <w:i/>
          <w:iCs/>
          <w:sz w:val="24"/>
          <w:szCs w:val="24"/>
          <w:lang w:val="en-GB" w:eastAsia="cs-CZ"/>
        </w:rPr>
        <w:t xml:space="preserve">Restricted Investor </w:t>
      </w:r>
      <w:r w:rsidRPr="00FA1502">
        <w:rPr>
          <w:rFonts w:ascii="Times New Roman" w:eastAsia="Times New Roman" w:hAnsi="Times New Roman" w:cs="Times New Roman"/>
          <w:sz w:val="24"/>
          <w:szCs w:val="24"/>
          <w:lang w:val="en-GB" w:eastAsia="cs-CZ"/>
        </w:rPr>
        <w:t>(in the Czech concept of “small” or “retail” investor) includes one who does not fall under the other two categories.</w:t>
      </w:r>
      <w:r w:rsidRPr="00FA1502" w:rsidR="007F630B">
        <w:rPr>
          <w:rFonts w:ascii="Times New Roman" w:eastAsia="Times New Roman" w:hAnsi="Times New Roman" w:cs="Times New Roman"/>
          <w:sz w:val="24"/>
          <w:szCs w:val="24"/>
          <w:lang w:val="en-GB" w:eastAsia="cs-CZ"/>
        </w:rPr>
        <w:t xml:space="preserve"> In the UK, s</w:t>
      </w:r>
      <w:r w:rsidRPr="00FA1502">
        <w:rPr>
          <w:rFonts w:ascii="Times New Roman" w:eastAsia="Times New Roman" w:hAnsi="Times New Roman" w:cs="Times New Roman"/>
          <w:sz w:val="24"/>
          <w:szCs w:val="24"/>
          <w:lang w:val="en-GB" w:eastAsia="cs-CZ"/>
        </w:rPr>
        <w:t xml:space="preserve">uch an investor must sign a statement that he will not invest more than 10% of the value of his net worth in riskier instruments (excluding his residence </w:t>
      </w:r>
      <w:r w:rsidRPr="00FA1502" w:rsidR="007F630B">
        <w:rPr>
          <w:rFonts w:ascii="Times New Roman" w:eastAsia="Times New Roman" w:hAnsi="Times New Roman" w:cs="Times New Roman"/>
          <w:sz w:val="24"/>
          <w:szCs w:val="24"/>
          <w:lang w:val="en-GB" w:eastAsia="cs-CZ"/>
        </w:rPr>
        <w:t xml:space="preserve">and assets therein </w:t>
      </w:r>
      <w:r w:rsidRPr="00FA1502">
        <w:rPr>
          <w:rFonts w:ascii="Times New Roman" w:eastAsia="Times New Roman" w:hAnsi="Times New Roman" w:cs="Times New Roman"/>
          <w:sz w:val="24"/>
          <w:szCs w:val="24"/>
          <w:lang w:val="en-GB" w:eastAsia="cs-CZ"/>
        </w:rPr>
        <w:t xml:space="preserve">and insurance and pension income). Similarly, </w:t>
      </w:r>
      <w:r w:rsidRPr="00FA1502" w:rsidR="00DD4392">
        <w:rPr>
          <w:rFonts w:ascii="Times New Roman" w:eastAsia="Times New Roman" w:hAnsi="Times New Roman" w:cs="Times New Roman"/>
          <w:sz w:val="24"/>
          <w:szCs w:val="24"/>
          <w:lang w:val="en-GB" w:eastAsia="cs-CZ"/>
        </w:rPr>
        <w:t xml:space="preserve">it is proposed in the Czech </w:t>
      </w:r>
      <w:r w:rsidRPr="00FA1502" w:rsidR="00DD4392">
        <w:rPr>
          <w:rFonts w:ascii="Times New Roman" w:eastAsia="Times New Roman" w:hAnsi="Times New Roman" w:cs="Times New Roman"/>
          <w:sz w:val="24"/>
          <w:szCs w:val="24"/>
          <w:lang w:val="en-GB" w:eastAsia="cs-CZ"/>
        </w:rPr>
        <w:t xml:space="preserve">Republic </w:t>
      </w:r>
      <w:r w:rsidRPr="00FA1502">
        <w:rPr>
          <w:rFonts w:ascii="Times New Roman" w:eastAsia="Times New Roman" w:hAnsi="Times New Roman" w:cs="Times New Roman"/>
          <w:sz w:val="24"/>
          <w:szCs w:val="24"/>
          <w:lang w:val="en-GB" w:eastAsia="cs-CZ"/>
        </w:rPr>
        <w:t>that the customer sign</w:t>
      </w:r>
      <w:r w:rsidRPr="00FA1502" w:rsidR="00DD4392">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 xml:space="preserve"> a declaration that he will not invest more than 10% of his investment in investment instruments that do not fall under </w:t>
      </w:r>
      <w:r w:rsidRPr="00FA1502" w:rsidR="00DD4392">
        <w:rPr>
          <w:rFonts w:ascii="Times New Roman" w:eastAsia="Times New Roman" w:hAnsi="Times New Roman" w:cs="Times New Roman"/>
          <w:sz w:val="24"/>
          <w:szCs w:val="24"/>
          <w:lang w:val="en-GB" w:eastAsia="cs-CZ"/>
        </w:rPr>
        <w:t>the scope of Section 15 (3) of ZPKT</w:t>
      </w:r>
      <w:r w:rsidRPr="00FA1502">
        <w:rPr>
          <w:rFonts w:ascii="Times New Roman" w:eastAsia="Times New Roman" w:hAnsi="Times New Roman" w:cs="Times New Roman"/>
          <w:sz w:val="24"/>
          <w:szCs w:val="24"/>
          <w:lang w:val="en-GB" w:eastAsia="cs-CZ"/>
        </w:rPr>
        <w:t xml:space="preserve"> (usually shares and bonds of start-ups or small firms)</w:t>
      </w:r>
      <w:r w:rsidRPr="00FA1502" w:rsidR="00DD4392">
        <w:rPr>
          <w:rFonts w:ascii="Times New Roman" w:eastAsia="Times New Roman" w:hAnsi="Times New Roman" w:cs="Times New Roman"/>
          <w:sz w:val="24"/>
          <w:szCs w:val="24"/>
          <w:lang w:val="en-GB" w:eastAsia="cs-CZ"/>
        </w:rPr>
        <w:t xml:space="preserve"> of his</w:t>
      </w:r>
      <w:r w:rsidRPr="00FA1502">
        <w:rPr>
          <w:rFonts w:ascii="Times New Roman" w:eastAsia="Times New Roman" w:hAnsi="Times New Roman" w:cs="Times New Roman"/>
          <w:sz w:val="24"/>
          <w:szCs w:val="24"/>
          <w:lang w:val="en-GB" w:eastAsia="cs-CZ"/>
        </w:rPr>
        <w:t xml:space="preserve"> assets consisting of cash and investment instruments. By signing the declaration, the customer should be aware of the greater complexity and </w:t>
      </w:r>
      <w:r w:rsidRPr="00FA1502" w:rsidR="00603ADC">
        <w:rPr>
          <w:rFonts w:ascii="Times New Roman" w:eastAsia="Times New Roman" w:hAnsi="Times New Roman" w:cs="Times New Roman"/>
          <w:sz w:val="24"/>
          <w:szCs w:val="24"/>
          <w:lang w:val="en-GB" w:eastAsia="cs-CZ"/>
        </w:rPr>
        <w:t xml:space="preserve">higher </w:t>
      </w:r>
      <w:r w:rsidRPr="00FA1502">
        <w:rPr>
          <w:rFonts w:ascii="Times New Roman" w:eastAsia="Times New Roman" w:hAnsi="Times New Roman" w:cs="Times New Roman"/>
          <w:sz w:val="24"/>
          <w:szCs w:val="24"/>
          <w:lang w:val="en-GB" w:eastAsia="cs-CZ"/>
        </w:rPr>
        <w:t xml:space="preserve">risk of these investment instruments. In order </w:t>
      </w:r>
      <w:r w:rsidRPr="00FA1502" w:rsidR="00EA7F86">
        <w:rPr>
          <w:rFonts w:ascii="Times New Roman" w:eastAsia="Times New Roman" w:hAnsi="Times New Roman" w:cs="Times New Roman"/>
          <w:sz w:val="24"/>
          <w:szCs w:val="24"/>
          <w:lang w:val="en-GB" w:eastAsia="cs-CZ"/>
        </w:rPr>
        <w:t xml:space="preserve">for the investor </w:t>
      </w:r>
      <w:r w:rsidRPr="00FA1502">
        <w:rPr>
          <w:rFonts w:ascii="Times New Roman" w:eastAsia="Times New Roman" w:hAnsi="Times New Roman" w:cs="Times New Roman"/>
          <w:sz w:val="24"/>
          <w:szCs w:val="24"/>
          <w:lang w:val="en-GB" w:eastAsia="cs-CZ"/>
        </w:rPr>
        <w:t xml:space="preserve">to have at least elementary diversification within this limit, </w:t>
      </w:r>
      <w:r w:rsidRPr="00FA1502" w:rsidR="00EA7F86">
        <w:rPr>
          <w:rFonts w:ascii="Times New Roman" w:eastAsia="Times New Roman" w:hAnsi="Times New Roman" w:cs="Times New Roman"/>
          <w:sz w:val="24"/>
          <w:szCs w:val="24"/>
          <w:lang w:val="en-GB" w:eastAsia="cs-CZ"/>
        </w:rPr>
        <w:t xml:space="preserve">he </w:t>
      </w:r>
      <w:r w:rsidRPr="00FA1502">
        <w:rPr>
          <w:rFonts w:ascii="Times New Roman" w:eastAsia="Times New Roman" w:hAnsi="Times New Roman" w:cs="Times New Roman"/>
          <w:sz w:val="24"/>
          <w:szCs w:val="24"/>
          <w:lang w:val="en-GB" w:eastAsia="cs-CZ"/>
        </w:rPr>
        <w:t xml:space="preserve">must also declare that </w:t>
      </w:r>
      <w:r w:rsidRPr="00FA1502" w:rsidR="00EA7F86">
        <w:rPr>
          <w:rFonts w:ascii="Times New Roman" w:eastAsia="Times New Roman" w:hAnsi="Times New Roman" w:cs="Times New Roman"/>
          <w:sz w:val="24"/>
          <w:szCs w:val="24"/>
          <w:lang w:val="en-GB" w:eastAsia="cs-CZ"/>
        </w:rPr>
        <w:t>he</w:t>
      </w:r>
      <w:r w:rsidRPr="00FA1502">
        <w:rPr>
          <w:rFonts w:ascii="Times New Roman" w:eastAsia="Times New Roman" w:hAnsi="Times New Roman" w:cs="Times New Roman"/>
          <w:sz w:val="24"/>
          <w:szCs w:val="24"/>
          <w:lang w:val="en-GB" w:eastAsia="cs-CZ"/>
        </w:rPr>
        <w:t xml:space="preserve"> will not invest more than 5% of the value of </w:t>
      </w:r>
      <w:r w:rsidRPr="00FA1502" w:rsidR="00EA7F86">
        <w:rPr>
          <w:rFonts w:ascii="Times New Roman" w:eastAsia="Times New Roman" w:hAnsi="Times New Roman" w:cs="Times New Roman"/>
          <w:sz w:val="24"/>
          <w:szCs w:val="24"/>
          <w:lang w:val="en-GB" w:eastAsia="cs-CZ"/>
        </w:rPr>
        <w:t>his</w:t>
      </w:r>
      <w:r w:rsidRPr="00FA1502">
        <w:rPr>
          <w:rFonts w:ascii="Times New Roman" w:eastAsia="Times New Roman" w:hAnsi="Times New Roman" w:cs="Times New Roman"/>
          <w:sz w:val="24"/>
          <w:szCs w:val="24"/>
          <w:lang w:val="en-GB" w:eastAsia="cs-CZ"/>
        </w:rPr>
        <w:t xml:space="preserve"> financial assets in this category of investment instruments issued by a single issuer.</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Re</w:t>
      </w:r>
      <w:r w:rsidRPr="00FA1502">
        <w:rPr>
          <w:rFonts w:ascii="Times New Roman" w:eastAsia="Times New Roman" w:hAnsi="Times New Roman" w:cs="Times New Roman"/>
          <w:sz w:val="24"/>
          <w:szCs w:val="24"/>
          <w:u w:val="single"/>
          <w:lang w:val="en-GB" w:eastAsia="cs-CZ"/>
        </w:rPr>
        <w:t xml:space="preserve"> </w:t>
      </w:r>
      <w:r w:rsidRPr="00FA1502">
        <w:rPr>
          <w:rFonts w:ascii="Times New Roman" w:eastAsia="Times New Roman" w:hAnsi="Times New Roman" w:cs="Times New Roman"/>
          <w:sz w:val="24"/>
          <w:szCs w:val="24"/>
          <w:u w:val="single"/>
          <w:lang w:val="en-GB" w:eastAsia="cs-CZ"/>
        </w:rPr>
        <w:t>Section</w:t>
      </w:r>
      <w:r w:rsidRPr="00FA1502">
        <w:rPr>
          <w:rFonts w:ascii="Times New Roman" w:eastAsia="Times New Roman" w:hAnsi="Times New Roman" w:cs="Times New Roman"/>
          <w:sz w:val="24"/>
          <w:szCs w:val="24"/>
          <w:u w:val="single"/>
          <w:lang w:val="en-GB" w:eastAsia="cs-CZ"/>
        </w:rPr>
        <w:t xml:space="preserve"> 15k </w:t>
      </w:r>
      <w:r w:rsidRPr="00FA1502">
        <w:rPr>
          <w:rFonts w:ascii="Times New Roman" w:eastAsia="Times New Roman" w:hAnsi="Times New Roman" w:cs="Times New Roman"/>
          <w:sz w:val="24"/>
          <w:szCs w:val="24"/>
          <w:u w:val="single"/>
          <w:lang w:val="en-GB" w:eastAsia="cs-CZ"/>
        </w:rPr>
        <w:t>(5)</w:t>
      </w:r>
      <w:r w:rsidRPr="00FA1502">
        <w:rPr>
          <w:rFonts w:ascii="Times New Roman" w:eastAsia="Times New Roman" w:hAnsi="Times New Roman" w:cs="Times New Roman"/>
          <w:sz w:val="24"/>
          <w:szCs w:val="24"/>
          <w:u w:val="single"/>
          <w:lang w:val="en-GB" w:eastAsia="cs-CZ"/>
        </w:rPr>
        <w:t xml:space="preserve"> and </w:t>
      </w:r>
      <w:r w:rsidRPr="00FA1502">
        <w:rPr>
          <w:rFonts w:ascii="Times New Roman" w:eastAsia="Times New Roman" w:hAnsi="Times New Roman" w:cs="Times New Roman"/>
          <w:sz w:val="24"/>
          <w:szCs w:val="24"/>
          <w:u w:val="single"/>
          <w:lang w:val="en-GB" w:eastAsia="cs-CZ"/>
        </w:rPr>
        <w:t>(</w:t>
      </w:r>
      <w:r w:rsidRPr="00FA1502">
        <w:rPr>
          <w:rFonts w:ascii="Times New Roman" w:eastAsia="Times New Roman" w:hAnsi="Times New Roman" w:cs="Times New Roman"/>
          <w:sz w:val="24"/>
          <w:szCs w:val="24"/>
          <w:u w:val="single"/>
          <w:lang w:val="en-GB" w:eastAsia="cs-CZ"/>
        </w:rPr>
        <w:t>6</w:t>
      </w:r>
      <w:r w:rsidRPr="00FA1502">
        <w:rPr>
          <w:rFonts w:ascii="Times New Roman" w:eastAsia="Times New Roman" w:hAnsi="Times New Roman" w:cs="Times New Roman"/>
          <w:sz w:val="24"/>
          <w:szCs w:val="24"/>
          <w:u w:val="single"/>
          <w:lang w:val="en-GB" w:eastAsia="cs-CZ"/>
        </w:rPr>
        <w:t>)</w:t>
      </w:r>
      <w:r w:rsidRPr="00FA1502">
        <w:rPr>
          <w:rFonts w:ascii="Times New Roman" w:eastAsia="Times New Roman" w:hAnsi="Times New Roman" w:cs="Times New Roman"/>
          <w:sz w:val="24"/>
          <w:szCs w:val="24"/>
          <w:u w:val="single"/>
          <w:lang w:val="en-GB" w:eastAsia="cs-CZ"/>
        </w:rPr>
        <w:t>:</w:t>
      </w:r>
      <w:r w:rsidRPr="00FA1502">
        <w:rPr>
          <w:rFonts w:ascii="Times New Roman" w:eastAsia="Times New Roman" w:hAnsi="Times New Roman" w:cs="Times New Roman"/>
          <w:sz w:val="24"/>
          <w:szCs w:val="24"/>
          <w:lang w:val="en-GB" w:eastAsia="cs-CZ"/>
        </w:rPr>
        <w:t xml:space="preserve"> </w:t>
      </w:r>
      <w:r w:rsidRPr="00FA1502" w:rsidR="00991677">
        <w:rPr>
          <w:rFonts w:ascii="Times New Roman" w:eastAsia="Times New Roman" w:hAnsi="Times New Roman" w:cs="Times New Roman"/>
          <w:sz w:val="24"/>
          <w:szCs w:val="24"/>
          <w:lang w:val="en-GB" w:eastAsia="cs-CZ"/>
        </w:rPr>
        <w:t xml:space="preserve">A new </w:t>
      </w:r>
      <w:r w:rsidRPr="00FA1502">
        <w:rPr>
          <w:rFonts w:ascii="Times New Roman" w:eastAsia="Times New Roman" w:hAnsi="Times New Roman" w:cs="Times New Roman"/>
          <w:sz w:val="24"/>
          <w:szCs w:val="24"/>
          <w:lang w:val="en-GB" w:eastAsia="cs-CZ"/>
        </w:rPr>
        <w:t xml:space="preserve">institute </w:t>
      </w:r>
      <w:r w:rsidRPr="00FA1502" w:rsidR="00991677">
        <w:rPr>
          <w:rFonts w:ascii="Times New Roman" w:eastAsia="Times New Roman" w:hAnsi="Times New Roman" w:cs="Times New Roman"/>
          <w:sz w:val="24"/>
          <w:szCs w:val="24"/>
          <w:lang w:val="en-GB" w:eastAsia="cs-CZ"/>
        </w:rPr>
        <w:t>of “</w:t>
      </w:r>
      <w:r w:rsidRPr="00FA1502">
        <w:rPr>
          <w:rFonts w:ascii="Times New Roman" w:eastAsia="Times New Roman" w:hAnsi="Times New Roman" w:cs="Times New Roman"/>
          <w:sz w:val="24"/>
          <w:szCs w:val="24"/>
          <w:lang w:val="en-GB" w:eastAsia="cs-CZ"/>
        </w:rPr>
        <w:t>wealthy investor</w:t>
      </w:r>
      <w:r w:rsidRPr="00FA1502" w:rsidR="00991677">
        <w:rPr>
          <w:rFonts w:ascii="Times New Roman" w:eastAsia="Times New Roman" w:hAnsi="Times New Roman" w:cs="Times New Roman"/>
          <w:sz w:val="24"/>
          <w:szCs w:val="24"/>
          <w:lang w:val="en-GB" w:eastAsia="cs-CZ"/>
        </w:rPr>
        <w:t>” is created</w:t>
      </w:r>
      <w:r w:rsidRPr="00FA1502">
        <w:rPr>
          <w:rFonts w:ascii="Times New Roman" w:eastAsia="Times New Roman" w:hAnsi="Times New Roman" w:cs="Times New Roman"/>
          <w:sz w:val="24"/>
          <w:szCs w:val="24"/>
          <w:lang w:val="en-GB" w:eastAsia="cs-CZ"/>
        </w:rPr>
        <w:t xml:space="preserve">, which represents a new category </w:t>
      </w:r>
      <w:r w:rsidRPr="00FA1502" w:rsidR="000E0677">
        <w:rPr>
          <w:rFonts w:ascii="Times New Roman" w:eastAsia="Times New Roman" w:hAnsi="Times New Roman" w:cs="Times New Roman"/>
          <w:sz w:val="24"/>
          <w:szCs w:val="24"/>
          <w:lang w:val="en-GB" w:eastAsia="cs-CZ"/>
        </w:rPr>
        <w:t>of so-</w:t>
      </w:r>
      <w:r w:rsidRPr="00FA1502">
        <w:rPr>
          <w:rFonts w:ascii="Times New Roman" w:eastAsia="Times New Roman" w:hAnsi="Times New Roman" w:cs="Times New Roman"/>
          <w:sz w:val="24"/>
          <w:szCs w:val="24"/>
          <w:lang w:val="en-GB" w:eastAsia="cs-CZ"/>
        </w:rPr>
        <w:t xml:space="preserve">called </w:t>
      </w:r>
      <w:r w:rsidRPr="00FA1502" w:rsidR="000E0677">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 xml:space="preserve">emi-professional investor. As in the previous paragraph, it is also based on the UK scheme, but in this case primarily on the </w:t>
      </w:r>
      <w:r w:rsidRPr="00FA1502">
        <w:rPr>
          <w:rFonts w:ascii="Times New Roman" w:eastAsia="Times New Roman" w:hAnsi="Times New Roman" w:cs="Times New Roman"/>
          <w:i/>
          <w:iCs/>
          <w:sz w:val="24"/>
          <w:szCs w:val="24"/>
          <w:lang w:val="en-GB" w:eastAsia="cs-CZ"/>
        </w:rPr>
        <w:t xml:space="preserve">High Net </w:t>
      </w:r>
      <w:r w:rsidRPr="00FA1502">
        <w:rPr>
          <w:rFonts w:ascii="Times New Roman" w:eastAsia="Times New Roman" w:hAnsi="Times New Roman" w:cs="Times New Roman"/>
          <w:i/>
          <w:iCs/>
          <w:sz w:val="24"/>
          <w:szCs w:val="24"/>
          <w:lang w:val="en-GB" w:eastAsia="cs-CZ"/>
        </w:rPr>
        <w:t>Worth</w:t>
      </w:r>
      <w:r w:rsidRPr="00FA1502">
        <w:rPr>
          <w:rFonts w:ascii="Times New Roman" w:eastAsia="Times New Roman" w:hAnsi="Times New Roman" w:cs="Times New Roman"/>
          <w:i/>
          <w:iCs/>
          <w:sz w:val="24"/>
          <w:szCs w:val="24"/>
          <w:lang w:val="en-GB" w:eastAsia="cs-CZ"/>
        </w:rPr>
        <w:t xml:space="preserve"> Individual </w:t>
      </w:r>
      <w:r w:rsidRPr="00FA1502">
        <w:rPr>
          <w:rFonts w:ascii="Times New Roman" w:eastAsia="Times New Roman" w:hAnsi="Times New Roman" w:cs="Times New Roman"/>
          <w:sz w:val="24"/>
          <w:szCs w:val="24"/>
          <w:lang w:val="en-GB" w:eastAsia="cs-CZ"/>
        </w:rPr>
        <w:t xml:space="preserve">category, </w:t>
      </w:r>
      <w:r w:rsidRPr="00FA1502" w:rsidR="008974D0">
        <w:rPr>
          <w:rFonts w:ascii="Times New Roman" w:eastAsia="Times New Roman" w:hAnsi="Times New Roman" w:cs="Times New Roman"/>
          <w:sz w:val="24"/>
          <w:szCs w:val="24"/>
          <w:lang w:val="en-GB" w:eastAsia="cs-CZ"/>
        </w:rPr>
        <w:t>based on</w:t>
      </w:r>
      <w:r w:rsidRPr="00FA1502">
        <w:rPr>
          <w:rFonts w:ascii="Times New Roman" w:eastAsia="Times New Roman" w:hAnsi="Times New Roman" w:cs="Times New Roman"/>
          <w:sz w:val="24"/>
          <w:szCs w:val="24"/>
          <w:lang w:val="en-GB" w:eastAsia="cs-CZ"/>
        </w:rPr>
        <w:t xml:space="preserve"> achieve</w:t>
      </w:r>
      <w:r w:rsidRPr="00FA1502" w:rsidR="008974D0">
        <w:rPr>
          <w:rFonts w:ascii="Times New Roman" w:eastAsia="Times New Roman" w:hAnsi="Times New Roman" w:cs="Times New Roman"/>
          <w:sz w:val="24"/>
          <w:szCs w:val="24"/>
          <w:lang w:val="en-GB" w:eastAsia="cs-CZ"/>
        </w:rPr>
        <w:t>ment of</w:t>
      </w:r>
      <w:r w:rsidRPr="00FA1502">
        <w:rPr>
          <w:rFonts w:ascii="Times New Roman" w:eastAsia="Times New Roman" w:hAnsi="Times New Roman" w:cs="Times New Roman"/>
          <w:sz w:val="24"/>
          <w:szCs w:val="24"/>
          <w:lang w:val="en-GB" w:eastAsia="cs-CZ"/>
        </w:rPr>
        <w:t xml:space="preserve"> a certain amount of income or assets on the part of the individual. In this case, however, it is a quasi-category which serves purely for the purpose of negatively defining the group of entities that are not subject to the obligation to sign the percentage limit referred to in paragraph 4. Under th</w:t>
      </w:r>
      <w:r w:rsidRPr="00FA1502" w:rsidR="008974D0">
        <w:rPr>
          <w:rFonts w:ascii="Times New Roman" w:eastAsia="Times New Roman" w:hAnsi="Times New Roman" w:cs="Times New Roman"/>
          <w:sz w:val="24"/>
          <w:szCs w:val="24"/>
          <w:lang w:val="en-GB" w:eastAsia="cs-CZ"/>
        </w:rPr>
        <w:t xml:space="preserve">e proposed provision, only a person </w:t>
      </w:r>
      <w:r w:rsidRPr="00FA1502">
        <w:rPr>
          <w:rFonts w:ascii="Times New Roman" w:eastAsia="Times New Roman" w:hAnsi="Times New Roman" w:cs="Times New Roman"/>
          <w:sz w:val="24"/>
          <w:szCs w:val="24"/>
          <w:lang w:val="en-GB" w:eastAsia="cs-CZ"/>
        </w:rPr>
        <w:t xml:space="preserve">who confirms that the value of </w:t>
      </w:r>
      <w:r w:rsidRPr="00FA1502" w:rsidR="008974D0">
        <w:rPr>
          <w:rFonts w:ascii="Times New Roman" w:eastAsia="Times New Roman" w:hAnsi="Times New Roman" w:cs="Times New Roman"/>
          <w:sz w:val="24"/>
          <w:szCs w:val="24"/>
          <w:lang w:val="en-GB" w:eastAsia="cs-CZ"/>
        </w:rPr>
        <w:t>his</w:t>
      </w:r>
      <w:r w:rsidRPr="00FA1502">
        <w:rPr>
          <w:rFonts w:ascii="Times New Roman" w:eastAsia="Times New Roman" w:hAnsi="Times New Roman" w:cs="Times New Roman"/>
          <w:sz w:val="24"/>
          <w:szCs w:val="24"/>
          <w:lang w:val="en-GB" w:eastAsia="cs-CZ"/>
        </w:rPr>
        <w:t xml:space="preserve"> financial assets (i</w:t>
      </w:r>
      <w:r w:rsidRPr="00FA1502" w:rsidR="008974D0">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e. assets consisting of cash and investment instruments) corresponds to the amount of at least </w:t>
      </w:r>
      <w:r w:rsidRPr="00FA1502" w:rsidR="008974D0">
        <w:rPr>
          <w:rFonts w:ascii="Times New Roman" w:eastAsia="Times New Roman" w:hAnsi="Times New Roman" w:cs="Times New Roman"/>
          <w:sz w:val="24"/>
          <w:szCs w:val="24"/>
          <w:lang w:val="en-GB" w:eastAsia="cs-CZ"/>
        </w:rPr>
        <w:t xml:space="preserve">CZK </w:t>
      </w:r>
      <w:r w:rsidRPr="00FA1502">
        <w:rPr>
          <w:rFonts w:ascii="Times New Roman" w:eastAsia="Times New Roman" w:hAnsi="Times New Roman" w:cs="Times New Roman"/>
          <w:sz w:val="24"/>
          <w:szCs w:val="24"/>
          <w:lang w:val="en-GB" w:eastAsia="cs-CZ"/>
        </w:rPr>
        <w:t>2</w:t>
      </w:r>
      <w:r w:rsidRPr="00FA1502">
        <w:rPr>
          <w:rFonts w:ascii="Times New Roman" w:eastAsia="Times New Roman" w:hAnsi="Times New Roman" w:cs="Times New Roman"/>
          <w:sz w:val="24"/>
          <w:szCs w:val="24"/>
          <w:lang w:val="en-GB" w:eastAsia="cs-CZ"/>
        </w:rPr>
        <w:t>,5</w:t>
      </w:r>
      <w:r w:rsidRPr="00FA1502">
        <w:rPr>
          <w:rFonts w:ascii="Times New Roman" w:eastAsia="Times New Roman" w:hAnsi="Times New Roman" w:cs="Times New Roman"/>
          <w:sz w:val="24"/>
          <w:szCs w:val="24"/>
          <w:lang w:val="en-GB" w:eastAsia="cs-CZ"/>
        </w:rPr>
        <w:t xml:space="preserve"> mil.</w:t>
      </w:r>
      <w:r w:rsidRPr="00FA1502" w:rsidR="008974D0">
        <w:rPr>
          <w:rFonts w:ascii="Times New Roman" w:eastAsia="Times New Roman" w:hAnsi="Times New Roman" w:cs="Times New Roman"/>
          <w:sz w:val="24"/>
          <w:szCs w:val="24"/>
          <w:lang w:val="en-GB" w:eastAsia="cs-CZ"/>
        </w:rPr>
        <w:t xml:space="preserve"> </w:t>
      </w:r>
      <w:r w:rsidRPr="00FA1502" w:rsidR="008974D0">
        <w:rPr>
          <w:rFonts w:ascii="Times New Roman" w:eastAsia="Times New Roman" w:hAnsi="Times New Roman" w:cs="Times New Roman"/>
          <w:sz w:val="24"/>
          <w:szCs w:val="24"/>
          <w:lang w:val="en-GB" w:eastAsia="cs-CZ"/>
        </w:rPr>
        <w:t>and</w:t>
      </w:r>
      <w:r w:rsidRPr="00FA1502" w:rsidR="008974D0">
        <w:rPr>
          <w:rFonts w:ascii="Times New Roman" w:eastAsia="Times New Roman" w:hAnsi="Times New Roman" w:cs="Times New Roman"/>
          <w:sz w:val="24"/>
          <w:szCs w:val="24"/>
          <w:lang w:val="en-GB" w:eastAsia="cs-CZ"/>
        </w:rPr>
        <w:t xml:space="preserve"> his</w:t>
      </w:r>
      <w:r w:rsidRPr="00FA1502">
        <w:rPr>
          <w:rFonts w:ascii="Times New Roman" w:eastAsia="Times New Roman" w:hAnsi="Times New Roman" w:cs="Times New Roman"/>
          <w:sz w:val="24"/>
          <w:szCs w:val="24"/>
          <w:lang w:val="en-GB" w:eastAsia="cs-CZ"/>
        </w:rPr>
        <w:t xml:space="preserve"> gross revenue and profit before tax in the previous calendar year corresponds to the amount of at least </w:t>
      </w:r>
      <w:r w:rsidRPr="00FA1502" w:rsidR="008974D0">
        <w:rPr>
          <w:rFonts w:ascii="Times New Roman" w:eastAsia="Times New Roman" w:hAnsi="Times New Roman" w:cs="Times New Roman"/>
          <w:sz w:val="24"/>
          <w:szCs w:val="24"/>
          <w:lang w:val="en-GB" w:eastAsia="cs-CZ"/>
        </w:rPr>
        <w:t xml:space="preserve">CZK </w:t>
      </w:r>
      <w:r w:rsidRPr="00FA1502">
        <w:rPr>
          <w:rFonts w:ascii="Times New Roman" w:eastAsia="Times New Roman" w:hAnsi="Times New Roman" w:cs="Times New Roman"/>
          <w:sz w:val="24"/>
          <w:szCs w:val="24"/>
          <w:lang w:val="en-GB" w:eastAsia="cs-CZ"/>
        </w:rPr>
        <w:t>1,25 mil.</w:t>
      </w:r>
      <w:r w:rsidRPr="00FA1502" w:rsidR="000D2645">
        <w:rPr>
          <w:rFonts w:ascii="Times New Roman" w:eastAsia="Times New Roman" w:hAnsi="Times New Roman" w:cs="Times New Roman"/>
          <w:sz w:val="24"/>
          <w:szCs w:val="24"/>
          <w:lang w:val="en-GB" w:eastAsia="cs-CZ"/>
        </w:rPr>
        <w:t>, can be declared as the “wealthy investor”</w:t>
      </w:r>
      <w:r w:rsidRPr="00FA1502" w:rsidR="00F306C6">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The investor is solely responsible for the </w:t>
      </w:r>
      <w:r w:rsidRPr="00FA1502" w:rsidR="00F306C6">
        <w:rPr>
          <w:rFonts w:ascii="Times New Roman" w:eastAsia="Times New Roman" w:hAnsi="Times New Roman" w:cs="Times New Roman"/>
          <w:sz w:val="24"/>
          <w:szCs w:val="24"/>
          <w:lang w:val="en-GB" w:eastAsia="cs-CZ"/>
        </w:rPr>
        <w:t>truthfulness</w:t>
      </w:r>
      <w:r w:rsidRPr="00FA1502">
        <w:rPr>
          <w:rFonts w:ascii="Times New Roman" w:eastAsia="Times New Roman" w:hAnsi="Times New Roman" w:cs="Times New Roman"/>
          <w:sz w:val="24"/>
          <w:szCs w:val="24"/>
          <w:lang w:val="en-GB" w:eastAsia="cs-CZ"/>
        </w:rPr>
        <w:t xml:space="preserve"> of this statement, and the investment firm is under no obligation to</w:t>
      </w:r>
      <w:r w:rsidRPr="00FA1502" w:rsidR="00F306C6">
        <w:rPr>
          <w:rFonts w:ascii="Times New Roman" w:eastAsia="Times New Roman" w:hAnsi="Times New Roman" w:cs="Times New Roman"/>
          <w:sz w:val="24"/>
          <w:szCs w:val="24"/>
          <w:lang w:val="en-GB" w:eastAsia="cs-CZ"/>
        </w:rPr>
        <w:t xml:space="preserve"> verify these facts. The i</w:t>
      </w:r>
      <w:r w:rsidRPr="00FA1502">
        <w:rPr>
          <w:rFonts w:ascii="Times New Roman" w:eastAsia="Times New Roman" w:hAnsi="Times New Roman" w:cs="Times New Roman"/>
          <w:sz w:val="24"/>
          <w:szCs w:val="24"/>
          <w:lang w:val="en-GB" w:eastAsia="cs-CZ"/>
        </w:rPr>
        <w:t xml:space="preserve">nstitute </w:t>
      </w:r>
      <w:r w:rsidRPr="00FA1502" w:rsidR="00F306C6">
        <w:rPr>
          <w:rFonts w:ascii="Times New Roman" w:eastAsia="Times New Roman" w:hAnsi="Times New Roman" w:cs="Times New Roman"/>
          <w:sz w:val="24"/>
          <w:szCs w:val="24"/>
          <w:lang w:val="en-GB" w:eastAsia="cs-CZ"/>
        </w:rPr>
        <w:t>of a “</w:t>
      </w:r>
      <w:r w:rsidRPr="00FA1502">
        <w:rPr>
          <w:rFonts w:ascii="Times New Roman" w:eastAsia="Times New Roman" w:hAnsi="Times New Roman" w:cs="Times New Roman"/>
          <w:sz w:val="24"/>
          <w:szCs w:val="24"/>
          <w:lang w:val="en-GB" w:eastAsia="cs-CZ"/>
        </w:rPr>
        <w:t>wealthy investor</w:t>
      </w:r>
      <w:r w:rsidRPr="00FA1502" w:rsidR="00F306C6">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is introduced in order to expand options for removing an investor of comprehensive protecti</w:t>
      </w:r>
      <w:r w:rsidRPr="00FA1502" w:rsidR="00F306C6">
        <w:rPr>
          <w:rFonts w:ascii="Times New Roman" w:eastAsia="Times New Roman" w:hAnsi="Times New Roman" w:cs="Times New Roman"/>
          <w:sz w:val="24"/>
          <w:szCs w:val="24"/>
          <w:lang w:val="en-GB" w:eastAsia="cs-CZ"/>
        </w:rPr>
        <w:t>on of small investors, when in Section</w:t>
      </w:r>
      <w:r w:rsidRPr="00FA1502">
        <w:rPr>
          <w:rFonts w:ascii="Times New Roman" w:eastAsia="Times New Roman" w:hAnsi="Times New Roman" w:cs="Times New Roman"/>
          <w:sz w:val="24"/>
          <w:szCs w:val="24"/>
          <w:lang w:val="en-GB" w:eastAsia="cs-CZ"/>
        </w:rPr>
        <w:t xml:space="preserve"> 15k </w:t>
      </w:r>
      <w:r w:rsidRPr="00FA1502" w:rsidR="00F306C6">
        <w:rPr>
          <w:rFonts w:ascii="Times New Roman" w:eastAsia="Times New Roman" w:hAnsi="Times New Roman" w:cs="Times New Roman"/>
          <w:sz w:val="24"/>
          <w:szCs w:val="24"/>
          <w:lang w:val="en-GB" w:eastAsia="cs-CZ"/>
        </w:rPr>
        <w:t>(5) of</w:t>
      </w:r>
      <w:r w:rsidRPr="00FA1502">
        <w:rPr>
          <w:rFonts w:ascii="Times New Roman" w:eastAsia="Times New Roman" w:hAnsi="Times New Roman" w:cs="Times New Roman"/>
          <w:sz w:val="24"/>
          <w:szCs w:val="24"/>
          <w:lang w:val="en-GB" w:eastAsia="cs-CZ"/>
        </w:rPr>
        <w:t xml:space="preserve"> ZPKT</w:t>
      </w:r>
      <w:r w:rsidRPr="00FA1502" w:rsidR="00F306C6">
        <w:rPr>
          <w:rFonts w:ascii="Times New Roman" w:eastAsia="Times New Roman" w:hAnsi="Times New Roman" w:cs="Times New Roman"/>
          <w:sz w:val="24"/>
          <w:szCs w:val="24"/>
          <w:lang w:val="en-GB" w:eastAsia="cs-CZ"/>
        </w:rPr>
        <w:t xml:space="preserve">, there is a different </w:t>
      </w:r>
      <w:r w:rsidRPr="00FA1502">
        <w:rPr>
          <w:rFonts w:ascii="Times New Roman" w:eastAsia="Times New Roman" w:hAnsi="Times New Roman" w:cs="Times New Roman"/>
          <w:sz w:val="24"/>
          <w:szCs w:val="24"/>
          <w:lang w:val="en-GB" w:eastAsia="cs-CZ"/>
        </w:rPr>
        <w:t xml:space="preserve">set </w:t>
      </w:r>
      <w:r w:rsidRPr="00FA1502" w:rsidR="00F306C6">
        <w:rPr>
          <w:rFonts w:ascii="Times New Roman" w:eastAsia="Times New Roman" w:hAnsi="Times New Roman" w:cs="Times New Roman"/>
          <w:sz w:val="24"/>
          <w:szCs w:val="24"/>
          <w:lang w:val="en-GB" w:eastAsia="cs-CZ"/>
        </w:rPr>
        <w:t>of</w:t>
      </w:r>
      <w:r w:rsidRPr="00FA1502">
        <w:rPr>
          <w:rFonts w:ascii="Times New Roman" w:eastAsia="Times New Roman" w:hAnsi="Times New Roman" w:cs="Times New Roman"/>
          <w:sz w:val="24"/>
          <w:szCs w:val="24"/>
          <w:lang w:val="en-GB" w:eastAsia="cs-CZ"/>
        </w:rPr>
        <w:t xml:space="preserve"> criteria (the value of assets and gross income and profits) than for categories of qualified investors and </w:t>
      </w:r>
      <w:r w:rsidRPr="00FA1502" w:rsidR="00F306C6">
        <w:rPr>
          <w:rFonts w:ascii="Times New Roman" w:eastAsia="Times New Roman" w:hAnsi="Times New Roman" w:cs="Times New Roman"/>
          <w:sz w:val="24"/>
          <w:szCs w:val="24"/>
          <w:lang w:val="en-GB" w:eastAsia="cs-CZ"/>
        </w:rPr>
        <w:t>professional customers on r</w:t>
      </w:r>
      <w:r w:rsidRPr="00FA1502">
        <w:rPr>
          <w:rFonts w:ascii="Times New Roman" w:eastAsia="Times New Roman" w:hAnsi="Times New Roman" w:cs="Times New Roman"/>
          <w:sz w:val="24"/>
          <w:szCs w:val="24"/>
          <w:lang w:val="en-GB" w:eastAsia="cs-CZ"/>
        </w:rPr>
        <w:t xml:space="preserve">equest, such as a minimum investor deposit of at least CZK 1 million or a requirement of 10 </w:t>
      </w:r>
      <w:r w:rsidRPr="00FA1502" w:rsidR="00F306C6">
        <w:rPr>
          <w:rFonts w:ascii="Times New Roman" w:eastAsia="Times New Roman" w:hAnsi="Times New Roman" w:cs="Times New Roman"/>
          <w:sz w:val="24"/>
          <w:szCs w:val="24"/>
          <w:lang w:val="en-GB" w:eastAsia="cs-CZ"/>
        </w:rPr>
        <w:t xml:space="preserve">trades </w:t>
      </w:r>
      <w:r w:rsidRPr="00FA1502">
        <w:rPr>
          <w:rFonts w:ascii="Times New Roman" w:eastAsia="Times New Roman" w:hAnsi="Times New Roman" w:cs="Times New Roman"/>
          <w:sz w:val="24"/>
          <w:szCs w:val="24"/>
          <w:lang w:val="en-GB" w:eastAsia="cs-CZ"/>
        </w:rPr>
        <w:t xml:space="preserve">per quarter </w:t>
      </w:r>
      <w:r w:rsidRPr="00FA1502" w:rsidR="00F306C6">
        <w:rPr>
          <w:rFonts w:ascii="Times New Roman" w:eastAsia="Times New Roman" w:hAnsi="Times New Roman" w:cs="Times New Roman"/>
          <w:sz w:val="24"/>
          <w:szCs w:val="24"/>
          <w:lang w:val="en-GB" w:eastAsia="cs-CZ"/>
        </w:rPr>
        <w:t>or work</w:t>
      </w:r>
      <w:r w:rsidRPr="00FA1502" w:rsidR="00E04C88">
        <w:rPr>
          <w:rFonts w:ascii="Times New Roman" w:eastAsia="Times New Roman" w:hAnsi="Times New Roman" w:cs="Times New Roman"/>
          <w:sz w:val="24"/>
          <w:szCs w:val="24"/>
          <w:lang w:val="en-GB" w:eastAsia="cs-CZ"/>
        </w:rPr>
        <w:t xml:space="preserve"> in the financial sector</w:t>
      </w:r>
      <w:r w:rsidRPr="00FA1502">
        <w:rPr>
          <w:rFonts w:ascii="Times New Roman" w:eastAsia="Times New Roman" w:hAnsi="Times New Roman" w:cs="Times New Roman"/>
          <w:sz w:val="24"/>
          <w:szCs w:val="24"/>
          <w:lang w:val="en-GB" w:eastAsia="cs-CZ"/>
        </w:rPr>
        <w:t xml:space="preserve">. The use of this institute does not affect the obligation of the investment firm to obtain from the customer the </w:t>
      </w:r>
      <w:r w:rsidRPr="00FA1502" w:rsidR="00E04C88">
        <w:rPr>
          <w:rFonts w:ascii="Times New Roman" w:eastAsia="Times New Roman" w:hAnsi="Times New Roman" w:cs="Times New Roman"/>
          <w:sz w:val="24"/>
          <w:szCs w:val="24"/>
          <w:lang w:val="en-GB" w:eastAsia="cs-CZ"/>
        </w:rPr>
        <w:t>necessary information about his</w:t>
      </w:r>
      <w:r w:rsidRPr="00FA1502">
        <w:rPr>
          <w:rFonts w:ascii="Times New Roman" w:eastAsia="Times New Roman" w:hAnsi="Times New Roman" w:cs="Times New Roman"/>
          <w:sz w:val="24"/>
          <w:szCs w:val="24"/>
          <w:lang w:val="en-GB" w:eastAsia="cs-CZ"/>
        </w:rPr>
        <w:t xml:space="preserve"> professional knowledge, experience and other facts pursuant to Sections 15h and 15i of ZPKT (i</w:t>
      </w:r>
      <w:r w:rsidRPr="00FA1502" w:rsidR="00E04C88">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E04C88">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to complete and evaluate the investment questionnaire).</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 2 </w:t>
      </w:r>
      <w:r w:rsidRPr="00FA1502" w:rsidR="00A00543">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29 (3)</w:t>
      </w:r>
      <w:r w:rsidRPr="00FA1502" w:rsidR="00A00543">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lang w:val="en-GB" w:eastAsia="cs-CZ"/>
        </w:rPr>
        <w:t>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portfolio of products in relation to which the investment intermediary can provide the main inves</w:t>
      </w:r>
      <w:r w:rsidRPr="00FA1502" w:rsidR="0071281A">
        <w:rPr>
          <w:rFonts w:ascii="Times New Roman" w:eastAsia="Times New Roman" w:hAnsi="Times New Roman" w:cs="Times New Roman"/>
          <w:sz w:val="24"/>
          <w:szCs w:val="24"/>
          <w:lang w:val="en-GB" w:eastAsia="cs-CZ"/>
        </w:rPr>
        <w:t xml:space="preserve">tment services referred to in Section </w:t>
      </w:r>
      <w:r w:rsidRPr="00FA1502">
        <w:rPr>
          <w:rFonts w:ascii="Times New Roman" w:eastAsia="Times New Roman" w:hAnsi="Times New Roman" w:cs="Times New Roman"/>
          <w:sz w:val="24"/>
          <w:szCs w:val="24"/>
          <w:lang w:val="en-GB" w:eastAsia="cs-CZ"/>
        </w:rPr>
        <w:t xml:space="preserve">4 </w:t>
      </w:r>
      <w:r w:rsidRPr="00FA1502" w:rsidR="0071281A">
        <w:rPr>
          <w:rFonts w:ascii="Times New Roman" w:eastAsia="Times New Roman" w:hAnsi="Times New Roman" w:cs="Times New Roman"/>
          <w:sz w:val="24"/>
          <w:szCs w:val="24"/>
          <w:lang w:val="en-GB" w:eastAsia="cs-CZ"/>
        </w:rPr>
        <w:t>(2)</w:t>
      </w:r>
      <w:r w:rsidRPr="00FA1502">
        <w:rPr>
          <w:rFonts w:ascii="Times New Roman" w:eastAsia="Times New Roman" w:hAnsi="Times New Roman" w:cs="Times New Roman"/>
          <w:sz w:val="24"/>
          <w:szCs w:val="24"/>
          <w:lang w:val="en-GB" w:eastAsia="cs-CZ"/>
        </w:rPr>
        <w:t xml:space="preserve"> </w:t>
      </w:r>
      <w:r w:rsidRPr="00FA1502" w:rsidR="0071281A">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a) or </w:t>
      </w:r>
      <w:r w:rsidRPr="00FA1502" w:rsidR="0071281A">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71281A">
        <w:rPr>
          <w:rFonts w:ascii="Times New Roman" w:eastAsia="Times New Roman" w:hAnsi="Times New Roman" w:cs="Times New Roman"/>
          <w:sz w:val="24"/>
          <w:szCs w:val="24"/>
          <w:lang w:val="en-GB" w:eastAsia="cs-CZ"/>
        </w:rPr>
        <w:t xml:space="preserve"> of</w:t>
      </w:r>
      <w:r w:rsidRPr="00FA1502">
        <w:rPr>
          <w:rFonts w:ascii="Times New Roman" w:eastAsia="Times New Roman" w:hAnsi="Times New Roman" w:cs="Times New Roman"/>
          <w:sz w:val="24"/>
          <w:szCs w:val="24"/>
          <w:lang w:val="en-GB" w:eastAsia="cs-CZ"/>
        </w:rPr>
        <w:t xml:space="preserve"> ZPKT with regard to the introduction of n</w:t>
      </w:r>
      <w:r w:rsidRPr="00FA1502" w:rsidR="00A95F0C">
        <w:rPr>
          <w:rFonts w:ascii="Times New Roman" w:eastAsia="Times New Roman" w:hAnsi="Times New Roman" w:cs="Times New Roman"/>
          <w:sz w:val="24"/>
          <w:szCs w:val="24"/>
          <w:lang w:val="en-GB" w:eastAsia="cs-CZ"/>
        </w:rPr>
        <w:t>ew regulation in Section</w:t>
      </w:r>
      <w:r w:rsidRPr="00FA1502">
        <w:rPr>
          <w:rFonts w:ascii="Times New Roman" w:eastAsia="Times New Roman" w:hAnsi="Times New Roman" w:cs="Times New Roman"/>
          <w:sz w:val="24"/>
          <w:szCs w:val="24"/>
          <w:lang w:val="en-GB" w:eastAsia="cs-CZ"/>
        </w:rPr>
        <w:t xml:space="preserve"> 15k </w:t>
      </w:r>
      <w:r w:rsidRPr="00FA1502" w:rsidR="00A95F0C">
        <w:rPr>
          <w:rFonts w:ascii="Times New Roman" w:eastAsia="Times New Roman" w:hAnsi="Times New Roman" w:cs="Times New Roman"/>
          <w:sz w:val="24"/>
          <w:szCs w:val="24"/>
          <w:lang w:val="en-GB" w:eastAsia="cs-CZ"/>
        </w:rPr>
        <w:t xml:space="preserve">of </w:t>
      </w:r>
      <w:r w:rsidRPr="00FA1502" w:rsidR="00FF7626">
        <w:rPr>
          <w:rFonts w:ascii="Times New Roman" w:eastAsia="Times New Roman" w:hAnsi="Times New Roman" w:cs="Times New Roman"/>
          <w:sz w:val="24"/>
          <w:szCs w:val="24"/>
          <w:lang w:val="en-GB" w:eastAsia="cs-CZ"/>
        </w:rPr>
        <w:t>ZPKT, is expanded.</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3 [</w:t>
      </w:r>
      <w:r w:rsidRPr="00FA1502" w:rsidR="00A00543">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29 (4)</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sz w:val="24"/>
          <w:szCs w:val="24"/>
          <w:lang w:val="en-GB" w:eastAsia="cs-CZ"/>
        </w:rPr>
        <w:t>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I</w:t>
      </w:r>
      <w:r w:rsidRPr="00FA1502">
        <w:rPr>
          <w:rFonts w:ascii="Times New Roman" w:eastAsia="Times New Roman" w:hAnsi="Times New Roman" w:cs="Times New Roman"/>
          <w:sz w:val="24"/>
          <w:szCs w:val="24"/>
          <w:lang w:val="en-GB" w:eastAsia="cs-CZ"/>
        </w:rPr>
        <w:t xml:space="preserve">nvestment intermediaries are </w:t>
      </w:r>
      <w:r w:rsidRPr="00FA1502">
        <w:rPr>
          <w:rFonts w:ascii="Times New Roman" w:eastAsia="Times New Roman" w:hAnsi="Times New Roman" w:cs="Times New Roman"/>
          <w:sz w:val="24"/>
          <w:szCs w:val="24"/>
          <w:lang w:val="en-GB" w:eastAsia="cs-CZ"/>
        </w:rPr>
        <w:t xml:space="preserve">again </w:t>
      </w:r>
      <w:r w:rsidRPr="00FA1502">
        <w:rPr>
          <w:rFonts w:ascii="Times New Roman" w:eastAsia="Times New Roman" w:hAnsi="Times New Roman" w:cs="Times New Roman"/>
          <w:sz w:val="24"/>
          <w:szCs w:val="24"/>
          <w:lang w:val="en-GB" w:eastAsia="cs-CZ"/>
        </w:rPr>
        <w:t>allowed to tran</w:t>
      </w:r>
      <w:r w:rsidRPr="00FA1502">
        <w:rPr>
          <w:rFonts w:ascii="Times New Roman" w:eastAsia="Times New Roman" w:hAnsi="Times New Roman" w:cs="Times New Roman"/>
          <w:sz w:val="24"/>
          <w:szCs w:val="24"/>
          <w:lang w:val="en-GB" w:eastAsia="cs-CZ"/>
        </w:rPr>
        <w:t xml:space="preserve">sfer </w:t>
      </w:r>
      <w:r w:rsidRPr="00FA1502">
        <w:rPr>
          <w:rFonts w:ascii="Times New Roman" w:eastAsia="Times New Roman" w:hAnsi="Times New Roman" w:cs="Times New Roman"/>
          <w:sz w:val="24"/>
          <w:szCs w:val="24"/>
          <w:lang w:val="en-GB" w:eastAsia="cs-CZ"/>
        </w:rPr>
        <w:t>orders abroad when the reason for introducing this regulation has ceased to exist.</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4 [</w:t>
      </w:r>
      <w:r w:rsidRPr="00FA1502" w:rsidR="00A00543">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54 (</w:t>
      </w:r>
      <w:r w:rsidRPr="00FA1502">
        <w:rPr>
          <w:rFonts w:ascii="Times New Roman" w:eastAsia="Times New Roman" w:hAnsi="Times New Roman" w:cs="Times New Roman"/>
          <w:b/>
          <w:bCs/>
          <w:sz w:val="24"/>
          <w:szCs w:val="24"/>
          <w:u w:val="single"/>
          <w:lang w:val="en-GB" w:eastAsia="cs-CZ"/>
        </w:rPr>
        <w:t>2)</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newly unlimited substantive</w:t>
      </w:r>
      <w:r w:rsidRPr="00FA1502" w:rsidR="00C61E41">
        <w:rPr>
          <w:rFonts w:ascii="Times New Roman" w:eastAsia="Times New Roman" w:hAnsi="Times New Roman" w:cs="Times New Roman"/>
          <w:sz w:val="24"/>
          <w:szCs w:val="24"/>
          <w:lang w:val="en-GB" w:eastAsia="cs-CZ"/>
        </w:rPr>
        <w:t xml:space="preserve"> and local jurisdiction of the p</w:t>
      </w:r>
      <w:r w:rsidRPr="00FA1502">
        <w:rPr>
          <w:rFonts w:ascii="Times New Roman" w:eastAsia="Times New Roman" w:hAnsi="Times New Roman" w:cs="Times New Roman"/>
          <w:sz w:val="24"/>
          <w:szCs w:val="24"/>
          <w:lang w:val="en-GB" w:eastAsia="cs-CZ"/>
        </w:rPr>
        <w:t xml:space="preserve">ermanent </w:t>
      </w:r>
      <w:r w:rsidRPr="00FA1502" w:rsidR="00C61E41">
        <w:rPr>
          <w:rFonts w:ascii="Times New Roman" w:eastAsia="Times New Roman" w:hAnsi="Times New Roman" w:cs="Times New Roman"/>
          <w:sz w:val="24"/>
          <w:szCs w:val="24"/>
          <w:lang w:val="en-GB" w:eastAsia="cs-CZ"/>
        </w:rPr>
        <w:t>arbitration c</w:t>
      </w:r>
      <w:r w:rsidRPr="00FA1502">
        <w:rPr>
          <w:rFonts w:ascii="Times New Roman" w:eastAsia="Times New Roman" w:hAnsi="Times New Roman" w:cs="Times New Roman"/>
          <w:sz w:val="24"/>
          <w:szCs w:val="24"/>
          <w:lang w:val="en-GB" w:eastAsia="cs-CZ"/>
        </w:rPr>
        <w:t xml:space="preserve">ourt of </w:t>
      </w:r>
      <w:r w:rsidRPr="00FA1502" w:rsidR="00C61E41">
        <w:rPr>
          <w:rFonts w:ascii="Times New Roman" w:eastAsia="Times New Roman" w:hAnsi="Times New Roman" w:cs="Times New Roman"/>
          <w:sz w:val="24"/>
          <w:szCs w:val="24"/>
          <w:lang w:val="en-GB" w:eastAsia="cs-CZ"/>
        </w:rPr>
        <w:t>the o</w:t>
      </w:r>
      <w:r w:rsidRPr="00FA1502">
        <w:rPr>
          <w:rFonts w:ascii="Times New Roman" w:eastAsia="Times New Roman" w:hAnsi="Times New Roman" w:cs="Times New Roman"/>
          <w:sz w:val="24"/>
          <w:szCs w:val="24"/>
          <w:lang w:val="en-GB" w:eastAsia="cs-CZ"/>
        </w:rPr>
        <w:t xml:space="preserve">rganizer of the </w:t>
      </w:r>
      <w:r w:rsidRPr="00FA1502" w:rsidR="00C61E41">
        <w:rPr>
          <w:rFonts w:ascii="Times New Roman" w:eastAsia="Times New Roman" w:hAnsi="Times New Roman" w:cs="Times New Roman"/>
          <w:sz w:val="24"/>
          <w:szCs w:val="24"/>
          <w:lang w:val="en-GB" w:eastAsia="cs-CZ"/>
        </w:rPr>
        <w:t>regulated m</w:t>
      </w:r>
      <w:r w:rsidRPr="00FA1502">
        <w:rPr>
          <w:rFonts w:ascii="Times New Roman" w:eastAsia="Times New Roman" w:hAnsi="Times New Roman" w:cs="Times New Roman"/>
          <w:sz w:val="24"/>
          <w:szCs w:val="24"/>
          <w:lang w:val="en-GB" w:eastAsia="cs-CZ"/>
        </w:rPr>
        <w:t>arket</w:t>
      </w:r>
      <w:r w:rsidRPr="00FA1502" w:rsidR="00C61E41">
        <w:rPr>
          <w:rFonts w:ascii="Times New Roman" w:eastAsia="Times New Roman" w:hAnsi="Times New Roman" w:cs="Times New Roman"/>
          <w:sz w:val="24"/>
          <w:szCs w:val="24"/>
          <w:lang w:val="en-GB" w:eastAsia="cs-CZ"/>
        </w:rPr>
        <w:t xml:space="preserve"> is p</w:t>
      </w:r>
      <w:r w:rsidRPr="00FA1502">
        <w:rPr>
          <w:rFonts w:ascii="Times New Roman" w:eastAsia="Times New Roman" w:hAnsi="Times New Roman" w:cs="Times New Roman"/>
          <w:sz w:val="24"/>
          <w:szCs w:val="24"/>
          <w:lang w:val="en-GB" w:eastAsia="cs-CZ"/>
        </w:rPr>
        <w:t>ropose</w:t>
      </w:r>
      <w:r w:rsidRPr="00FA1502" w:rsidR="00C61E41">
        <w:rPr>
          <w:rFonts w:ascii="Times New Roman" w:eastAsia="Times New Roman" w:hAnsi="Times New Roman" w:cs="Times New Roman"/>
          <w:sz w:val="24"/>
          <w:szCs w:val="24"/>
          <w:lang w:val="en-GB" w:eastAsia="cs-CZ"/>
        </w:rPr>
        <w:t>d</w:t>
      </w:r>
      <w:r w:rsidRPr="00FA1502">
        <w:rPr>
          <w:rFonts w:ascii="Times New Roman" w:eastAsia="Times New Roman" w:hAnsi="Times New Roman" w:cs="Times New Roman"/>
          <w:sz w:val="24"/>
          <w:szCs w:val="24"/>
          <w:lang w:val="en-GB" w:eastAsia="cs-CZ"/>
        </w:rPr>
        <w:t xml:space="preserve"> </w:t>
      </w:r>
      <w:r w:rsidRPr="00FA1502" w:rsidR="00C61E41">
        <w:rPr>
          <w:rFonts w:ascii="Times New Roman" w:eastAsia="Times New Roman" w:hAnsi="Times New Roman" w:cs="Times New Roman"/>
          <w:sz w:val="24"/>
          <w:szCs w:val="24"/>
          <w:lang w:val="en-GB" w:eastAsia="cs-CZ"/>
        </w:rPr>
        <w:t xml:space="preserve">to resolve </w:t>
      </w:r>
      <w:r w:rsidRPr="00FA1502">
        <w:rPr>
          <w:rFonts w:ascii="Times New Roman" w:eastAsia="Times New Roman" w:hAnsi="Times New Roman" w:cs="Times New Roman"/>
          <w:sz w:val="24"/>
          <w:szCs w:val="24"/>
          <w:lang w:val="en-GB" w:eastAsia="cs-CZ"/>
        </w:rPr>
        <w:t>property disputes be</w:t>
      </w:r>
      <w:r w:rsidRPr="00FA1502" w:rsidR="00C61E41">
        <w:rPr>
          <w:rFonts w:ascii="Times New Roman" w:eastAsia="Times New Roman" w:hAnsi="Times New Roman" w:cs="Times New Roman"/>
          <w:sz w:val="24"/>
          <w:szCs w:val="24"/>
          <w:lang w:val="en-GB" w:eastAsia="cs-CZ"/>
        </w:rPr>
        <w:t>tween natural and legal persons</w:t>
      </w:r>
      <w:r w:rsidRPr="00FA1502">
        <w:rPr>
          <w:rFonts w:ascii="Times New Roman" w:eastAsia="Times New Roman" w:hAnsi="Times New Roman" w:cs="Times New Roman"/>
          <w:sz w:val="24"/>
          <w:szCs w:val="24"/>
          <w:lang w:val="en-GB" w:eastAsia="cs-CZ"/>
        </w:rPr>
        <w:t>. In the current legal situation, where, for example, consumer disputes have been excluded from arbitration, it seems appropriate to establish competition between institutions operating perman</w:t>
      </w:r>
      <w:r w:rsidRPr="00FA1502" w:rsidR="00E544E9">
        <w:rPr>
          <w:rFonts w:ascii="Times New Roman" w:eastAsia="Times New Roman" w:hAnsi="Times New Roman" w:cs="Times New Roman"/>
          <w:sz w:val="24"/>
          <w:szCs w:val="24"/>
          <w:lang w:val="en-GB" w:eastAsia="cs-CZ"/>
        </w:rPr>
        <w:t>ent arbitration courts. That is a</w:t>
      </w:r>
      <w:r w:rsidRPr="00FA1502">
        <w:rPr>
          <w:rFonts w:ascii="Times New Roman" w:eastAsia="Times New Roman" w:hAnsi="Times New Roman" w:cs="Times New Roman"/>
          <w:sz w:val="24"/>
          <w:szCs w:val="24"/>
          <w:lang w:val="en-GB" w:eastAsia="cs-CZ"/>
        </w:rPr>
        <w:t xml:space="preserve"> competition that can be expected to increase the quality and integrity of arbitration. The operators of regulated public markets are trustworthy persons and it can therefore </w:t>
      </w:r>
      <w:r w:rsidRPr="00FA1502" w:rsidR="00E544E9">
        <w:rPr>
          <w:rFonts w:ascii="Times New Roman" w:eastAsia="Times New Roman" w:hAnsi="Times New Roman" w:cs="Times New Roman"/>
          <w:sz w:val="24"/>
          <w:szCs w:val="24"/>
          <w:lang w:val="en-GB" w:eastAsia="cs-CZ"/>
        </w:rPr>
        <w:t xml:space="preserve">be </w:t>
      </w:r>
      <w:r w:rsidRPr="00FA1502">
        <w:rPr>
          <w:rFonts w:ascii="Times New Roman" w:eastAsia="Times New Roman" w:hAnsi="Times New Roman" w:cs="Times New Roman"/>
          <w:sz w:val="24"/>
          <w:szCs w:val="24"/>
          <w:lang w:val="en-GB" w:eastAsia="cs-CZ"/>
        </w:rPr>
        <w:t xml:space="preserve">reasonably assumed that with </w:t>
      </w:r>
      <w:r w:rsidRPr="00FA1502" w:rsidR="00E544E9">
        <w:rPr>
          <w:rFonts w:ascii="Times New Roman" w:eastAsia="Times New Roman" w:hAnsi="Times New Roman" w:cs="Times New Roman"/>
          <w:sz w:val="24"/>
          <w:szCs w:val="24"/>
          <w:lang w:val="en-GB" w:eastAsia="cs-CZ"/>
        </w:rPr>
        <w:t>regard to the operation of the p</w:t>
      </w:r>
      <w:r w:rsidRPr="00FA1502">
        <w:rPr>
          <w:rFonts w:ascii="Times New Roman" w:eastAsia="Times New Roman" w:hAnsi="Times New Roman" w:cs="Times New Roman"/>
          <w:sz w:val="24"/>
          <w:szCs w:val="24"/>
          <w:lang w:val="en-GB" w:eastAsia="cs-CZ"/>
        </w:rPr>
        <w:t xml:space="preserve">ermanent </w:t>
      </w:r>
      <w:r w:rsidRPr="00FA1502" w:rsidR="00E544E9">
        <w:rPr>
          <w:rFonts w:ascii="Times New Roman" w:eastAsia="Times New Roman" w:hAnsi="Times New Roman" w:cs="Times New Roman"/>
          <w:sz w:val="24"/>
          <w:szCs w:val="24"/>
          <w:lang w:val="en-GB" w:eastAsia="cs-CZ"/>
        </w:rPr>
        <w:t>arbitration c</w:t>
      </w:r>
      <w:r w:rsidRPr="00FA1502">
        <w:rPr>
          <w:rFonts w:ascii="Times New Roman" w:eastAsia="Times New Roman" w:hAnsi="Times New Roman" w:cs="Times New Roman"/>
          <w:sz w:val="24"/>
          <w:szCs w:val="24"/>
          <w:lang w:val="en-GB" w:eastAsia="cs-CZ"/>
        </w:rPr>
        <w:t>ourt it will advocate for the quality and integrity of its decision-</w:t>
      </w:r>
      <w:r w:rsidRPr="00FA1502">
        <w:rPr>
          <w:rFonts w:ascii="Times New Roman" w:eastAsia="Times New Roman" w:hAnsi="Times New Roman" w:cs="Times New Roman"/>
          <w:sz w:val="24"/>
          <w:szCs w:val="24"/>
          <w:lang w:val="en-GB" w:eastAsia="cs-CZ"/>
        </w:rPr>
        <w:t xml:space="preserve">making activities, regardless of whether the </w:t>
      </w:r>
      <w:r w:rsidRPr="00FA1502" w:rsidR="00E544E9">
        <w:rPr>
          <w:rFonts w:ascii="Times New Roman" w:eastAsia="Times New Roman" w:hAnsi="Times New Roman" w:cs="Times New Roman"/>
          <w:sz w:val="24"/>
          <w:szCs w:val="24"/>
          <w:lang w:val="en-GB" w:eastAsia="cs-CZ"/>
        </w:rPr>
        <w:t xml:space="preserve">subject-matter of </w:t>
      </w:r>
      <w:r w:rsidRPr="00FA1502">
        <w:rPr>
          <w:rFonts w:ascii="Times New Roman" w:eastAsia="Times New Roman" w:hAnsi="Times New Roman" w:cs="Times New Roman"/>
          <w:sz w:val="24"/>
          <w:szCs w:val="24"/>
          <w:lang w:val="en-GB" w:eastAsia="cs-CZ"/>
        </w:rPr>
        <w:t xml:space="preserve">disputes </w:t>
      </w:r>
      <w:r w:rsidRPr="00FA1502" w:rsidR="00E544E9">
        <w:rPr>
          <w:rFonts w:ascii="Times New Roman" w:eastAsia="Times New Roman" w:hAnsi="Times New Roman" w:cs="Times New Roman"/>
          <w:sz w:val="24"/>
          <w:szCs w:val="24"/>
          <w:lang w:val="en-GB" w:eastAsia="cs-CZ"/>
        </w:rPr>
        <w:t xml:space="preserve">are securities or commodities traded on the regulated market or </w:t>
      </w:r>
      <w:r w:rsidRPr="00FA1502">
        <w:rPr>
          <w:rFonts w:ascii="Times New Roman" w:eastAsia="Times New Roman" w:hAnsi="Times New Roman" w:cs="Times New Roman"/>
          <w:sz w:val="24"/>
          <w:szCs w:val="24"/>
          <w:lang w:val="en-GB" w:eastAsia="cs-CZ"/>
        </w:rPr>
        <w:t>whether the dispute arises from other trades.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Extension, respectively</w:t>
      </w:r>
      <w:r w:rsidRPr="00FA1502" w:rsidR="000561BD">
        <w:rPr>
          <w:rFonts w:ascii="Times New Roman" w:eastAsia="Times New Roman" w:hAnsi="Times New Roman" w:cs="Times New Roman"/>
          <w:sz w:val="24"/>
          <w:szCs w:val="24"/>
          <w:lang w:val="en-GB" w:eastAsia="cs-CZ"/>
        </w:rPr>
        <w:t xml:space="preserve"> u</w:t>
      </w:r>
      <w:r w:rsidRPr="00FA1502">
        <w:rPr>
          <w:rFonts w:ascii="Times New Roman" w:eastAsia="Times New Roman" w:hAnsi="Times New Roman" w:cs="Times New Roman"/>
          <w:sz w:val="24"/>
          <w:szCs w:val="24"/>
          <w:lang w:val="en-GB" w:eastAsia="cs-CZ"/>
        </w:rPr>
        <w:t>nification of dispute resolution according to unif</w:t>
      </w:r>
      <w:r w:rsidRPr="00FA1502" w:rsidR="000561BD">
        <w:rPr>
          <w:rFonts w:ascii="Times New Roman" w:eastAsia="Times New Roman" w:hAnsi="Times New Roman" w:cs="Times New Roman"/>
          <w:sz w:val="24"/>
          <w:szCs w:val="24"/>
          <w:lang w:val="en-GB" w:eastAsia="cs-CZ"/>
        </w:rPr>
        <w:t>ied</w:t>
      </w:r>
      <w:r w:rsidRPr="00FA1502">
        <w:rPr>
          <w:rFonts w:ascii="Times New Roman" w:eastAsia="Times New Roman" w:hAnsi="Times New Roman" w:cs="Times New Roman"/>
          <w:sz w:val="24"/>
          <w:szCs w:val="24"/>
          <w:lang w:val="en-GB" w:eastAsia="cs-CZ"/>
        </w:rPr>
        <w:t xml:space="preserve"> rules in the form of institutionalized arbitration, regulated in a way that provides sufficient guarantees of transparent dispute settlement, will contribute to re-establishing the credibility of arbitration as an out-of-court dispute resolution in the Czech Republic.</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current limitation of the legal jurisdiction of these permanent arbitration courts limits the number of cases entrusted to these courts, making it difficult to operate economically. The proposed legislation would place the activities of these permanent arbitration courts on a more rational commercial basis. At the same time, it can be </w:t>
      </w:r>
      <w:r w:rsidRPr="00FA1502" w:rsidR="000561BD">
        <w:rPr>
          <w:rFonts w:ascii="Times New Roman" w:eastAsia="Times New Roman" w:hAnsi="Times New Roman" w:cs="Times New Roman"/>
          <w:sz w:val="24"/>
          <w:szCs w:val="24"/>
          <w:lang w:val="en-GB" w:eastAsia="cs-CZ"/>
        </w:rPr>
        <w:t xml:space="preserve">reasonably </w:t>
      </w:r>
      <w:r w:rsidRPr="00FA1502">
        <w:rPr>
          <w:rFonts w:ascii="Times New Roman" w:eastAsia="Times New Roman" w:hAnsi="Times New Roman" w:cs="Times New Roman"/>
          <w:sz w:val="24"/>
          <w:szCs w:val="24"/>
          <w:lang w:val="en-GB" w:eastAsia="cs-CZ"/>
        </w:rPr>
        <w:t xml:space="preserve">expected that the proposed amendment to the legislation will benefit domestic entrepreneurs who are looking for a court to which they could entrust the resolution of their business disputes without fear of lack of management integrity or quality of decision-making. Last but not least, the proposed change could also benefit domestic civil courts, which could be less </w:t>
      </w:r>
      <w:r w:rsidRPr="00FA1502" w:rsidR="000561BD">
        <w:rPr>
          <w:rFonts w:ascii="Times New Roman" w:eastAsia="Times New Roman" w:hAnsi="Times New Roman" w:cs="Times New Roman"/>
          <w:sz w:val="24"/>
          <w:szCs w:val="24"/>
          <w:lang w:val="en-GB" w:eastAsia="cs-CZ"/>
        </w:rPr>
        <w:t xml:space="preserve">overloaded with business disputes </w:t>
      </w:r>
      <w:r w:rsidRPr="00FA1502">
        <w:rPr>
          <w:rFonts w:ascii="Times New Roman" w:eastAsia="Times New Roman" w:hAnsi="Times New Roman" w:cs="Times New Roman"/>
          <w:sz w:val="24"/>
          <w:szCs w:val="24"/>
          <w:lang w:val="en-GB" w:eastAsia="cs-CZ"/>
        </w:rPr>
        <w:t>and, ultimately, parties to other civil courts before domestic civil courts, as free judicial capacity would be availa</w:t>
      </w:r>
      <w:r w:rsidRPr="00FA1502" w:rsidR="000561BD">
        <w:rPr>
          <w:rFonts w:ascii="Times New Roman" w:eastAsia="Times New Roman" w:hAnsi="Times New Roman" w:cs="Times New Roman"/>
          <w:sz w:val="24"/>
          <w:szCs w:val="24"/>
          <w:lang w:val="en-GB" w:eastAsia="cs-CZ"/>
        </w:rPr>
        <w:t>ble for faster decision-making of o</w:t>
      </w:r>
      <w:r w:rsidRPr="00FA1502">
        <w:rPr>
          <w:rFonts w:ascii="Times New Roman" w:eastAsia="Times New Roman" w:hAnsi="Times New Roman" w:cs="Times New Roman"/>
          <w:sz w:val="24"/>
          <w:szCs w:val="24"/>
          <w:lang w:val="en-GB" w:eastAsia="cs-CZ"/>
        </w:rPr>
        <w:t>ther court agendas.</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points 5 and 6 [</w:t>
      </w:r>
      <w:r w:rsidRPr="00FA1502">
        <w:rPr>
          <w:rFonts w:ascii="Times New Roman" w:eastAsia="Times New Roman" w:hAnsi="Times New Roman" w:cs="Times New Roman"/>
          <w:b/>
          <w:bCs/>
          <w:sz w:val="24"/>
          <w:szCs w:val="24"/>
          <w:u w:val="single"/>
          <w:lang w:val="en-GB" w:eastAsia="cs-CZ"/>
        </w:rPr>
        <w:t>Section 163 (4) and (7)</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By insertion of new part</w:t>
      </w:r>
      <w:r w:rsidRPr="00FA1502">
        <w:rPr>
          <w:rFonts w:ascii="Times New Roman" w:eastAsia="Times New Roman" w:hAnsi="Times New Roman" w:cs="Times New Roman"/>
          <w:sz w:val="24"/>
          <w:szCs w:val="24"/>
          <w:lang w:val="en-GB" w:eastAsia="cs-CZ"/>
        </w:rPr>
        <w:t xml:space="preserve"> thir</w:t>
      </w:r>
      <w:r w:rsidRPr="00FA1502">
        <w:rPr>
          <w:rFonts w:ascii="Times New Roman" w:eastAsia="Times New Roman" w:hAnsi="Times New Roman" w:cs="Times New Roman"/>
          <w:sz w:val="24"/>
          <w:szCs w:val="24"/>
          <w:lang w:val="en-GB" w:eastAsia="cs-CZ"/>
        </w:rPr>
        <w:t xml:space="preserve">teen </w:t>
      </w:r>
      <w:r w:rsidRPr="00FA1502">
        <w:rPr>
          <w:rFonts w:ascii="Times New Roman" w:eastAsia="Times New Roman" w:hAnsi="Times New Roman" w:cs="Times New Roman"/>
          <w:sz w:val="24"/>
          <w:szCs w:val="24"/>
          <w:lang w:val="en-GB" w:eastAsia="cs-CZ"/>
        </w:rPr>
        <w:t>in ZPKT</w:t>
      </w:r>
      <w:r w:rsidRPr="00FA1502">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the persons mentioned therein, i</w:t>
      </w:r>
      <w:r w:rsidRPr="00FA1502">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e. </w:t>
      </w:r>
      <w:r w:rsidRPr="00FA1502">
        <w:rPr>
          <w:rFonts w:ascii="Times New Roman" w:eastAsia="Times New Roman" w:hAnsi="Times New Roman" w:cs="Times New Roman"/>
          <w:sz w:val="24"/>
          <w:szCs w:val="24"/>
          <w:lang w:val="en-GB" w:eastAsia="cs-CZ"/>
        </w:rPr>
        <w:t>a</w:t>
      </w:r>
      <w:r w:rsidRPr="00FA1502">
        <w:rPr>
          <w:rFonts w:ascii="Times New Roman" w:eastAsia="Times New Roman" w:hAnsi="Times New Roman" w:cs="Times New Roman"/>
          <w:sz w:val="24"/>
          <w:szCs w:val="24"/>
          <w:lang w:val="en-GB" w:eastAsia="cs-CZ"/>
        </w:rPr>
        <w:t xml:space="preserve">dministrators </w:t>
      </w:r>
      <w:r w:rsidRPr="00FA1502">
        <w:rPr>
          <w:rFonts w:ascii="Times New Roman" w:eastAsia="Times New Roman" w:hAnsi="Times New Roman" w:cs="Times New Roman"/>
          <w:sz w:val="24"/>
          <w:szCs w:val="24"/>
          <w:lang w:val="en-GB" w:eastAsia="cs-CZ"/>
        </w:rPr>
        <w:t>of individual savings accounts</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 xml:space="preserve">are </w:t>
      </w:r>
      <w:r w:rsidRPr="00FA1502">
        <w:rPr>
          <w:rFonts w:ascii="Times New Roman" w:eastAsia="Times New Roman" w:hAnsi="Times New Roman" w:cs="Times New Roman"/>
          <w:sz w:val="24"/>
          <w:szCs w:val="24"/>
          <w:lang w:val="en-GB" w:eastAsia="cs-CZ"/>
        </w:rPr>
        <w:t>impose</w:t>
      </w:r>
      <w:r w:rsidRPr="00FA1502">
        <w:rPr>
          <w:rFonts w:ascii="Times New Roman" w:eastAsia="Times New Roman" w:hAnsi="Times New Roman" w:cs="Times New Roman"/>
          <w:sz w:val="24"/>
          <w:szCs w:val="24"/>
          <w:lang w:val="en-GB" w:eastAsia="cs-CZ"/>
        </w:rPr>
        <w:t>d</w:t>
      </w:r>
      <w:r w:rsidRPr="00FA1502">
        <w:rPr>
          <w:rFonts w:ascii="Times New Roman" w:eastAsia="Times New Roman" w:hAnsi="Times New Roman" w:cs="Times New Roman"/>
          <w:sz w:val="24"/>
          <w:szCs w:val="24"/>
          <w:lang w:val="en-GB" w:eastAsia="cs-CZ"/>
        </w:rPr>
        <w:t xml:space="preserve"> a number of obligations </w:t>
      </w:r>
      <w:r w:rsidRPr="00FA1502">
        <w:rPr>
          <w:rFonts w:ascii="Times New Roman" w:eastAsia="Times New Roman" w:hAnsi="Times New Roman" w:cs="Times New Roman"/>
          <w:sz w:val="24"/>
          <w:szCs w:val="24"/>
          <w:lang w:val="en-GB" w:eastAsia="cs-CZ"/>
        </w:rPr>
        <w:t>on</w:t>
      </w:r>
      <w:r w:rsidRPr="00FA1502">
        <w:rPr>
          <w:rFonts w:ascii="Times New Roman" w:eastAsia="Times New Roman" w:hAnsi="Times New Roman" w:cs="Times New Roman"/>
          <w:sz w:val="24"/>
          <w:szCs w:val="24"/>
          <w:lang w:val="en-GB" w:eastAsia="cs-CZ"/>
        </w:rPr>
        <w:t xml:space="preserve">, some of which </w:t>
      </w:r>
      <w:r w:rsidRPr="00FA1502">
        <w:rPr>
          <w:rFonts w:ascii="Times New Roman" w:eastAsia="Times New Roman" w:hAnsi="Times New Roman" w:cs="Times New Roman"/>
          <w:sz w:val="24"/>
          <w:szCs w:val="24"/>
          <w:lang w:val="en-GB" w:eastAsia="cs-CZ"/>
        </w:rPr>
        <w:t>should be enforced by a</w:t>
      </w:r>
      <w:r w:rsidRPr="00FA1502">
        <w:rPr>
          <w:rFonts w:ascii="Times New Roman" w:eastAsia="Times New Roman" w:hAnsi="Times New Roman" w:cs="Times New Roman"/>
          <w:sz w:val="24"/>
          <w:szCs w:val="24"/>
          <w:lang w:val="en-GB" w:eastAsia="cs-CZ"/>
        </w:rPr>
        <w:t>ppropriate</w:t>
      </w:r>
      <w:r w:rsidRPr="00FA1502">
        <w:rPr>
          <w:rFonts w:ascii="Times New Roman" w:eastAsia="Times New Roman" w:hAnsi="Times New Roman" w:cs="Times New Roman"/>
          <w:sz w:val="24"/>
          <w:szCs w:val="24"/>
          <w:lang w:val="en-GB" w:eastAsia="cs-CZ"/>
        </w:rPr>
        <w:t xml:space="preserve"> public-law </w:t>
      </w:r>
      <w:r w:rsidRPr="00FA1502">
        <w:rPr>
          <w:rFonts w:ascii="Times New Roman" w:eastAsia="Times New Roman" w:hAnsi="Times New Roman" w:cs="Times New Roman"/>
          <w:sz w:val="24"/>
          <w:szCs w:val="24"/>
          <w:lang w:val="en-GB" w:eastAsia="cs-CZ"/>
        </w:rPr>
        <w:t>sanctions</w:t>
      </w:r>
      <w:r w:rsidRPr="00FA1502">
        <w:rPr>
          <w:rFonts w:ascii="Times New Roman" w:eastAsia="Times New Roman" w:hAnsi="Times New Roman" w:cs="Times New Roman"/>
          <w:sz w:val="24"/>
          <w:szCs w:val="24"/>
          <w:lang w:val="en-GB" w:eastAsia="cs-CZ"/>
        </w:rPr>
        <w:t xml:space="preserve">, as private-law </w:t>
      </w:r>
      <w:r w:rsidRPr="00FA1502">
        <w:rPr>
          <w:rFonts w:ascii="Times New Roman" w:eastAsia="Times New Roman" w:hAnsi="Times New Roman" w:cs="Times New Roman"/>
          <w:sz w:val="24"/>
          <w:szCs w:val="24"/>
          <w:lang w:val="en-GB" w:eastAsia="cs-CZ"/>
        </w:rPr>
        <w:t xml:space="preserve">sanctions would be </w:t>
      </w:r>
      <w:r w:rsidRPr="00FA1502">
        <w:rPr>
          <w:rFonts w:ascii="Times New Roman" w:eastAsia="Times New Roman" w:hAnsi="Times New Roman" w:cs="Times New Roman"/>
          <w:sz w:val="24"/>
          <w:szCs w:val="24"/>
          <w:lang w:val="en-GB" w:eastAsia="cs-CZ"/>
        </w:rPr>
        <w:t>obviously insufficient</w:t>
      </w:r>
      <w:r w:rsidRPr="00FA1502">
        <w:rPr>
          <w:rFonts w:ascii="Times New Roman" w:eastAsia="Times New Roman" w:hAnsi="Times New Roman" w:cs="Times New Roman"/>
          <w:sz w:val="24"/>
          <w:szCs w:val="24"/>
          <w:lang w:val="en-GB" w:eastAsia="cs-CZ"/>
        </w:rPr>
        <w:t xml:space="preserve">. Consequently, offenses </w:t>
      </w:r>
      <w:r w:rsidRPr="00FA1502">
        <w:rPr>
          <w:rFonts w:ascii="Times New Roman" w:eastAsia="Times New Roman" w:hAnsi="Times New Roman" w:cs="Times New Roman"/>
          <w:sz w:val="24"/>
          <w:szCs w:val="24"/>
          <w:lang w:val="en-GB" w:eastAsia="cs-CZ"/>
        </w:rPr>
        <w:t>related to the respective obligations are adjusted as well.</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Sanction</w:t>
      </w:r>
      <w:r w:rsidRPr="00FA1502">
        <w:rPr>
          <w:rFonts w:ascii="Times New Roman" w:eastAsia="Times New Roman" w:hAnsi="Times New Roman" w:cs="Times New Roman"/>
          <w:sz w:val="24"/>
          <w:szCs w:val="24"/>
          <w:lang w:val="en-GB" w:eastAsia="cs-CZ"/>
        </w:rPr>
        <w:t xml:space="preserve"> for violation of the obligations</w:t>
      </w:r>
      <w:r w:rsidRPr="00FA1502">
        <w:rPr>
          <w:rFonts w:ascii="Times New Roman" w:eastAsia="Times New Roman" w:hAnsi="Times New Roman" w:cs="Times New Roman"/>
          <w:sz w:val="24"/>
          <w:szCs w:val="24"/>
          <w:lang w:val="en-GB" w:eastAsia="cs-CZ"/>
        </w:rPr>
        <w:t xml:space="preserve"> of the persons </w:t>
      </w:r>
      <w:r w:rsidRPr="00FA1502">
        <w:rPr>
          <w:rFonts w:ascii="Times New Roman" w:eastAsia="Times New Roman" w:hAnsi="Times New Roman" w:cs="Times New Roman"/>
          <w:sz w:val="24"/>
          <w:szCs w:val="24"/>
          <w:lang w:val="en-GB" w:eastAsia="cs-CZ"/>
        </w:rPr>
        <w:t>mentioned above</w:t>
      </w:r>
      <w:r w:rsidRPr="00FA1502">
        <w:rPr>
          <w:rFonts w:ascii="Times New Roman" w:eastAsia="Times New Roman" w:hAnsi="Times New Roman" w:cs="Times New Roman"/>
          <w:sz w:val="24"/>
          <w:szCs w:val="24"/>
          <w:lang w:val="en-GB" w:eastAsia="cs-CZ"/>
        </w:rPr>
        <w:t xml:space="preserve"> is a </w:t>
      </w:r>
      <w:r w:rsidRPr="00FA1502">
        <w:rPr>
          <w:rFonts w:ascii="Times New Roman" w:eastAsia="Times New Roman" w:hAnsi="Times New Roman" w:cs="Times New Roman"/>
          <w:sz w:val="24"/>
          <w:szCs w:val="24"/>
          <w:lang w:val="en-GB" w:eastAsia="cs-CZ"/>
        </w:rPr>
        <w:t>fine at national amount</w:t>
      </w:r>
      <w:r w:rsidRPr="00FA1502">
        <w:rPr>
          <w:rFonts w:ascii="Times New Roman" w:eastAsia="Times New Roman" w:hAnsi="Times New Roman" w:cs="Times New Roman"/>
          <w:sz w:val="24"/>
          <w:szCs w:val="24"/>
          <w:lang w:val="en-GB" w:eastAsia="cs-CZ"/>
        </w:rPr>
        <w:t xml:space="preserve"> of CZK </w:t>
      </w:r>
      <w:r w:rsidRPr="00FA1502">
        <w:rPr>
          <w:rFonts w:ascii="Times New Roman" w:eastAsia="Times New Roman" w:hAnsi="Times New Roman" w:cs="Times New Roman"/>
          <w:sz w:val="24"/>
          <w:szCs w:val="24"/>
          <w:lang w:val="en-GB" w:eastAsia="cs-CZ"/>
        </w:rPr>
        <w:t>5 mil.</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7 [</w:t>
      </w:r>
      <w:r w:rsidRPr="00FA1502" w:rsidR="00A00543">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193</w:t>
      </w:r>
      <w:r w:rsidRPr="00FA1502">
        <w:rPr>
          <w:rFonts w:ascii="Times New Roman" w:eastAsia="Times New Roman" w:hAnsi="Times New Roman" w:cs="Times New Roman"/>
          <w:b/>
          <w:bCs/>
          <w:sz w:val="24"/>
          <w:szCs w:val="24"/>
          <w:u w:val="single"/>
          <w:lang w:val="en-GB" w:eastAsia="cs-CZ"/>
        </w:rPr>
        <w:t xml:space="preserve"> (</w:t>
      </w:r>
      <w:r w:rsidRPr="00FA1502">
        <w:rPr>
          <w:rFonts w:ascii="Times New Roman" w:eastAsia="Times New Roman" w:hAnsi="Times New Roman" w:cs="Times New Roman"/>
          <w:b/>
          <w:bCs/>
          <w:sz w:val="24"/>
          <w:szCs w:val="24"/>
          <w:u w:val="single"/>
          <w:lang w:val="en-GB" w:eastAsia="cs-CZ"/>
        </w:rPr>
        <w:t>3</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 </w:t>
      </w:r>
      <w:r w:rsidRPr="00FA1502">
        <w:rPr>
          <w:rFonts w:ascii="Times New Roman" w:eastAsia="Times New Roman" w:hAnsi="Times New Roman" w:cs="Times New Roman"/>
          <w:b/>
          <w:bCs/>
          <w:sz w:val="24"/>
          <w:szCs w:val="24"/>
          <w:u w:val="single"/>
          <w:lang w:val="en-GB" w:eastAsia="cs-CZ"/>
        </w:rPr>
        <w:t>and cancellation of footnote 27]</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sz w:val="24"/>
          <w:szCs w:val="24"/>
          <w:lang w:val="en-GB" w:eastAsia="cs-CZ"/>
        </w:rPr>
        <w:t>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This is a legislative-technical adjustment where the footnotes are clearly</w:t>
      </w:r>
      <w:r w:rsidRPr="00FA1502" w:rsidR="00EE2124">
        <w:rPr>
          <w:rFonts w:ascii="Times New Roman" w:eastAsia="Times New Roman" w:hAnsi="Times New Roman" w:cs="Times New Roman"/>
          <w:sz w:val="24"/>
          <w:szCs w:val="24"/>
          <w:lang w:val="en-GB" w:eastAsia="cs-CZ"/>
        </w:rPr>
        <w:t xml:space="preserve"> outdated and are only examples</w:t>
      </w:r>
      <w:r w:rsidRPr="00FA1502">
        <w:rPr>
          <w:rFonts w:ascii="Times New Roman" w:eastAsia="Times New Roman" w:hAnsi="Times New Roman" w:cs="Times New Roman"/>
          <w:sz w:val="24"/>
          <w:szCs w:val="24"/>
          <w:lang w:val="en-GB" w:eastAsia="cs-CZ"/>
        </w:rPr>
        <w:t xml:space="preserve">. It is preferable to leave the </w:t>
      </w:r>
      <w:r w:rsidRPr="00FA1502" w:rsidR="004E424C">
        <w:rPr>
          <w:rFonts w:ascii="Times New Roman" w:eastAsia="Times New Roman" w:hAnsi="Times New Roman" w:cs="Times New Roman"/>
          <w:sz w:val="24"/>
          <w:szCs w:val="24"/>
          <w:lang w:val="en-GB" w:eastAsia="cs-CZ"/>
        </w:rPr>
        <w:t xml:space="preserve">provisions </w:t>
      </w:r>
      <w:r w:rsidRPr="00FA1502">
        <w:rPr>
          <w:rFonts w:ascii="Times New Roman" w:eastAsia="Times New Roman" w:hAnsi="Times New Roman" w:cs="Times New Roman"/>
          <w:sz w:val="24"/>
          <w:szCs w:val="24"/>
          <w:lang w:val="en-GB" w:eastAsia="cs-CZ"/>
        </w:rPr>
        <w:t>without these references.</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 8 </w:t>
      </w:r>
      <w:r w:rsidRPr="00FA1502" w:rsidR="00700916">
        <w:rPr>
          <w:rFonts w:ascii="Times New Roman" w:eastAsia="Times New Roman" w:hAnsi="Times New Roman" w:cs="Times New Roman"/>
          <w:b/>
          <w:bCs/>
          <w:sz w:val="24"/>
          <w:szCs w:val="24"/>
          <w:u w:val="single"/>
          <w:lang w:val="en-GB" w:eastAsia="cs-CZ"/>
        </w:rPr>
        <w:t>(new part 13</w:t>
      </w:r>
      <w:r w:rsidRPr="00FA1502">
        <w:rPr>
          <w:rFonts w:ascii="Times New Roman" w:eastAsia="Times New Roman" w:hAnsi="Times New Roman" w:cs="Times New Roman"/>
          <w:b/>
          <w:bCs/>
          <w:sz w:val="24"/>
          <w:szCs w:val="24"/>
          <w:u w:val="single"/>
          <w:lang w:val="en-GB" w:eastAsia="cs-CZ"/>
        </w:rPr>
        <w:t xml:space="preserve">, </w:t>
      </w:r>
      <w:r w:rsidRPr="00FA1502" w:rsidR="00700916">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193a to 193c</w:t>
      </w:r>
      <w:r w:rsidRPr="00FA1502" w:rsidR="00700916">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Re</w:t>
      </w:r>
      <w:r w:rsidRPr="00FA1502" w:rsidR="00700916">
        <w:rPr>
          <w:rFonts w:ascii="Times New Roman" w:eastAsia="Times New Roman" w:hAnsi="Times New Roman" w:cs="Times New Roman"/>
          <w:sz w:val="24"/>
          <w:szCs w:val="24"/>
          <w:u w:val="single"/>
          <w:lang w:val="en-GB" w:eastAsia="cs-CZ"/>
        </w:rPr>
        <w:t xml:space="preserve"> p</w:t>
      </w:r>
      <w:r w:rsidRPr="00FA1502">
        <w:rPr>
          <w:rFonts w:ascii="Times New Roman" w:eastAsia="Times New Roman" w:hAnsi="Times New Roman" w:cs="Times New Roman"/>
          <w:sz w:val="24"/>
          <w:szCs w:val="24"/>
          <w:u w:val="single"/>
          <w:lang w:val="en-GB" w:eastAsia="cs-CZ"/>
        </w:rPr>
        <w:t>art 13:</w:t>
      </w:r>
      <w:r w:rsidRPr="00FA1502">
        <w:rPr>
          <w:rFonts w:ascii="Times New Roman" w:eastAsia="Times New Roman" w:hAnsi="Times New Roman" w:cs="Times New Roman"/>
          <w:sz w:val="24"/>
          <w:szCs w:val="24"/>
          <w:lang w:val="en-GB" w:eastAsia="cs-CZ"/>
        </w:rPr>
        <w:t xml:space="preserve"> </w:t>
      </w:r>
      <w:r w:rsidRPr="00FA1502" w:rsidR="00700916">
        <w:rPr>
          <w:rFonts w:ascii="Times New Roman" w:eastAsia="Times New Roman" w:hAnsi="Times New Roman" w:cs="Times New Roman"/>
          <w:sz w:val="24"/>
          <w:szCs w:val="24"/>
          <w:lang w:val="en-GB" w:eastAsia="cs-CZ"/>
        </w:rPr>
        <w:t>N</w:t>
      </w:r>
      <w:r w:rsidRPr="00FA1502">
        <w:rPr>
          <w:rFonts w:ascii="Times New Roman" w:eastAsia="Times New Roman" w:hAnsi="Times New Roman" w:cs="Times New Roman"/>
          <w:sz w:val="24"/>
          <w:szCs w:val="24"/>
          <w:lang w:val="en-GB" w:eastAsia="cs-CZ"/>
        </w:rPr>
        <w:t xml:space="preserve">ew </w:t>
      </w:r>
      <w:r w:rsidRPr="00FA1502" w:rsidR="00700916">
        <w:rPr>
          <w:rFonts w:ascii="Times New Roman" w:eastAsia="Times New Roman" w:hAnsi="Times New Roman" w:cs="Times New Roman"/>
          <w:sz w:val="24"/>
          <w:szCs w:val="24"/>
          <w:lang w:val="en-GB" w:eastAsia="cs-CZ"/>
        </w:rPr>
        <w:t>provisions on the s</w:t>
      </w:r>
      <w:r w:rsidRPr="00FA1502">
        <w:rPr>
          <w:rFonts w:ascii="Times New Roman" w:eastAsia="Times New Roman" w:hAnsi="Times New Roman" w:cs="Times New Roman"/>
          <w:sz w:val="24"/>
          <w:szCs w:val="24"/>
          <w:lang w:val="en-GB" w:eastAsia="cs-CZ"/>
        </w:rPr>
        <w:t xml:space="preserve">o-called </w:t>
      </w:r>
      <w:r w:rsidRPr="00FA1502" w:rsidR="00700916">
        <w:rPr>
          <w:rFonts w:ascii="Times New Roman" w:eastAsia="Times New Roman" w:hAnsi="Times New Roman" w:cs="Times New Roman"/>
          <w:sz w:val="24"/>
          <w:szCs w:val="24"/>
          <w:lang w:val="en-GB" w:eastAsia="cs-CZ"/>
        </w:rPr>
        <w:t xml:space="preserve">individual savings </w:t>
      </w:r>
      <w:r w:rsidRPr="00FA1502">
        <w:rPr>
          <w:rFonts w:ascii="Times New Roman" w:eastAsia="Times New Roman" w:hAnsi="Times New Roman" w:cs="Times New Roman"/>
          <w:sz w:val="24"/>
          <w:szCs w:val="24"/>
          <w:lang w:val="en-GB" w:eastAsia="cs-CZ"/>
        </w:rPr>
        <w:t xml:space="preserve">account, </w:t>
      </w:r>
      <w:r w:rsidRPr="00FA1502" w:rsidR="00230C62">
        <w:rPr>
          <w:rFonts w:ascii="Times New Roman" w:eastAsia="Times New Roman" w:hAnsi="Times New Roman" w:cs="Times New Roman"/>
          <w:sz w:val="24"/>
          <w:szCs w:val="24"/>
          <w:lang w:val="en-GB" w:eastAsia="cs-CZ"/>
        </w:rPr>
        <w:t xml:space="preserve">which is </w:t>
      </w:r>
      <w:r w:rsidRPr="00FA1502">
        <w:rPr>
          <w:rFonts w:ascii="Times New Roman" w:eastAsia="Times New Roman" w:hAnsi="Times New Roman" w:cs="Times New Roman"/>
          <w:sz w:val="24"/>
          <w:szCs w:val="24"/>
          <w:lang w:val="en-GB" w:eastAsia="cs-CZ"/>
        </w:rPr>
        <w:t xml:space="preserve">a financial product aimed at generating savings for old age, </w:t>
      </w:r>
      <w:r w:rsidRPr="00FA1502" w:rsidR="00230C62">
        <w:rPr>
          <w:rFonts w:ascii="Times New Roman" w:eastAsia="Times New Roman" w:hAnsi="Times New Roman" w:cs="Times New Roman"/>
          <w:sz w:val="24"/>
          <w:szCs w:val="24"/>
          <w:lang w:val="en-GB" w:eastAsia="cs-CZ"/>
        </w:rPr>
        <w:t>are</w:t>
      </w:r>
      <w:r w:rsidRPr="00FA1502">
        <w:rPr>
          <w:rFonts w:ascii="Times New Roman" w:eastAsia="Times New Roman" w:hAnsi="Times New Roman" w:cs="Times New Roman"/>
          <w:sz w:val="24"/>
          <w:szCs w:val="24"/>
          <w:lang w:val="en-GB" w:eastAsia="cs-CZ"/>
        </w:rPr>
        <w:t xml:space="preserve"> inserted. It is an alternative to the</w:t>
      </w:r>
      <w:r w:rsidRPr="00FA1502" w:rsidR="002D25FB">
        <w:rPr>
          <w:rFonts w:ascii="Times New Roman" w:eastAsia="Times New Roman" w:hAnsi="Times New Roman" w:cs="Times New Roman"/>
          <w:sz w:val="24"/>
          <w:szCs w:val="24"/>
          <w:lang w:val="en-GB" w:eastAsia="cs-CZ"/>
        </w:rPr>
        <w:t xml:space="preserve"> already</w:t>
      </w:r>
      <w:r w:rsidRPr="00FA1502">
        <w:rPr>
          <w:rFonts w:ascii="Times New Roman" w:eastAsia="Times New Roman" w:hAnsi="Times New Roman" w:cs="Times New Roman"/>
          <w:sz w:val="24"/>
          <w:szCs w:val="24"/>
          <w:lang w:val="en-GB" w:eastAsia="cs-CZ"/>
        </w:rPr>
        <w:t xml:space="preserve"> existing and state-supported financial products in the financial market (</w:t>
      </w:r>
      <w:r w:rsidRPr="00FA1502" w:rsidR="002D25FB">
        <w:rPr>
          <w:rFonts w:ascii="Times New Roman" w:eastAsia="Times New Roman" w:hAnsi="Times New Roman" w:cs="Times New Roman"/>
          <w:sz w:val="24"/>
          <w:szCs w:val="24"/>
          <w:lang w:val="en-GB" w:eastAsia="cs-CZ"/>
        </w:rPr>
        <w:t>participation</w:t>
      </w:r>
      <w:r w:rsidRPr="00FA1502">
        <w:rPr>
          <w:rFonts w:ascii="Times New Roman" w:eastAsia="Times New Roman" w:hAnsi="Times New Roman" w:cs="Times New Roman"/>
          <w:sz w:val="24"/>
          <w:szCs w:val="24"/>
          <w:lang w:val="en-GB" w:eastAsia="cs-CZ"/>
        </w:rPr>
        <w:t>/</w:t>
      </w:r>
      <w:r w:rsidRPr="00FA1502" w:rsidR="002D25FB">
        <w:rPr>
          <w:rFonts w:ascii="Times New Roman" w:eastAsia="Times New Roman" w:hAnsi="Times New Roman" w:cs="Times New Roman"/>
          <w:sz w:val="24"/>
          <w:szCs w:val="24"/>
          <w:lang w:val="en-GB" w:eastAsia="cs-CZ"/>
        </w:rPr>
        <w:t xml:space="preserve">transformed </w:t>
      </w:r>
      <w:r w:rsidRPr="00FA1502">
        <w:rPr>
          <w:rFonts w:ascii="Times New Roman" w:eastAsia="Times New Roman" w:hAnsi="Times New Roman" w:cs="Times New Roman"/>
          <w:sz w:val="24"/>
          <w:szCs w:val="24"/>
          <w:lang w:val="en-GB" w:eastAsia="cs-CZ"/>
        </w:rPr>
        <w:t>funds and life insurance) focused on the accumulation of assets for security purposes in post</w:t>
      </w:r>
      <w:r w:rsidRPr="00FA1502" w:rsidR="000A72B3">
        <w:rPr>
          <w:rFonts w:ascii="Times New Roman" w:eastAsia="Times New Roman" w:hAnsi="Times New Roman" w:cs="Times New Roman"/>
          <w:sz w:val="24"/>
          <w:szCs w:val="24"/>
          <w:lang w:val="en-GB" w:eastAsia="cs-CZ"/>
        </w:rPr>
        <w:t>-productive</w:t>
      </w:r>
      <w:r w:rsidRPr="00FA1502">
        <w:rPr>
          <w:rFonts w:ascii="Times New Roman" w:eastAsia="Times New Roman" w:hAnsi="Times New Roman" w:cs="Times New Roman"/>
          <w:sz w:val="24"/>
          <w:szCs w:val="24"/>
          <w:lang w:val="en-GB" w:eastAsia="cs-CZ"/>
        </w:rPr>
        <w:t xml:space="preserve"> age. One of the motives is from the World Bank</w:t>
      </w:r>
      <w:r w:rsidRPr="00FA1502" w:rsidR="00C05003">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s </w:t>
      </w:r>
      <w:r w:rsidRPr="00FA1502" w:rsidR="00C05003">
        <w:rPr>
          <w:rFonts w:ascii="Times New Roman" w:eastAsia="Times New Roman" w:hAnsi="Times New Roman" w:cs="Times New Roman"/>
          <w:sz w:val="24"/>
          <w:szCs w:val="24"/>
          <w:lang w:val="en-GB" w:eastAsia="cs-CZ"/>
        </w:rPr>
        <w:t xml:space="preserve">report </w:t>
      </w:r>
      <w:r w:rsidRPr="00FA1502">
        <w:rPr>
          <w:rFonts w:ascii="Times New Roman" w:eastAsia="Times New Roman" w:hAnsi="Times New Roman" w:cs="Times New Roman"/>
          <w:sz w:val="24"/>
          <w:szCs w:val="24"/>
          <w:lang w:val="en-GB" w:eastAsia="cs-CZ"/>
        </w:rPr>
        <w:t xml:space="preserve">on the capital market in the Czech Republic, which recommends the development of the capital market in the Czech Republic and according to which the introduction of some form of </w:t>
      </w:r>
      <w:r w:rsidRPr="00FA1502">
        <w:rPr>
          <w:rFonts w:ascii="Times New Roman" w:eastAsia="Times New Roman" w:hAnsi="Times New Roman" w:cs="Times New Roman"/>
          <w:iCs/>
          <w:sz w:val="24"/>
          <w:szCs w:val="24"/>
          <w:lang w:val="en-GB" w:eastAsia="cs-CZ"/>
        </w:rPr>
        <w:t>individual savings account</w:t>
      </w:r>
      <w:r w:rsidRPr="00FA1502">
        <w:rPr>
          <w:rFonts w:ascii="Times New Roman" w:eastAsia="Times New Roman" w:hAnsi="Times New Roman" w:cs="Times New Roman"/>
          <w:i/>
          <w:iCs/>
          <w:sz w:val="24"/>
          <w:szCs w:val="24"/>
          <w:lang w:val="en-GB" w:eastAsia="cs-CZ"/>
        </w:rPr>
        <w:t xml:space="preserve"> </w:t>
      </w:r>
      <w:r w:rsidRPr="00FA1502">
        <w:rPr>
          <w:rFonts w:ascii="Times New Roman" w:eastAsia="Times New Roman" w:hAnsi="Times New Roman" w:cs="Times New Roman"/>
          <w:sz w:val="24"/>
          <w:szCs w:val="24"/>
          <w:lang w:val="en-GB" w:eastAsia="cs-CZ"/>
        </w:rPr>
        <w:t xml:space="preserve">(ISA) would be a </w:t>
      </w:r>
      <w:r w:rsidRPr="00FA1502" w:rsidR="00C05003">
        <w:rPr>
          <w:rFonts w:ascii="Times New Roman" w:eastAsia="Times New Roman" w:hAnsi="Times New Roman" w:cs="Times New Roman"/>
          <w:sz w:val="24"/>
          <w:szCs w:val="24"/>
          <w:lang w:val="en-GB" w:eastAsia="cs-CZ"/>
        </w:rPr>
        <w:t>key step to stimulate investors’</w:t>
      </w:r>
      <w:r w:rsidRPr="00FA1502">
        <w:rPr>
          <w:rFonts w:ascii="Times New Roman" w:eastAsia="Times New Roman" w:hAnsi="Times New Roman" w:cs="Times New Roman"/>
          <w:sz w:val="24"/>
          <w:szCs w:val="24"/>
          <w:lang w:val="en-GB" w:eastAsia="cs-CZ"/>
        </w:rPr>
        <w:t xml:space="preserve"> interest in the capital market). The ISA account is widely used in developed markets and helps generate greater investor interest in managing its retirement savings. With this new financial product, the state would allow citizens to invest in other financial products that can offer a higher possible return, even if at the cost of a higher risk of devaluation of the invested funds. This account could record, for example, shares, bonds, </w:t>
      </w:r>
      <w:r w:rsidRPr="00FA1502">
        <w:rPr>
          <w:rFonts w:ascii="Times New Roman" w:eastAsia="Times New Roman" w:hAnsi="Times New Roman" w:cs="Times New Roman"/>
          <w:sz w:val="24"/>
          <w:szCs w:val="24"/>
          <w:lang w:val="en-GB" w:eastAsia="cs-CZ"/>
        </w:rPr>
        <w:t>shares</w:t>
      </w:r>
      <w:r w:rsidRPr="00FA1502">
        <w:rPr>
          <w:rFonts w:ascii="Times New Roman" w:eastAsia="Times New Roman" w:hAnsi="Times New Roman" w:cs="Times New Roman"/>
          <w:sz w:val="24"/>
          <w:szCs w:val="24"/>
          <w:lang w:val="en-GB" w:eastAsia="cs-CZ"/>
        </w:rPr>
        <w:t xml:space="preserve"> in an investment fund or a foreign investment fund, bank accounts (receivables for payment of funds from an account in Czech or foreign currency) or hedging derivatives to cover interest rate or currency risk. The 60 + 60 rule (the product cannot be cancel</w:t>
      </w:r>
      <w:r w:rsidRPr="00FA1502" w:rsidR="00CA76BC">
        <w:rPr>
          <w:rFonts w:ascii="Times New Roman" w:eastAsia="Times New Roman" w:hAnsi="Times New Roman" w:cs="Times New Roman"/>
          <w:sz w:val="24"/>
          <w:szCs w:val="24"/>
          <w:lang w:val="en-GB" w:eastAsia="cs-CZ"/>
        </w:rPr>
        <w:t>l</w:t>
      </w:r>
      <w:r w:rsidRPr="00FA1502">
        <w:rPr>
          <w:rFonts w:ascii="Times New Roman" w:eastAsia="Times New Roman" w:hAnsi="Times New Roman" w:cs="Times New Roman"/>
          <w:sz w:val="24"/>
          <w:szCs w:val="24"/>
          <w:lang w:val="en-GB" w:eastAsia="cs-CZ"/>
        </w:rPr>
        <w:t xml:space="preserve">ed or withdrawn before the age of 60 and the product has to be negotiated for at least 60 months) would be maintained even if the assets in this account were “transformed”, for example if </w:t>
      </w:r>
      <w:r w:rsidRPr="00FA1502" w:rsidR="00CA76BC">
        <w:rPr>
          <w:rFonts w:ascii="Times New Roman" w:eastAsia="Times New Roman" w:hAnsi="Times New Roman" w:cs="Times New Roman"/>
          <w:sz w:val="24"/>
          <w:szCs w:val="24"/>
          <w:lang w:val="en-GB" w:eastAsia="cs-CZ"/>
        </w:rPr>
        <w:t>the sh</w:t>
      </w:r>
      <w:r w:rsidRPr="00FA1502">
        <w:rPr>
          <w:rFonts w:ascii="Times New Roman" w:eastAsia="Times New Roman" w:hAnsi="Times New Roman" w:cs="Times New Roman"/>
          <w:sz w:val="24"/>
          <w:szCs w:val="24"/>
          <w:lang w:val="en-GB" w:eastAsia="cs-CZ"/>
        </w:rPr>
        <w:t xml:space="preserve">ares were sold and bonds would be purchased </w:t>
      </w:r>
      <w:r w:rsidRPr="00FA1502" w:rsidR="00CA76BC">
        <w:rPr>
          <w:rFonts w:ascii="Times New Roman" w:eastAsia="Times New Roman" w:hAnsi="Times New Roman" w:cs="Times New Roman"/>
          <w:sz w:val="24"/>
          <w:szCs w:val="24"/>
          <w:lang w:val="en-GB" w:eastAsia="cs-CZ"/>
        </w:rPr>
        <w:t>instead of</w:t>
      </w:r>
      <w:r w:rsidRPr="00FA1502">
        <w:rPr>
          <w:rFonts w:ascii="Times New Roman" w:eastAsia="Times New Roman" w:hAnsi="Times New Roman" w:cs="Times New Roman"/>
          <w:sz w:val="24"/>
          <w:szCs w:val="24"/>
          <w:lang w:val="en-GB" w:eastAsia="cs-CZ"/>
        </w:rPr>
        <w:t xml:space="preserve"> them or the money raised would be deposited in a bank account. Similarly, it will be possible to change the portfolio of investment funds and eventually </w:t>
      </w:r>
      <w:r w:rsidRPr="00FA1502" w:rsidR="000F32B1">
        <w:rPr>
          <w:rFonts w:ascii="Times New Roman" w:eastAsia="Times New Roman" w:hAnsi="Times New Roman" w:cs="Times New Roman"/>
          <w:sz w:val="24"/>
          <w:szCs w:val="24"/>
          <w:lang w:val="en-GB" w:eastAsia="cs-CZ"/>
        </w:rPr>
        <w:t>use the</w:t>
      </w:r>
      <w:r w:rsidRPr="00FA1502">
        <w:rPr>
          <w:rFonts w:ascii="Times New Roman" w:eastAsia="Times New Roman" w:hAnsi="Times New Roman" w:cs="Times New Roman"/>
          <w:sz w:val="24"/>
          <w:szCs w:val="24"/>
          <w:lang w:val="en-GB" w:eastAsia="cs-CZ"/>
        </w:rPr>
        <w:t xml:space="preserve"> money obtained from the </w:t>
      </w:r>
      <w:r w:rsidRPr="00FA1502">
        <w:rPr>
          <w:rFonts w:ascii="Times New Roman" w:eastAsia="Times New Roman" w:hAnsi="Times New Roman" w:cs="Times New Roman"/>
          <w:sz w:val="24"/>
          <w:szCs w:val="24"/>
          <w:lang w:val="en-GB" w:eastAsia="cs-CZ"/>
        </w:rPr>
        <w:t>repayment of bonds. Should the 60 + 60 rule be breached, the funds collected in this way would have to be taxed as income (</w:t>
      </w:r>
      <w:r w:rsidRPr="00FA1502" w:rsidR="0094744B">
        <w:rPr>
          <w:rFonts w:ascii="Times New Roman" w:eastAsia="Times New Roman" w:hAnsi="Times New Roman" w:cs="Times New Roman"/>
          <w:sz w:val="24"/>
          <w:szCs w:val="24"/>
          <w:lang w:val="en-GB" w:eastAsia="cs-CZ"/>
        </w:rPr>
        <w:t xml:space="preserve">they would be deposited on the account </w:t>
      </w:r>
      <w:r w:rsidRPr="00FA1502">
        <w:rPr>
          <w:rFonts w:ascii="Times New Roman" w:eastAsia="Times New Roman" w:hAnsi="Times New Roman" w:cs="Times New Roman"/>
          <w:sz w:val="24"/>
          <w:szCs w:val="24"/>
          <w:lang w:val="en-GB" w:eastAsia="cs-CZ"/>
        </w:rPr>
        <w:t>untaxed).</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In relation to ÚDI, it is a new product, especially in terms of tax support, otherwise it is a kind of superstructure for existing products - existing products will be registered in this account and the same rules will apply t</w:t>
      </w:r>
      <w:r w:rsidRPr="00FA1502" w:rsidR="00061A13">
        <w:rPr>
          <w:rFonts w:ascii="Times New Roman" w:eastAsia="Times New Roman" w:hAnsi="Times New Roman" w:cs="Times New Roman"/>
          <w:sz w:val="24"/>
          <w:szCs w:val="24"/>
          <w:lang w:val="en-GB" w:eastAsia="cs-CZ"/>
        </w:rPr>
        <w:t>o them</w:t>
      </w:r>
      <w:r w:rsidRPr="00FA1502">
        <w:rPr>
          <w:rFonts w:ascii="Times New Roman" w:eastAsia="Times New Roman" w:hAnsi="Times New Roman" w:cs="Times New Roman"/>
          <w:sz w:val="24"/>
          <w:szCs w:val="24"/>
          <w:lang w:val="en-GB" w:eastAsia="cs-CZ"/>
        </w:rPr>
        <w:t xml:space="preserve">. In this respect, there is no change in the fact that deposits are accepted by banks and individual portfolio management is provided by OCP and some investment companies. The introduction of ÚDI does not violate existing legal obligations, only new obligations related only to ÚDI are added. The ÚDI administrator can use outsourcing services, the existing rules apply. It is the responsibility of the </w:t>
      </w:r>
      <w:r w:rsidRPr="00FA1502" w:rsidR="008F287D">
        <w:rPr>
          <w:rFonts w:ascii="Times New Roman" w:eastAsia="Times New Roman" w:hAnsi="Times New Roman" w:cs="Times New Roman"/>
          <w:sz w:val="24"/>
          <w:szCs w:val="24"/>
          <w:lang w:val="en-GB" w:eastAsia="cs-CZ"/>
        </w:rPr>
        <w:t xml:space="preserve">ÚDI </w:t>
      </w:r>
      <w:r w:rsidRPr="00FA1502">
        <w:rPr>
          <w:rFonts w:ascii="Times New Roman" w:eastAsia="Times New Roman" w:hAnsi="Times New Roman" w:cs="Times New Roman"/>
          <w:sz w:val="24"/>
          <w:szCs w:val="24"/>
          <w:lang w:val="en-GB" w:eastAsia="cs-CZ"/>
        </w:rPr>
        <w:t xml:space="preserve">manager to manage the </w:t>
      </w:r>
      <w:r w:rsidRPr="00FA1502" w:rsidR="008F287D">
        <w:rPr>
          <w:rFonts w:ascii="Times New Roman" w:eastAsia="Times New Roman" w:hAnsi="Times New Roman" w:cs="Times New Roman"/>
          <w:sz w:val="24"/>
          <w:szCs w:val="24"/>
          <w:lang w:val="en-GB" w:eastAsia="cs-CZ"/>
        </w:rPr>
        <w:t>ÚDI</w:t>
      </w:r>
      <w:r w:rsidRPr="00FA1502">
        <w:rPr>
          <w:rFonts w:ascii="Times New Roman" w:eastAsia="Times New Roman" w:hAnsi="Times New Roman" w:cs="Times New Roman"/>
          <w:sz w:val="24"/>
          <w:szCs w:val="24"/>
          <w:lang w:val="en-GB" w:eastAsia="cs-CZ"/>
        </w:rPr>
        <w:t xml:space="preserve">, as the obligation to manage the </w:t>
      </w:r>
      <w:r w:rsidRPr="00FA1502" w:rsidR="008F287D">
        <w:rPr>
          <w:rFonts w:ascii="Times New Roman" w:eastAsia="Times New Roman" w:hAnsi="Times New Roman" w:cs="Times New Roman"/>
          <w:sz w:val="24"/>
          <w:szCs w:val="24"/>
          <w:lang w:val="en-GB" w:eastAsia="cs-CZ"/>
        </w:rPr>
        <w:t xml:space="preserve">ÚDI </w:t>
      </w:r>
      <w:r w:rsidRPr="00FA1502">
        <w:rPr>
          <w:rFonts w:ascii="Times New Roman" w:eastAsia="Times New Roman" w:hAnsi="Times New Roman" w:cs="Times New Roman"/>
          <w:sz w:val="24"/>
          <w:szCs w:val="24"/>
          <w:lang w:val="en-GB" w:eastAsia="cs-CZ"/>
        </w:rPr>
        <w:t xml:space="preserve">results from the contract on the </w:t>
      </w:r>
      <w:r w:rsidRPr="00FA1502" w:rsidR="008F287D">
        <w:rPr>
          <w:rFonts w:ascii="Times New Roman" w:eastAsia="Times New Roman" w:hAnsi="Times New Roman" w:cs="Times New Roman"/>
          <w:sz w:val="24"/>
          <w:szCs w:val="24"/>
          <w:lang w:val="en-GB" w:eastAsia="cs-CZ"/>
        </w:rPr>
        <w:t>ÚDI</w:t>
      </w:r>
      <w:r w:rsidRPr="00FA1502">
        <w:rPr>
          <w:rFonts w:ascii="Times New Roman" w:eastAsia="Times New Roman" w:hAnsi="Times New Roman" w:cs="Times New Roman"/>
          <w:sz w:val="24"/>
          <w:szCs w:val="24"/>
          <w:lang w:val="en-GB" w:eastAsia="cs-CZ"/>
        </w:rPr>
        <w:t>. Only the UDI administrator has a relationship with the customer (and is thus also responsible for the outsourcing provider). In other words, the introduction of ÚDI is without prejudice to the actual provision of related financial services.</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Any dispute may be resolved alternatively before the Financial Arbiter.</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Re Section</w:t>
      </w:r>
      <w:r w:rsidRPr="00FA1502">
        <w:rPr>
          <w:rFonts w:ascii="Times New Roman" w:eastAsia="Times New Roman" w:hAnsi="Times New Roman" w:cs="Times New Roman"/>
          <w:sz w:val="24"/>
          <w:szCs w:val="24"/>
          <w:u w:val="single"/>
          <w:lang w:val="en-GB" w:eastAsia="cs-CZ"/>
        </w:rPr>
        <w:t xml:space="preserve"> 193a:</w:t>
      </w:r>
      <w:r w:rsidRPr="00FA1502">
        <w:rPr>
          <w:rFonts w:ascii="Times New Roman" w:eastAsia="Times New Roman" w:hAnsi="Times New Roman" w:cs="Times New Roman"/>
          <w:sz w:val="24"/>
          <w:szCs w:val="24"/>
          <w:lang w:val="en-GB" w:eastAsia="cs-CZ"/>
        </w:rPr>
        <w:t xml:space="preserve"> The provision sets out the basic parameters of a</w:t>
      </w:r>
      <w:r w:rsidRPr="00FA1502" w:rsidR="00A355A1">
        <w:rPr>
          <w:rFonts w:ascii="Times New Roman" w:eastAsia="Times New Roman" w:hAnsi="Times New Roman" w:cs="Times New Roman"/>
          <w:sz w:val="24"/>
          <w:szCs w:val="24"/>
          <w:lang w:val="en-GB" w:eastAsia="cs-CZ"/>
        </w:rPr>
        <w:t>n</w:t>
      </w:r>
      <w:r w:rsidRPr="00FA1502">
        <w:rPr>
          <w:rFonts w:ascii="Times New Roman" w:eastAsia="Times New Roman" w:hAnsi="Times New Roman" w:cs="Times New Roman"/>
          <w:sz w:val="24"/>
          <w:szCs w:val="24"/>
          <w:lang w:val="en-GB" w:eastAsia="cs-CZ"/>
        </w:rPr>
        <w:t xml:space="preserve"> </w:t>
      </w:r>
      <w:r w:rsidRPr="00FA1502" w:rsidR="00A355A1">
        <w:rPr>
          <w:rFonts w:ascii="Times New Roman" w:eastAsia="Times New Roman" w:hAnsi="Times New Roman" w:cs="Times New Roman"/>
          <w:sz w:val="24"/>
          <w:szCs w:val="24"/>
          <w:lang w:val="en-GB" w:eastAsia="cs-CZ"/>
        </w:rPr>
        <w:t>individual savings</w:t>
      </w:r>
      <w:r w:rsidRPr="00FA1502" w:rsidR="003E3E1B">
        <w:rPr>
          <w:rFonts w:ascii="Times New Roman" w:eastAsia="Times New Roman" w:hAnsi="Times New Roman" w:cs="Times New Roman"/>
          <w:sz w:val="24"/>
          <w:szCs w:val="24"/>
          <w:lang w:val="en-GB" w:eastAsia="cs-CZ"/>
        </w:rPr>
        <w:t xml:space="preserve"> account contract</w:t>
      </w:r>
      <w:r w:rsidRPr="00FA1502">
        <w:rPr>
          <w:rFonts w:ascii="Times New Roman" w:eastAsia="Times New Roman" w:hAnsi="Times New Roman" w:cs="Times New Roman"/>
          <w:sz w:val="24"/>
          <w:szCs w:val="24"/>
          <w:lang w:val="en-GB" w:eastAsia="cs-CZ"/>
        </w:rPr>
        <w:t xml:space="preserve">. Under </w:t>
      </w:r>
      <w:r w:rsidRPr="00FA1502" w:rsidR="00191922">
        <w:rPr>
          <w:rFonts w:ascii="Times New Roman" w:eastAsia="Times New Roman" w:hAnsi="Times New Roman" w:cs="Times New Roman"/>
          <w:sz w:val="24"/>
          <w:szCs w:val="24"/>
          <w:lang w:val="en-GB" w:eastAsia="cs-CZ"/>
        </w:rPr>
        <w:t>this agreement, the manager of the</w:t>
      </w:r>
      <w:r w:rsidRPr="00FA1502">
        <w:rPr>
          <w:rFonts w:ascii="Times New Roman" w:eastAsia="Times New Roman" w:hAnsi="Times New Roman" w:cs="Times New Roman"/>
          <w:sz w:val="24"/>
          <w:szCs w:val="24"/>
          <w:lang w:val="en-GB" w:eastAsia="cs-CZ"/>
        </w:rPr>
        <w:t xml:space="preserve"> </w:t>
      </w:r>
      <w:r w:rsidRPr="00FA1502" w:rsidR="00191922">
        <w:rPr>
          <w:rFonts w:ascii="Times New Roman" w:eastAsia="Times New Roman" w:hAnsi="Times New Roman" w:cs="Times New Roman"/>
          <w:sz w:val="24"/>
          <w:szCs w:val="24"/>
          <w:lang w:val="en-GB" w:eastAsia="cs-CZ"/>
        </w:rPr>
        <w:t xml:space="preserve">individual savings </w:t>
      </w:r>
      <w:r w:rsidRPr="00FA1502">
        <w:rPr>
          <w:rFonts w:ascii="Times New Roman" w:eastAsia="Times New Roman" w:hAnsi="Times New Roman" w:cs="Times New Roman"/>
          <w:sz w:val="24"/>
          <w:szCs w:val="24"/>
          <w:lang w:val="en-GB" w:eastAsia="cs-CZ"/>
        </w:rPr>
        <w:t xml:space="preserve">account undertakes to set up </w:t>
      </w:r>
      <w:r w:rsidRPr="00FA1502" w:rsidR="00191922">
        <w:rPr>
          <w:rFonts w:ascii="Times New Roman" w:eastAsia="Times New Roman" w:hAnsi="Times New Roman" w:cs="Times New Roman"/>
          <w:sz w:val="24"/>
          <w:szCs w:val="24"/>
          <w:lang w:val="en-GB" w:eastAsia="cs-CZ"/>
        </w:rPr>
        <w:t xml:space="preserve">an individual savings </w:t>
      </w:r>
      <w:r w:rsidRPr="00FA1502">
        <w:rPr>
          <w:rFonts w:ascii="Times New Roman" w:eastAsia="Times New Roman" w:hAnsi="Times New Roman" w:cs="Times New Roman"/>
          <w:sz w:val="24"/>
          <w:szCs w:val="24"/>
          <w:lang w:val="en-GB" w:eastAsia="cs-CZ"/>
        </w:rPr>
        <w:t>account for its owner, to maintain this account, to allow depositing of funds into it, withdrawing funds from this account or transfer asse</w:t>
      </w:r>
      <w:r w:rsidRPr="00FA1502" w:rsidR="00191922">
        <w:rPr>
          <w:rFonts w:ascii="Times New Roman" w:eastAsia="Times New Roman" w:hAnsi="Times New Roman" w:cs="Times New Roman"/>
          <w:sz w:val="24"/>
          <w:szCs w:val="24"/>
          <w:lang w:val="en-GB" w:eastAsia="cs-CZ"/>
        </w:rPr>
        <w:t xml:space="preserve">ts from this account to another individual savings </w:t>
      </w:r>
      <w:r w:rsidRPr="00FA1502">
        <w:rPr>
          <w:rFonts w:ascii="Times New Roman" w:eastAsia="Times New Roman" w:hAnsi="Times New Roman" w:cs="Times New Roman"/>
          <w:sz w:val="24"/>
          <w:szCs w:val="24"/>
          <w:lang w:val="en-GB" w:eastAsia="cs-CZ"/>
        </w:rPr>
        <w:t xml:space="preserve">account of the same owner. At the same time, the manager of </w:t>
      </w:r>
      <w:r w:rsidRPr="00FA1502" w:rsidR="0013171F">
        <w:rPr>
          <w:rFonts w:ascii="Times New Roman" w:eastAsia="Times New Roman" w:hAnsi="Times New Roman" w:cs="Times New Roman"/>
          <w:sz w:val="24"/>
          <w:szCs w:val="24"/>
          <w:lang w:val="en-GB" w:eastAsia="cs-CZ"/>
        </w:rPr>
        <w:t xml:space="preserve">an individual savings </w:t>
      </w:r>
      <w:r w:rsidRPr="00FA1502">
        <w:rPr>
          <w:rFonts w:ascii="Times New Roman" w:eastAsia="Times New Roman" w:hAnsi="Times New Roman" w:cs="Times New Roman"/>
          <w:sz w:val="24"/>
          <w:szCs w:val="24"/>
          <w:lang w:val="en-GB" w:eastAsia="cs-CZ"/>
        </w:rPr>
        <w:t>account may undertake to manage the assets held in that account in accordance with his authority.</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 xml:space="preserve">Re Section </w:t>
      </w:r>
      <w:r w:rsidRPr="00FA1502">
        <w:rPr>
          <w:rFonts w:ascii="Times New Roman" w:eastAsia="Times New Roman" w:hAnsi="Times New Roman" w:cs="Times New Roman"/>
          <w:sz w:val="24"/>
          <w:szCs w:val="24"/>
          <w:u w:val="single"/>
          <w:lang w:val="en-GB" w:eastAsia="cs-CZ"/>
        </w:rPr>
        <w:t>193b:</w:t>
      </w:r>
      <w:r w:rsidRPr="00FA1502">
        <w:rPr>
          <w:rFonts w:ascii="Times New Roman" w:eastAsia="Times New Roman" w:hAnsi="Times New Roman" w:cs="Times New Roman"/>
          <w:sz w:val="24"/>
          <w:szCs w:val="24"/>
          <w:lang w:val="en-GB" w:eastAsia="cs-CZ"/>
        </w:rPr>
        <w:t xml:space="preserve"> Due to the fact that </w:t>
      </w:r>
      <w:r w:rsidRPr="00FA1502" w:rsidR="006D2DE4">
        <w:rPr>
          <w:rFonts w:ascii="Times New Roman" w:eastAsia="Times New Roman" w:hAnsi="Times New Roman" w:cs="Times New Roman"/>
          <w:sz w:val="24"/>
          <w:szCs w:val="24"/>
          <w:lang w:val="en-GB" w:eastAsia="cs-CZ"/>
        </w:rPr>
        <w:t xml:space="preserve">the provisions expect </w:t>
      </w:r>
      <w:r w:rsidRPr="00FA1502">
        <w:rPr>
          <w:rFonts w:ascii="Times New Roman" w:eastAsia="Times New Roman" w:hAnsi="Times New Roman" w:cs="Times New Roman"/>
          <w:sz w:val="24"/>
          <w:szCs w:val="24"/>
          <w:lang w:val="en-GB" w:eastAsia="cs-CZ"/>
        </w:rPr>
        <w:t xml:space="preserve">tax advantage of this financial product, including the impact in case of premature withdrawals from this account, </w:t>
      </w:r>
      <w:r w:rsidRPr="00FA1502" w:rsidR="006D2DE4">
        <w:rPr>
          <w:rFonts w:ascii="Times New Roman" w:eastAsia="Times New Roman" w:hAnsi="Times New Roman" w:cs="Times New Roman"/>
          <w:sz w:val="24"/>
          <w:szCs w:val="24"/>
          <w:lang w:val="en-GB" w:eastAsia="cs-CZ"/>
        </w:rPr>
        <w:t xml:space="preserve">there is an obligation to of </w:t>
      </w:r>
      <w:r w:rsidRPr="00FA1502">
        <w:rPr>
          <w:rFonts w:ascii="Times New Roman" w:eastAsia="Times New Roman" w:hAnsi="Times New Roman" w:cs="Times New Roman"/>
          <w:sz w:val="24"/>
          <w:szCs w:val="24"/>
          <w:lang w:val="en-GB" w:eastAsia="cs-CZ"/>
        </w:rPr>
        <w:t>the administrator of this account</w:t>
      </w:r>
      <w:r w:rsidRPr="00FA1502" w:rsidR="006D2DE4">
        <w:rPr>
          <w:rFonts w:ascii="Times New Roman" w:eastAsia="Times New Roman" w:hAnsi="Times New Roman" w:cs="Times New Roman"/>
          <w:sz w:val="24"/>
          <w:szCs w:val="24"/>
          <w:lang w:val="en-GB" w:eastAsia="cs-CZ"/>
        </w:rPr>
        <w:t xml:space="preserve"> to </w:t>
      </w:r>
      <w:r w:rsidRPr="00FA1502">
        <w:rPr>
          <w:rFonts w:ascii="Times New Roman" w:eastAsia="Times New Roman" w:hAnsi="Times New Roman" w:cs="Times New Roman"/>
          <w:sz w:val="24"/>
          <w:szCs w:val="24"/>
          <w:lang w:val="en-GB" w:eastAsia="cs-CZ"/>
        </w:rPr>
        <w:t xml:space="preserve">strongly warn the owner of the </w:t>
      </w:r>
      <w:r w:rsidRPr="00FA1502" w:rsidR="006D2DE4">
        <w:rPr>
          <w:rFonts w:ascii="Times New Roman" w:eastAsia="Times New Roman" w:hAnsi="Times New Roman" w:cs="Times New Roman"/>
          <w:sz w:val="24"/>
          <w:szCs w:val="24"/>
          <w:lang w:val="en-GB" w:eastAsia="cs-CZ"/>
        </w:rPr>
        <w:t xml:space="preserve">individual savings </w:t>
      </w:r>
      <w:r w:rsidRPr="00FA1502">
        <w:rPr>
          <w:rFonts w:ascii="Times New Roman" w:eastAsia="Times New Roman" w:hAnsi="Times New Roman" w:cs="Times New Roman"/>
          <w:sz w:val="24"/>
          <w:szCs w:val="24"/>
          <w:lang w:val="en-GB" w:eastAsia="cs-CZ"/>
        </w:rPr>
        <w:t xml:space="preserve">account on the tax implications and </w:t>
      </w:r>
      <w:r w:rsidRPr="00FA1502" w:rsidR="006D2DE4">
        <w:rPr>
          <w:rFonts w:ascii="Times New Roman" w:eastAsia="Times New Roman" w:hAnsi="Times New Roman" w:cs="Times New Roman"/>
          <w:sz w:val="24"/>
          <w:szCs w:val="24"/>
          <w:lang w:val="en-GB" w:eastAsia="cs-CZ"/>
        </w:rPr>
        <w:t xml:space="preserve">to </w:t>
      </w:r>
      <w:r w:rsidRPr="00FA1502">
        <w:rPr>
          <w:rFonts w:ascii="Times New Roman" w:eastAsia="Times New Roman" w:hAnsi="Times New Roman" w:cs="Times New Roman"/>
          <w:sz w:val="24"/>
          <w:szCs w:val="24"/>
          <w:lang w:val="en-GB" w:eastAsia="cs-CZ"/>
        </w:rPr>
        <w:t xml:space="preserve">request written confirmation </w:t>
      </w:r>
      <w:r w:rsidRPr="00FA1502" w:rsidR="006D2DE4">
        <w:rPr>
          <w:rFonts w:ascii="Times New Roman" w:eastAsia="Times New Roman" w:hAnsi="Times New Roman" w:cs="Times New Roman"/>
          <w:sz w:val="24"/>
          <w:szCs w:val="24"/>
          <w:lang w:val="en-GB" w:eastAsia="cs-CZ"/>
        </w:rPr>
        <w:t xml:space="preserve">of </w:t>
      </w:r>
      <w:r w:rsidRPr="00FA1502">
        <w:rPr>
          <w:rFonts w:ascii="Times New Roman" w:eastAsia="Times New Roman" w:hAnsi="Times New Roman" w:cs="Times New Roman"/>
          <w:sz w:val="24"/>
          <w:szCs w:val="24"/>
          <w:lang w:val="en-GB" w:eastAsia="cs-CZ"/>
        </w:rPr>
        <w:t xml:space="preserve">understanding </w:t>
      </w:r>
      <w:r w:rsidRPr="00FA1502" w:rsidR="006D2DE4">
        <w:rPr>
          <w:rFonts w:ascii="Times New Roman" w:eastAsia="Times New Roman" w:hAnsi="Times New Roman" w:cs="Times New Roman"/>
          <w:sz w:val="24"/>
          <w:szCs w:val="24"/>
          <w:lang w:val="en-GB" w:eastAsia="cs-CZ"/>
        </w:rPr>
        <w:t xml:space="preserve">of </w:t>
      </w:r>
      <w:r w:rsidRPr="00FA1502">
        <w:rPr>
          <w:rFonts w:ascii="Times New Roman" w:eastAsia="Times New Roman" w:hAnsi="Times New Roman" w:cs="Times New Roman"/>
          <w:sz w:val="24"/>
          <w:szCs w:val="24"/>
          <w:lang w:val="en-GB" w:eastAsia="cs-CZ"/>
        </w:rPr>
        <w:t xml:space="preserve">these consequences before the assets are taken out of the </w:t>
      </w:r>
      <w:r w:rsidRPr="00FA1502" w:rsidR="006D2DE4">
        <w:rPr>
          <w:rFonts w:ascii="Times New Roman" w:eastAsia="Times New Roman" w:hAnsi="Times New Roman" w:cs="Times New Roman"/>
          <w:sz w:val="24"/>
          <w:szCs w:val="24"/>
          <w:lang w:val="en-GB" w:eastAsia="cs-CZ"/>
        </w:rPr>
        <w:t xml:space="preserve">an individual savings </w:t>
      </w:r>
      <w:r w:rsidRPr="00FA1502">
        <w:rPr>
          <w:rFonts w:ascii="Times New Roman" w:eastAsia="Times New Roman" w:hAnsi="Times New Roman" w:cs="Times New Roman"/>
          <w:sz w:val="24"/>
          <w:szCs w:val="24"/>
          <w:lang w:val="en-GB" w:eastAsia="cs-CZ"/>
        </w:rPr>
        <w:t xml:space="preserve">account. Breach of this obligation is an offense. </w:t>
      </w:r>
      <w:r w:rsidRPr="00FA1502" w:rsidR="005F55BC">
        <w:rPr>
          <w:rFonts w:ascii="Times New Roman" w:eastAsia="Times New Roman" w:hAnsi="Times New Roman" w:cs="Times New Roman"/>
          <w:sz w:val="24"/>
          <w:szCs w:val="24"/>
          <w:lang w:val="en-GB" w:eastAsia="cs-CZ"/>
        </w:rPr>
        <w:t xml:space="preserve">The administrator of the individual savings account to transfer the </w:t>
      </w:r>
      <w:r w:rsidRPr="00FA1502">
        <w:rPr>
          <w:rFonts w:ascii="Times New Roman" w:eastAsia="Times New Roman" w:hAnsi="Times New Roman" w:cs="Times New Roman"/>
          <w:sz w:val="24"/>
          <w:szCs w:val="24"/>
          <w:lang w:val="en-GB" w:eastAsia="cs-CZ"/>
        </w:rPr>
        <w:t xml:space="preserve">assets without a legal reason </w:t>
      </w:r>
      <w:r w:rsidRPr="00FA1502" w:rsidR="005F55BC">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i</w:t>
      </w:r>
      <w:r w:rsidRPr="00FA1502" w:rsidR="005F55BC">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5F55BC">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t>
      </w:r>
      <w:r w:rsidRPr="00FA1502" w:rsidR="005F55BC">
        <w:rPr>
          <w:rFonts w:ascii="Times New Roman" w:eastAsia="Times New Roman" w:hAnsi="Times New Roman" w:cs="Times New Roman"/>
          <w:sz w:val="24"/>
          <w:szCs w:val="24"/>
          <w:lang w:val="en-GB" w:eastAsia="cs-CZ"/>
        </w:rPr>
        <w:t xml:space="preserve">for example </w:t>
      </w:r>
      <w:r w:rsidRPr="00FA1502">
        <w:rPr>
          <w:rFonts w:ascii="Times New Roman" w:eastAsia="Times New Roman" w:hAnsi="Times New Roman" w:cs="Times New Roman"/>
          <w:sz w:val="24"/>
          <w:szCs w:val="24"/>
          <w:lang w:val="en-GB" w:eastAsia="cs-CZ"/>
        </w:rPr>
        <w:t>without the owner of such an account being asked to do so or on the basis of an exec</w:t>
      </w:r>
      <w:r w:rsidRPr="00FA1502" w:rsidR="005F55BC">
        <w:rPr>
          <w:rFonts w:ascii="Times New Roman" w:eastAsia="Times New Roman" w:hAnsi="Times New Roman" w:cs="Times New Roman"/>
          <w:sz w:val="24"/>
          <w:szCs w:val="24"/>
          <w:lang w:val="en-GB" w:eastAsia="cs-CZ"/>
        </w:rPr>
        <w:t>ution carried out on the debtor’</w:t>
      </w:r>
      <w:r w:rsidRPr="00FA1502">
        <w:rPr>
          <w:rFonts w:ascii="Times New Roman" w:eastAsia="Times New Roman" w:hAnsi="Times New Roman" w:cs="Times New Roman"/>
          <w:sz w:val="24"/>
          <w:szCs w:val="24"/>
          <w:lang w:val="en-GB" w:eastAsia="cs-CZ"/>
        </w:rPr>
        <w:t xml:space="preserve">s assets. </w:t>
      </w:r>
      <w:r w:rsidRPr="00FA1502" w:rsidR="005F55BC">
        <w:rPr>
          <w:rFonts w:ascii="Times New Roman" w:eastAsia="Times New Roman" w:hAnsi="Times New Roman" w:cs="Times New Roman"/>
          <w:sz w:val="24"/>
          <w:szCs w:val="24"/>
          <w:lang w:val="en-GB" w:eastAsia="cs-CZ"/>
        </w:rPr>
        <w:t>Transfer</w:t>
      </w:r>
      <w:r w:rsidRPr="00FA1502">
        <w:rPr>
          <w:rFonts w:ascii="Times New Roman" w:eastAsia="Times New Roman" w:hAnsi="Times New Roman" w:cs="Times New Roman"/>
          <w:sz w:val="24"/>
          <w:szCs w:val="24"/>
          <w:lang w:val="en-GB" w:eastAsia="cs-CZ"/>
        </w:rPr>
        <w:t xml:space="preserve"> shall also be deemed to have been effected if the corresponding consideration is not provided (e</w:t>
      </w:r>
      <w:r w:rsidRPr="00FA1502" w:rsidR="005F55BC">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g</w:t>
      </w:r>
      <w:r w:rsidRPr="00FA1502" w:rsidR="005F55BC">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the sale of securities at a price which does not correspond to their actual value).</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 xml:space="preserve">Re </w:t>
      </w:r>
      <w:r w:rsidRPr="00FA1502" w:rsidR="00941B7B">
        <w:rPr>
          <w:rFonts w:ascii="Times New Roman" w:eastAsia="Times New Roman" w:hAnsi="Times New Roman" w:cs="Times New Roman"/>
          <w:sz w:val="24"/>
          <w:szCs w:val="24"/>
          <w:u w:val="single"/>
          <w:lang w:val="en-GB" w:eastAsia="cs-CZ"/>
        </w:rPr>
        <w:t>Section</w:t>
      </w:r>
      <w:r w:rsidRPr="00FA1502">
        <w:rPr>
          <w:rFonts w:ascii="Times New Roman" w:eastAsia="Times New Roman" w:hAnsi="Times New Roman" w:cs="Times New Roman"/>
          <w:sz w:val="24"/>
          <w:szCs w:val="24"/>
          <w:u w:val="single"/>
          <w:lang w:val="en-GB" w:eastAsia="cs-CZ"/>
        </w:rPr>
        <w:t xml:space="preserve"> 193c:</w:t>
      </w:r>
      <w:r w:rsidRPr="00FA1502">
        <w:rPr>
          <w:rFonts w:ascii="Times New Roman" w:eastAsia="Times New Roman" w:hAnsi="Times New Roman" w:cs="Times New Roman"/>
          <w:sz w:val="24"/>
          <w:szCs w:val="24"/>
          <w:lang w:val="en-GB" w:eastAsia="cs-CZ"/>
        </w:rPr>
        <w:t xml:space="preserve"> The provision regulates what financial products may constitute assets </w:t>
      </w:r>
      <w:r w:rsidRPr="00FA1502" w:rsidR="00955217">
        <w:rPr>
          <w:rFonts w:ascii="Times New Roman" w:eastAsia="Times New Roman" w:hAnsi="Times New Roman" w:cs="Times New Roman"/>
          <w:sz w:val="24"/>
          <w:szCs w:val="24"/>
          <w:lang w:val="en-GB" w:eastAsia="cs-CZ"/>
        </w:rPr>
        <w:t xml:space="preserve">on the individual savings </w:t>
      </w:r>
      <w:r w:rsidRPr="00FA1502">
        <w:rPr>
          <w:rFonts w:ascii="Times New Roman" w:eastAsia="Times New Roman" w:hAnsi="Times New Roman" w:cs="Times New Roman"/>
          <w:sz w:val="24"/>
          <w:szCs w:val="24"/>
          <w:lang w:val="en-GB" w:eastAsia="cs-CZ"/>
        </w:rPr>
        <w:t>account. First of all</w:t>
      </w:r>
      <w:r w:rsidRPr="00FA1502" w:rsidR="00562D38">
        <w:rPr>
          <w:rFonts w:ascii="Times New Roman" w:eastAsia="Times New Roman" w:hAnsi="Times New Roman" w:cs="Times New Roman"/>
          <w:sz w:val="24"/>
          <w:szCs w:val="24"/>
          <w:lang w:val="en-GB" w:eastAsia="cs-CZ"/>
        </w:rPr>
        <w:t>, it</w:t>
      </w:r>
      <w:r w:rsidRPr="00FA1502">
        <w:rPr>
          <w:rFonts w:ascii="Times New Roman" w:eastAsia="Times New Roman" w:hAnsi="Times New Roman" w:cs="Times New Roman"/>
          <w:sz w:val="24"/>
          <w:szCs w:val="24"/>
          <w:lang w:val="en-GB" w:eastAsia="cs-CZ"/>
        </w:rPr>
        <w:t xml:space="preserve"> is cash, whether in the form of cash and or cash </w:t>
      </w:r>
      <w:r w:rsidRPr="00FA1502" w:rsidR="00562D38">
        <w:rPr>
          <w:rFonts w:ascii="Times New Roman" w:eastAsia="Times New Roman" w:hAnsi="Times New Roman" w:cs="Times New Roman"/>
          <w:sz w:val="24"/>
          <w:szCs w:val="24"/>
          <w:lang w:val="en-GB" w:eastAsia="cs-CZ"/>
        </w:rPr>
        <w:t>accounts.</w:t>
      </w:r>
      <w:r w:rsidRPr="00FA1502">
        <w:rPr>
          <w:rFonts w:ascii="Times New Roman" w:eastAsia="Times New Roman" w:hAnsi="Times New Roman" w:cs="Times New Roman"/>
          <w:sz w:val="24"/>
          <w:szCs w:val="24"/>
          <w:lang w:val="en-GB" w:eastAsia="cs-CZ"/>
        </w:rPr>
        <w:t xml:space="preserve"> Furthermore, these are simple investment instruments, typically stocks and bonds traded on the stock exchange. They may also be securities issued by investment funds, government bonds and covered bonds. Riskier instruments should not </w:t>
      </w:r>
      <w:r w:rsidRPr="00FA1502" w:rsidR="00C63C34">
        <w:rPr>
          <w:rFonts w:ascii="Times New Roman" w:eastAsia="Times New Roman" w:hAnsi="Times New Roman" w:cs="Times New Roman"/>
          <w:sz w:val="24"/>
          <w:szCs w:val="24"/>
          <w:lang w:val="en-GB" w:eastAsia="cs-CZ"/>
        </w:rPr>
        <w:t>represent more</w:t>
      </w:r>
      <w:r w:rsidRPr="00FA1502">
        <w:rPr>
          <w:rFonts w:ascii="Times New Roman" w:eastAsia="Times New Roman" w:hAnsi="Times New Roman" w:cs="Times New Roman"/>
          <w:sz w:val="24"/>
          <w:szCs w:val="24"/>
          <w:lang w:val="en-GB" w:eastAsia="cs-CZ"/>
        </w:rPr>
        <w:t xml:space="preserve"> than 10% of the value of the portfolio unless it is a so-called </w:t>
      </w:r>
      <w:r w:rsidRPr="00FA1502" w:rsidR="00C63C34">
        <w:rPr>
          <w:rFonts w:ascii="Times New Roman" w:eastAsia="Times New Roman" w:hAnsi="Times New Roman" w:cs="Times New Roman"/>
          <w:sz w:val="24"/>
          <w:szCs w:val="24"/>
          <w:lang w:val="en-GB" w:eastAsia="cs-CZ"/>
        </w:rPr>
        <w:t>wealthy</w:t>
      </w:r>
      <w:r w:rsidRPr="00FA1502">
        <w:rPr>
          <w:rFonts w:ascii="Times New Roman" w:eastAsia="Times New Roman" w:hAnsi="Times New Roman" w:cs="Times New Roman"/>
          <w:sz w:val="24"/>
          <w:szCs w:val="24"/>
          <w:lang w:val="en-GB" w:eastAsia="cs-CZ"/>
        </w:rPr>
        <w:t xml:space="preserve"> investor who is able and willing to bear the potential risk of higher losses. Due to the need to hedge against currency or interest rate risks, hedging der</w:t>
      </w:r>
      <w:r w:rsidRPr="00FA1502" w:rsidR="00C63C34">
        <w:rPr>
          <w:rFonts w:ascii="Times New Roman" w:eastAsia="Times New Roman" w:hAnsi="Times New Roman" w:cs="Times New Roman"/>
          <w:sz w:val="24"/>
          <w:szCs w:val="24"/>
          <w:lang w:val="en-GB" w:eastAsia="cs-CZ"/>
        </w:rPr>
        <w:t>ivatives may also be recorded on</w:t>
      </w:r>
      <w:r w:rsidRPr="00FA1502">
        <w:rPr>
          <w:rFonts w:ascii="Times New Roman" w:eastAsia="Times New Roman" w:hAnsi="Times New Roman" w:cs="Times New Roman"/>
          <w:sz w:val="24"/>
          <w:szCs w:val="24"/>
          <w:lang w:val="en-GB" w:eastAsia="cs-CZ"/>
        </w:rPr>
        <w:t xml:space="preserve"> the account. When selling a</w:t>
      </w:r>
      <w:r w:rsidRPr="00FA1502" w:rsidR="00C63C34">
        <w:rPr>
          <w:rFonts w:ascii="Times New Roman" w:eastAsia="Times New Roman" w:hAnsi="Times New Roman" w:cs="Times New Roman"/>
          <w:sz w:val="24"/>
          <w:szCs w:val="24"/>
          <w:lang w:val="en-GB" w:eastAsia="cs-CZ"/>
        </w:rPr>
        <w:t>n asset</w:t>
      </w:r>
      <w:r w:rsidRPr="00FA1502">
        <w:rPr>
          <w:rFonts w:ascii="Times New Roman" w:eastAsia="Times New Roman" w:hAnsi="Times New Roman" w:cs="Times New Roman"/>
          <w:sz w:val="24"/>
          <w:szCs w:val="24"/>
          <w:lang w:val="en-GB" w:eastAsia="cs-CZ"/>
        </w:rPr>
        <w:t xml:space="preserve"> that </w:t>
      </w:r>
      <w:r w:rsidRPr="00FA1502">
        <w:rPr>
          <w:rFonts w:ascii="Times New Roman" w:eastAsia="Times New Roman" w:hAnsi="Times New Roman" w:cs="Times New Roman"/>
          <w:sz w:val="24"/>
          <w:szCs w:val="24"/>
          <w:lang w:val="en-GB" w:eastAsia="cs-CZ"/>
        </w:rPr>
        <w:t xml:space="preserve">is held in the </w:t>
      </w:r>
      <w:r w:rsidRPr="00FA1502" w:rsidR="00C63C34">
        <w:rPr>
          <w:rFonts w:ascii="Times New Roman" w:eastAsia="Times New Roman" w:hAnsi="Times New Roman" w:cs="Times New Roman"/>
          <w:sz w:val="24"/>
          <w:szCs w:val="24"/>
          <w:lang w:val="en-GB" w:eastAsia="cs-CZ"/>
        </w:rPr>
        <w:t>individual savings account</w:t>
      </w:r>
      <w:r w:rsidRPr="00FA1502">
        <w:rPr>
          <w:rFonts w:ascii="Times New Roman" w:eastAsia="Times New Roman" w:hAnsi="Times New Roman" w:cs="Times New Roman"/>
          <w:sz w:val="24"/>
          <w:szCs w:val="24"/>
          <w:lang w:val="en-GB" w:eastAsia="cs-CZ"/>
        </w:rPr>
        <w:t xml:space="preserve">, </w:t>
      </w:r>
      <w:r w:rsidRPr="00FA1502" w:rsidR="00C63C34">
        <w:rPr>
          <w:rFonts w:ascii="Times New Roman" w:eastAsia="Times New Roman" w:hAnsi="Times New Roman" w:cs="Times New Roman"/>
          <w:sz w:val="24"/>
          <w:szCs w:val="24"/>
          <w:lang w:val="en-GB" w:eastAsia="cs-CZ"/>
        </w:rPr>
        <w:t xml:space="preserve">the acquired </w:t>
      </w:r>
      <w:r w:rsidRPr="00FA1502">
        <w:rPr>
          <w:rFonts w:ascii="Times New Roman" w:eastAsia="Times New Roman" w:hAnsi="Times New Roman" w:cs="Times New Roman"/>
          <w:sz w:val="24"/>
          <w:szCs w:val="24"/>
          <w:lang w:val="en-GB" w:eastAsia="cs-CZ"/>
        </w:rPr>
        <w:t>cash received from sale</w:t>
      </w:r>
      <w:r w:rsidRPr="00FA1502" w:rsidR="00C63C34">
        <w:rPr>
          <w:rFonts w:ascii="Times New Roman" w:eastAsia="Times New Roman" w:hAnsi="Times New Roman" w:cs="Times New Roman"/>
          <w:sz w:val="24"/>
          <w:szCs w:val="24"/>
          <w:lang w:val="en-GB" w:eastAsia="cs-CZ"/>
        </w:rPr>
        <w:t xml:space="preserve"> stays </w:t>
      </w:r>
      <w:r w:rsidRPr="00FA1502">
        <w:rPr>
          <w:rFonts w:ascii="Times New Roman" w:eastAsia="Times New Roman" w:hAnsi="Times New Roman" w:cs="Times New Roman"/>
          <w:sz w:val="24"/>
          <w:szCs w:val="24"/>
          <w:lang w:val="en-GB" w:eastAsia="cs-CZ"/>
        </w:rPr>
        <w:t>of the account.</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 </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Part E, Article IX </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 xml:space="preserve">Amendment to the Act on Bankruptcy and Ways of its Resolution </w:t>
      </w:r>
      <w:r w:rsidRPr="00FA1502">
        <w:rPr>
          <w:rFonts w:ascii="Times New Roman" w:eastAsia="Times New Roman" w:hAnsi="Times New Roman" w:cs="Times New Roman"/>
          <w:b/>
          <w:bCs/>
          <w:lang w:val="en-GB" w:eastAsia="cs-CZ"/>
        </w:rPr>
        <w:t>(Insolvency Act)</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Section</w:t>
      </w:r>
      <w:r w:rsidRPr="00FA1502" w:rsidR="004E424C">
        <w:rPr>
          <w:rFonts w:ascii="Times New Roman" w:eastAsia="Times New Roman" w:hAnsi="Times New Roman" w:cs="Times New Roman"/>
          <w:b/>
          <w:bCs/>
          <w:sz w:val="24"/>
          <w:szCs w:val="24"/>
          <w:u w:val="single"/>
          <w:lang w:val="en-GB" w:eastAsia="cs-CZ"/>
        </w:rPr>
        <w:t xml:space="preserve"> 172 (2):</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proposed amendment also aims to incorporate</w:t>
      </w:r>
      <w:r w:rsidRPr="00FA1502" w:rsidR="004E424C">
        <w:rPr>
          <w:rFonts w:ascii="Times New Roman" w:eastAsia="Times New Roman" w:hAnsi="Times New Roman" w:cs="Times New Roman"/>
          <w:sz w:val="24"/>
          <w:szCs w:val="24"/>
          <w:lang w:val="en-GB" w:eastAsia="cs-CZ"/>
        </w:rPr>
        <w:t xml:space="preserve"> receivables from</w:t>
      </w:r>
      <w:r w:rsidRPr="00FA1502">
        <w:rPr>
          <w:rFonts w:ascii="Times New Roman" w:eastAsia="Times New Roman" w:hAnsi="Times New Roman" w:cs="Times New Roman"/>
          <w:sz w:val="24"/>
          <w:szCs w:val="24"/>
          <w:lang w:val="en-GB" w:eastAsia="cs-CZ"/>
        </w:rPr>
        <w:t xml:space="preserve"> subordinated </w:t>
      </w:r>
      <w:r w:rsidRPr="00FA1502" w:rsidR="00E92D5F">
        <w:rPr>
          <w:rFonts w:ascii="Times New Roman" w:eastAsia="Times New Roman" w:hAnsi="Times New Roman" w:cs="Times New Roman"/>
          <w:sz w:val="24"/>
          <w:szCs w:val="24"/>
          <w:lang w:val="en-GB" w:eastAsia="cs-CZ"/>
        </w:rPr>
        <w:t>bonds</w:t>
      </w:r>
      <w:r w:rsidRPr="00FA1502">
        <w:rPr>
          <w:rFonts w:ascii="Times New Roman" w:eastAsia="Times New Roman" w:hAnsi="Times New Roman" w:cs="Times New Roman"/>
          <w:sz w:val="24"/>
          <w:szCs w:val="24"/>
          <w:lang w:val="en-GB" w:eastAsia="cs-CZ"/>
        </w:rPr>
        <w:t xml:space="preserve"> issued under the law of a foreign sta</w:t>
      </w:r>
      <w:r w:rsidRPr="00FA1502" w:rsidR="00E92D5F">
        <w:rPr>
          <w:rFonts w:ascii="Times New Roman" w:eastAsia="Times New Roman" w:hAnsi="Times New Roman" w:cs="Times New Roman"/>
          <w:sz w:val="24"/>
          <w:szCs w:val="24"/>
          <w:lang w:val="en-GB" w:eastAsia="cs-CZ"/>
        </w:rPr>
        <w:t>te into the relevant regulation</w:t>
      </w:r>
      <w:r w:rsidRPr="00FA1502">
        <w:rPr>
          <w:rFonts w:ascii="Times New Roman" w:eastAsia="Times New Roman" w:hAnsi="Times New Roman" w:cs="Times New Roman"/>
          <w:sz w:val="24"/>
          <w:szCs w:val="24"/>
          <w:lang w:val="en-GB" w:eastAsia="cs-CZ"/>
        </w:rPr>
        <w:t>.</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 </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Part Nine, Article X </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Amendment to the Act on Supplementary Pension Savings</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w:t>
      </w:r>
      <w:r w:rsidRPr="00FA1502" w:rsidR="004E424C">
        <w:rPr>
          <w:rFonts w:ascii="Times New Roman" w:eastAsia="Times New Roman" w:hAnsi="Times New Roman" w:cs="Times New Roman"/>
          <w:b/>
          <w:bCs/>
          <w:sz w:val="24"/>
          <w:szCs w:val="24"/>
          <w:u w:val="single"/>
          <w:lang w:val="en-GB" w:eastAsia="cs-CZ"/>
        </w:rPr>
        <w:t>t 1 (new Sections 18a and 18b):</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question of unambiguous identification of individual natural persons is essential for the performance of state supervision over compliance with the obligations of pension companies in connection with the provision and refund of the state contribu</w:t>
      </w:r>
      <w:r w:rsidRPr="00FA1502" w:rsidR="001B3A00">
        <w:rPr>
          <w:rFonts w:ascii="Times New Roman" w:eastAsia="Times New Roman" w:hAnsi="Times New Roman" w:cs="Times New Roman"/>
          <w:sz w:val="24"/>
          <w:szCs w:val="24"/>
          <w:lang w:val="en-GB" w:eastAsia="cs-CZ"/>
        </w:rPr>
        <w:t xml:space="preserve">tion (Section 15 and </w:t>
      </w:r>
      <w:r w:rsidRPr="00FA1502">
        <w:rPr>
          <w:rFonts w:ascii="Times New Roman" w:eastAsia="Times New Roman" w:hAnsi="Times New Roman" w:cs="Times New Roman"/>
          <w:sz w:val="24"/>
          <w:szCs w:val="24"/>
          <w:lang w:val="en-GB" w:eastAsia="cs-CZ"/>
        </w:rPr>
        <w:t xml:space="preserve">156 of </w:t>
      </w:r>
      <w:r w:rsidRPr="00FA1502" w:rsidR="001B3A00">
        <w:rPr>
          <w:rFonts w:ascii="Times New Roman" w:eastAsia="Times New Roman" w:hAnsi="Times New Roman" w:cs="Times New Roman"/>
          <w:sz w:val="24"/>
          <w:szCs w:val="24"/>
          <w:lang w:val="en-GB" w:eastAsia="cs-CZ"/>
        </w:rPr>
        <w:t>ZDPS</w:t>
      </w:r>
      <w:r w:rsidRPr="00FA1502">
        <w:rPr>
          <w:rFonts w:ascii="Times New Roman" w:eastAsia="Times New Roman" w:hAnsi="Times New Roman" w:cs="Times New Roman"/>
          <w:sz w:val="24"/>
          <w:szCs w:val="24"/>
          <w:lang w:val="en-GB" w:eastAsia="cs-CZ"/>
        </w:rPr>
        <w:t xml:space="preserve">). The birth number plays a key role in identifying participants in supplementary pension insurance and supplementary pension savings. According to the current opinion of the Ministry of the Interior, which is in charge of coordinating the performance of public administration, including its execution by electronic means, the so-called </w:t>
      </w:r>
      <w:r w:rsidRPr="00FA1502">
        <w:rPr>
          <w:rFonts w:ascii="Times New Roman" w:eastAsia="Times New Roman" w:hAnsi="Times New Roman" w:cs="Times New Roman"/>
          <w:sz w:val="24"/>
          <w:szCs w:val="24"/>
          <w:lang w:val="en-GB" w:eastAsia="cs-CZ"/>
        </w:rPr>
        <w:t>eGovernment</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the</w:t>
      </w:r>
      <w:r w:rsidRPr="00FA1502">
        <w:rPr>
          <w:rFonts w:ascii="Times New Roman" w:eastAsia="Times New Roman" w:hAnsi="Times New Roman" w:cs="Times New Roman"/>
          <w:sz w:val="24"/>
          <w:szCs w:val="24"/>
          <w:lang w:val="en-GB" w:eastAsia="cs-CZ"/>
        </w:rPr>
        <w:t xml:space="preserve"> birth number will not be replaced by another unique and unchangeable identifier of the natural person. In view of this, it is important to enable pension companies to use data from the basic population register, from the populat</w:t>
      </w:r>
      <w:r w:rsidRPr="00FA1502" w:rsidR="00D4183A">
        <w:rPr>
          <w:rFonts w:ascii="Times New Roman" w:eastAsia="Times New Roman" w:hAnsi="Times New Roman" w:cs="Times New Roman"/>
          <w:sz w:val="24"/>
          <w:szCs w:val="24"/>
          <w:lang w:val="en-GB" w:eastAsia="cs-CZ"/>
        </w:rPr>
        <w:t>ion register information system</w:t>
      </w:r>
      <w:r w:rsidRPr="00FA1502" w:rsidR="00B2358F">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from the information system of foreigners</w:t>
      </w:r>
      <w:r w:rsidRPr="00FA1502" w:rsidR="00B2358F">
        <w:rPr>
          <w:rFonts w:ascii="Times New Roman" w:eastAsia="Times New Roman" w:hAnsi="Times New Roman" w:cs="Times New Roman"/>
          <w:sz w:val="24"/>
          <w:szCs w:val="24"/>
          <w:lang w:val="en-GB" w:eastAsia="cs-CZ"/>
        </w:rPr>
        <w:t xml:space="preserve">, from the information system of registration of identity cards and from the information system of registration of travel documents, </w:t>
      </w:r>
      <w:r w:rsidRPr="00FA1502">
        <w:rPr>
          <w:rFonts w:ascii="Times New Roman" w:eastAsia="Times New Roman" w:hAnsi="Times New Roman" w:cs="Times New Roman"/>
          <w:sz w:val="24"/>
          <w:szCs w:val="24"/>
          <w:lang w:val="en-GB" w:eastAsia="cs-CZ"/>
        </w:rPr>
        <w:t>as a private user of data pursuant to Act No. 111/2009 Coll., On Basic Registe</w:t>
      </w:r>
      <w:r w:rsidRPr="00FA1502" w:rsidR="00D4183A">
        <w:rPr>
          <w:rFonts w:ascii="Times New Roman" w:eastAsia="Times New Roman" w:hAnsi="Times New Roman" w:cs="Times New Roman"/>
          <w:sz w:val="24"/>
          <w:szCs w:val="24"/>
          <w:lang w:val="en-GB" w:eastAsia="cs-CZ"/>
        </w:rPr>
        <w:t>rs, as amended</w:t>
      </w:r>
      <w:r w:rsidRPr="00FA1502">
        <w:rPr>
          <w:rFonts w:ascii="Times New Roman" w:eastAsia="Times New Roman" w:hAnsi="Times New Roman" w:cs="Times New Roman"/>
          <w:sz w:val="24"/>
          <w:szCs w:val="24"/>
          <w:lang w:val="en-GB" w:eastAsia="cs-CZ"/>
        </w:rPr>
        <w:t xml:space="preserve">. The </w:t>
      </w:r>
      <w:r w:rsidRPr="00FA1502" w:rsidR="00E01A3B">
        <w:rPr>
          <w:rFonts w:ascii="Times New Roman" w:eastAsia="Times New Roman" w:hAnsi="Times New Roman" w:cs="Times New Roman"/>
          <w:sz w:val="24"/>
          <w:szCs w:val="24"/>
          <w:lang w:val="en-GB" w:eastAsia="cs-CZ"/>
        </w:rPr>
        <w:t>extent</w:t>
      </w:r>
      <w:r w:rsidRPr="00FA1502">
        <w:rPr>
          <w:rFonts w:ascii="Times New Roman" w:eastAsia="Times New Roman" w:hAnsi="Times New Roman" w:cs="Times New Roman"/>
          <w:sz w:val="24"/>
          <w:szCs w:val="24"/>
          <w:lang w:val="en-GB" w:eastAsia="cs-CZ"/>
        </w:rPr>
        <w:t xml:space="preserve"> of data that could be used by pension companies is proposed to be set in accordance with similar legislation that will apply to banks and insurance companies pursuant to Act No. 49/2020 Coll., </w:t>
      </w:r>
      <w:r w:rsidRPr="00FA1502" w:rsidR="000358E1">
        <w:rPr>
          <w:rFonts w:ascii="Times New Roman" w:eastAsia="Times New Roman" w:hAnsi="Times New Roman" w:cs="Times New Roman"/>
          <w:sz w:val="24"/>
          <w:szCs w:val="24"/>
          <w:lang w:val="en-GB" w:eastAsia="cs-CZ"/>
        </w:rPr>
        <w:t>a</w:t>
      </w:r>
      <w:r w:rsidRPr="00FA1502">
        <w:rPr>
          <w:rFonts w:ascii="Times New Roman" w:eastAsia="Times New Roman" w:hAnsi="Times New Roman" w:cs="Times New Roman"/>
          <w:sz w:val="24"/>
          <w:szCs w:val="24"/>
          <w:lang w:val="en-GB" w:eastAsia="cs-CZ"/>
        </w:rPr>
        <w:t>mending Ac</w:t>
      </w:r>
      <w:r w:rsidRPr="00FA1502" w:rsidR="000358E1">
        <w:rPr>
          <w:rFonts w:ascii="Times New Roman" w:eastAsia="Times New Roman" w:hAnsi="Times New Roman" w:cs="Times New Roman"/>
          <w:sz w:val="24"/>
          <w:szCs w:val="24"/>
          <w:lang w:val="en-GB" w:eastAsia="cs-CZ"/>
        </w:rPr>
        <w:t>t No. 21/1992 Coll., On Banks,</w:t>
      </w:r>
      <w:r w:rsidRPr="00FA1502">
        <w:rPr>
          <w:rFonts w:ascii="Times New Roman" w:eastAsia="Times New Roman" w:hAnsi="Times New Roman" w:cs="Times New Roman"/>
          <w:sz w:val="24"/>
          <w:szCs w:val="24"/>
          <w:lang w:val="en-GB" w:eastAsia="cs-CZ"/>
        </w:rPr>
        <w:t xml:space="preserve"> as amended, and Act No. 253/2008 Coll., on Certain Measures Agains</w:t>
      </w:r>
      <w:r w:rsidRPr="00FA1502" w:rsidR="000358E1">
        <w:rPr>
          <w:rFonts w:ascii="Times New Roman" w:eastAsia="Times New Roman" w:hAnsi="Times New Roman" w:cs="Times New Roman"/>
          <w:sz w:val="24"/>
          <w:szCs w:val="24"/>
          <w:lang w:val="en-GB" w:eastAsia="cs-CZ"/>
        </w:rPr>
        <w:t>t Money Laundering and Terrorism</w:t>
      </w:r>
      <w:r w:rsidRPr="00FA1502">
        <w:rPr>
          <w:rFonts w:ascii="Times New Roman" w:eastAsia="Times New Roman" w:hAnsi="Times New Roman" w:cs="Times New Roman"/>
          <w:sz w:val="24"/>
          <w:szCs w:val="24"/>
          <w:lang w:val="en-GB" w:eastAsia="cs-CZ"/>
        </w:rPr>
        <w:t xml:space="preserve"> Financing, as amended, and certain other acts.</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w:t>
      </w:r>
      <w:r w:rsidRPr="00FA1502" w:rsidR="00A00543">
        <w:rPr>
          <w:rFonts w:ascii="Times New Roman" w:eastAsia="Times New Roman" w:hAnsi="Times New Roman" w:cs="Times New Roman"/>
          <w:b/>
          <w:bCs/>
          <w:sz w:val="24"/>
          <w:szCs w:val="24"/>
          <w:u w:val="single"/>
          <w:lang w:val="en-GB" w:eastAsia="cs-CZ"/>
        </w:rPr>
        <w:t xml:space="preserve"> point 2 </w:t>
      </w:r>
      <w:r w:rsidRPr="00FA1502">
        <w:rPr>
          <w:rFonts w:ascii="Times New Roman" w:eastAsia="Times New Roman" w:hAnsi="Times New Roman" w:cs="Times New Roman"/>
          <w:b/>
          <w:bCs/>
          <w:sz w:val="24"/>
          <w:szCs w:val="24"/>
          <w:u w:val="single"/>
          <w:lang w:val="en-GB" w:eastAsia="cs-CZ"/>
        </w:rPr>
        <w:t>[</w:t>
      </w:r>
      <w:r w:rsidRPr="00FA1502" w:rsidR="00A00543">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94 new paragraph </w:t>
      </w:r>
      <w:r w:rsidRPr="00FA1502">
        <w:rPr>
          <w:rFonts w:ascii="Times New Roman" w:eastAsia="Times New Roman" w:hAnsi="Times New Roman" w:cs="Times New Roman"/>
          <w:b/>
          <w:bCs/>
          <w:sz w:val="24"/>
          <w:szCs w:val="24"/>
          <w:u w:val="single"/>
          <w:lang w:val="en-GB" w:eastAsia="cs-CZ"/>
        </w:rPr>
        <w:t>(3)]:</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change responds to the introduction of a new type of dynamic participation fund - the so-called alternative fund - and ensures pension savings participants that a pension company will create more types of funds, not only conservative and alternative. The aim of this regulation is to prevent all existing participation funds from being converted into alternative funds with lower regulation. From the point of view of </w:t>
      </w:r>
      <w:r w:rsidRPr="00FA1502" w:rsidR="004723DA">
        <w:rPr>
          <w:rFonts w:ascii="Times New Roman" w:eastAsia="Times New Roman" w:hAnsi="Times New Roman" w:cs="Times New Roman"/>
          <w:sz w:val="24"/>
          <w:szCs w:val="24"/>
          <w:lang w:val="en-GB" w:eastAsia="cs-CZ"/>
        </w:rPr>
        <w:t>ZDP</w:t>
      </w:r>
      <w:r w:rsidRPr="00FA1502">
        <w:rPr>
          <w:rFonts w:ascii="Times New Roman" w:eastAsia="Times New Roman" w:hAnsi="Times New Roman" w:cs="Times New Roman"/>
          <w:sz w:val="24"/>
          <w:szCs w:val="24"/>
          <w:lang w:val="en-GB" w:eastAsia="cs-CZ"/>
        </w:rPr>
        <w:t xml:space="preserve">, the alternative participation fund is a fund of a pension company pursuant to Section 17 (1) </w:t>
      </w:r>
      <w:r w:rsidRPr="00FA1502" w:rsidR="004723DA">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e) of </w:t>
      </w:r>
      <w:r w:rsidRPr="00FA1502" w:rsidR="004723DA">
        <w:rPr>
          <w:rFonts w:ascii="Times New Roman" w:eastAsia="Times New Roman" w:hAnsi="Times New Roman" w:cs="Times New Roman"/>
          <w:sz w:val="24"/>
          <w:szCs w:val="24"/>
          <w:lang w:val="en-GB" w:eastAsia="cs-CZ"/>
        </w:rPr>
        <w:t>ZDP</w:t>
      </w:r>
      <w:r w:rsidRPr="00FA1502">
        <w:rPr>
          <w:rFonts w:ascii="Times New Roman" w:eastAsia="Times New Roman" w:hAnsi="Times New Roman" w:cs="Times New Roman"/>
          <w:sz w:val="24"/>
          <w:szCs w:val="24"/>
          <w:lang w:val="en-GB" w:eastAsia="cs-CZ"/>
        </w:rPr>
        <w:t xml:space="preserve"> and is therefore a separate taxpayer. From the perspective of Act No. 235/2004 Coll.,</w:t>
      </w:r>
      <w:r w:rsidRPr="00FA1502" w:rsidR="004723DA">
        <w:rPr>
          <w:rFonts w:ascii="Times New Roman" w:eastAsia="Times New Roman" w:hAnsi="Times New Roman" w:cs="Times New Roman"/>
          <w:sz w:val="24"/>
          <w:szCs w:val="24"/>
          <w:lang w:val="en-GB" w:eastAsia="cs-CZ"/>
        </w:rPr>
        <w:t xml:space="preserve"> On Value Added Tax, as amended</w:t>
      </w:r>
      <w:r w:rsidRPr="00FA1502">
        <w:rPr>
          <w:rFonts w:ascii="Times New Roman" w:eastAsia="Times New Roman" w:hAnsi="Times New Roman" w:cs="Times New Roman"/>
          <w:sz w:val="24"/>
          <w:szCs w:val="24"/>
          <w:lang w:val="en-GB" w:eastAsia="cs-CZ"/>
        </w:rPr>
        <w:t>, the alternative participant account is subordinated to the term “participant fund”.</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 3 </w:t>
      </w:r>
      <w:r w:rsidRPr="00FA1502" w:rsidR="00B76AEB">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new Title VI - Sections 108a to 108c</w:t>
      </w:r>
      <w:r w:rsidRPr="00FA1502" w:rsidR="00B76AEB">
        <w:rPr>
          <w:rFonts w:ascii="Times New Roman" w:eastAsia="Times New Roman" w:hAnsi="Times New Roman" w:cs="Times New Roman"/>
          <w:b/>
          <w:bCs/>
          <w:sz w:val="24"/>
          <w:szCs w:val="24"/>
          <w:u w:val="single"/>
          <w:lang w:val="en-GB" w:eastAsia="cs-CZ"/>
        </w:rPr>
        <w:t>]</w:t>
      </w:r>
      <w:r w:rsidRPr="00FA1502" w:rsidR="00481876">
        <w:rPr>
          <w:rFonts w:ascii="Times New Roman" w:eastAsia="Times New Roman" w:hAnsi="Times New Roman" w:cs="Times New Roman"/>
          <w:b/>
          <w:bCs/>
          <w:sz w:val="24"/>
          <w:szCs w:val="24"/>
          <w:u w:val="single"/>
          <w:lang w:val="en-GB" w:eastAsia="cs-CZ"/>
        </w:rPr>
        <w:t>:</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New form of a </w:t>
      </w:r>
      <w:r w:rsidRPr="00FA1502">
        <w:rPr>
          <w:rFonts w:ascii="Times New Roman" w:eastAsia="Times New Roman" w:hAnsi="Times New Roman" w:cs="Times New Roman"/>
          <w:sz w:val="24"/>
          <w:szCs w:val="24"/>
          <w:lang w:val="en-GB" w:eastAsia="cs-CZ"/>
        </w:rPr>
        <w:t>participation fund is introduced, which may be oriented on very dynamic investments, the so-called alternative participation fund.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Re</w:t>
      </w:r>
      <w:r w:rsidRPr="00FA1502">
        <w:rPr>
          <w:rFonts w:ascii="Times New Roman" w:eastAsia="Times New Roman" w:hAnsi="Times New Roman" w:cs="Times New Roman"/>
          <w:sz w:val="24"/>
          <w:szCs w:val="24"/>
          <w:u w:val="single"/>
          <w:lang w:val="en-GB" w:eastAsia="cs-CZ"/>
        </w:rPr>
        <w:t xml:space="preserve"> </w:t>
      </w:r>
      <w:r w:rsidRPr="00FA1502">
        <w:rPr>
          <w:rFonts w:ascii="Times New Roman" w:eastAsia="Times New Roman" w:hAnsi="Times New Roman" w:cs="Times New Roman"/>
          <w:sz w:val="24"/>
          <w:szCs w:val="24"/>
          <w:u w:val="single"/>
          <w:lang w:val="en-GB" w:eastAsia="cs-CZ"/>
        </w:rPr>
        <w:t>Section</w:t>
      </w:r>
      <w:r w:rsidRPr="00FA1502">
        <w:rPr>
          <w:rFonts w:ascii="Times New Roman" w:eastAsia="Times New Roman" w:hAnsi="Times New Roman" w:cs="Times New Roman"/>
          <w:sz w:val="24"/>
          <w:szCs w:val="24"/>
          <w:u w:val="single"/>
          <w:lang w:val="en-GB" w:eastAsia="cs-CZ"/>
        </w:rPr>
        <w:t xml:space="preserve"> 108a:</w:t>
      </w:r>
      <w:r w:rsidRPr="00FA1502">
        <w:rPr>
          <w:rFonts w:ascii="Times New Roman" w:eastAsia="Times New Roman" w:hAnsi="Times New Roman" w:cs="Times New Roman"/>
          <w:sz w:val="24"/>
          <w:szCs w:val="24"/>
          <w:lang w:val="en-GB" w:eastAsia="cs-CZ"/>
        </w:rPr>
        <w:t xml:space="preserve"> Participati</w:t>
      </w:r>
      <w:r w:rsidRPr="00FA1502" w:rsidR="00FA32A8">
        <w:rPr>
          <w:rFonts w:ascii="Times New Roman" w:eastAsia="Times New Roman" w:hAnsi="Times New Roman" w:cs="Times New Roman"/>
          <w:sz w:val="24"/>
          <w:szCs w:val="24"/>
          <w:lang w:val="en-GB" w:eastAsia="cs-CZ"/>
        </w:rPr>
        <w:t>on</w:t>
      </w:r>
      <w:r w:rsidRPr="00FA1502">
        <w:rPr>
          <w:rFonts w:ascii="Times New Roman" w:eastAsia="Times New Roman" w:hAnsi="Times New Roman" w:cs="Times New Roman"/>
          <w:sz w:val="24"/>
          <w:szCs w:val="24"/>
          <w:lang w:val="en-GB" w:eastAsia="cs-CZ"/>
        </w:rPr>
        <w:t xml:space="preserve"> funds have the amount of fees regulated by law, which is not </w:t>
      </w:r>
      <w:r w:rsidRPr="00FA1502" w:rsidR="00A704BF">
        <w:rPr>
          <w:rFonts w:ascii="Times New Roman" w:eastAsia="Times New Roman" w:hAnsi="Times New Roman" w:cs="Times New Roman"/>
          <w:sz w:val="24"/>
          <w:szCs w:val="24"/>
          <w:lang w:val="en-GB" w:eastAsia="cs-CZ"/>
        </w:rPr>
        <w:t xml:space="preserve">a </w:t>
      </w:r>
      <w:r w:rsidRPr="00FA1502">
        <w:rPr>
          <w:rFonts w:ascii="Times New Roman" w:eastAsia="Times New Roman" w:hAnsi="Times New Roman" w:cs="Times New Roman"/>
          <w:sz w:val="24"/>
          <w:szCs w:val="24"/>
          <w:lang w:val="en-GB" w:eastAsia="cs-CZ"/>
        </w:rPr>
        <w:t>significant limit in investment</w:t>
      </w:r>
      <w:r w:rsidRPr="00FA1502" w:rsidR="00A704BF">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 xml:space="preserve"> </w:t>
      </w:r>
      <w:r w:rsidRPr="00FA1502" w:rsidR="00A704BF">
        <w:rPr>
          <w:rFonts w:ascii="Times New Roman" w:eastAsia="Times New Roman" w:hAnsi="Times New Roman" w:cs="Times New Roman"/>
          <w:sz w:val="24"/>
          <w:szCs w:val="24"/>
          <w:lang w:val="en-GB" w:eastAsia="cs-CZ"/>
        </w:rPr>
        <w:t xml:space="preserve">of such </w:t>
      </w:r>
      <w:r w:rsidRPr="00FA1502">
        <w:rPr>
          <w:rFonts w:ascii="Times New Roman" w:eastAsia="Times New Roman" w:hAnsi="Times New Roman" w:cs="Times New Roman"/>
          <w:sz w:val="24"/>
          <w:szCs w:val="24"/>
          <w:lang w:val="en-GB" w:eastAsia="cs-CZ"/>
        </w:rPr>
        <w:t xml:space="preserve">fund to </w:t>
      </w:r>
      <w:r w:rsidRPr="00FA1502" w:rsidR="00A704BF">
        <w:rPr>
          <w:rFonts w:ascii="Times New Roman" w:eastAsia="Times New Roman" w:hAnsi="Times New Roman" w:cs="Times New Roman"/>
          <w:sz w:val="24"/>
          <w:szCs w:val="24"/>
          <w:lang w:val="en-GB" w:eastAsia="cs-CZ"/>
        </w:rPr>
        <w:t>potentially profitable a</w:t>
      </w:r>
      <w:r w:rsidRPr="00FA1502">
        <w:rPr>
          <w:rFonts w:ascii="Times New Roman" w:eastAsia="Times New Roman" w:hAnsi="Times New Roman" w:cs="Times New Roman"/>
          <w:sz w:val="24"/>
          <w:szCs w:val="24"/>
          <w:lang w:val="en-GB" w:eastAsia="cs-CZ"/>
        </w:rPr>
        <w:t>ssets, such as</w:t>
      </w:r>
      <w:r w:rsidRPr="00FA1502" w:rsidR="00A704BF">
        <w:rPr>
          <w:rFonts w:ascii="Times New Roman" w:eastAsia="Times New Roman" w:hAnsi="Times New Roman" w:cs="Times New Roman"/>
          <w:sz w:val="24"/>
          <w:szCs w:val="24"/>
          <w:lang w:val="en-GB" w:eastAsia="cs-CZ"/>
        </w:rPr>
        <w:t xml:space="preserve"> i</w:t>
      </w:r>
      <w:r w:rsidRPr="00FA1502">
        <w:rPr>
          <w:rFonts w:ascii="Times New Roman" w:eastAsia="Times New Roman" w:hAnsi="Times New Roman" w:cs="Times New Roman"/>
          <w:sz w:val="24"/>
          <w:szCs w:val="24"/>
          <w:lang w:val="en-GB" w:eastAsia="cs-CZ"/>
        </w:rPr>
        <w:t xml:space="preserve">n </w:t>
      </w:r>
      <w:r w:rsidRPr="00FA1502">
        <w:rPr>
          <w:rFonts w:ascii="Times New Roman" w:eastAsia="Times New Roman" w:hAnsi="Times New Roman" w:cs="Times New Roman"/>
          <w:iCs/>
          <w:sz w:val="24"/>
          <w:szCs w:val="24"/>
          <w:lang w:val="en-GB" w:eastAsia="cs-CZ"/>
        </w:rPr>
        <w:t>private equity</w:t>
      </w:r>
      <w:r w:rsidRPr="00FA1502">
        <w:rPr>
          <w:rFonts w:ascii="Times New Roman" w:eastAsia="Times New Roman" w:hAnsi="Times New Roman" w:cs="Times New Roman"/>
          <w:i/>
          <w:iCs/>
          <w:sz w:val="24"/>
          <w:szCs w:val="24"/>
          <w:lang w:val="en-GB" w:eastAsia="cs-CZ"/>
        </w:rPr>
        <w:t xml:space="preserve"> </w:t>
      </w:r>
      <w:r w:rsidRPr="00FA1502">
        <w:rPr>
          <w:rFonts w:ascii="Times New Roman" w:eastAsia="Times New Roman" w:hAnsi="Times New Roman" w:cs="Times New Roman"/>
          <w:sz w:val="24"/>
          <w:szCs w:val="24"/>
          <w:lang w:val="en-GB" w:eastAsia="cs-CZ"/>
        </w:rPr>
        <w:t>funds. Such investments may be u</w:t>
      </w:r>
      <w:r w:rsidRPr="00FA1502" w:rsidR="00D117CC">
        <w:rPr>
          <w:rFonts w:ascii="Times New Roman" w:eastAsia="Times New Roman" w:hAnsi="Times New Roman" w:cs="Times New Roman"/>
          <w:sz w:val="24"/>
          <w:szCs w:val="24"/>
          <w:lang w:val="en-GB" w:eastAsia="cs-CZ"/>
        </w:rPr>
        <w:t>navailable to current participa</w:t>
      </w:r>
      <w:r w:rsidRPr="00FA1502">
        <w:rPr>
          <w:rFonts w:ascii="Times New Roman" w:eastAsia="Times New Roman" w:hAnsi="Times New Roman" w:cs="Times New Roman"/>
          <w:sz w:val="24"/>
          <w:szCs w:val="24"/>
          <w:lang w:val="en-GB" w:eastAsia="cs-CZ"/>
        </w:rPr>
        <w:t>t</w:t>
      </w:r>
      <w:r w:rsidRPr="00FA1502" w:rsidR="00D117CC">
        <w:rPr>
          <w:rFonts w:ascii="Times New Roman" w:eastAsia="Times New Roman" w:hAnsi="Times New Roman" w:cs="Times New Roman"/>
          <w:sz w:val="24"/>
          <w:szCs w:val="24"/>
          <w:lang w:val="en-GB" w:eastAsia="cs-CZ"/>
        </w:rPr>
        <w:t>ion</w:t>
      </w:r>
      <w:r w:rsidRPr="00FA1502">
        <w:rPr>
          <w:rFonts w:ascii="Times New Roman" w:eastAsia="Times New Roman" w:hAnsi="Times New Roman" w:cs="Times New Roman"/>
          <w:sz w:val="24"/>
          <w:szCs w:val="24"/>
          <w:lang w:val="en-GB" w:eastAsia="cs-CZ"/>
        </w:rPr>
        <w:t xml:space="preserve"> funds, as they are </w:t>
      </w:r>
      <w:r w:rsidRPr="00FA1502">
        <w:rPr>
          <w:rFonts w:ascii="Times New Roman" w:eastAsia="Times New Roman" w:hAnsi="Times New Roman" w:cs="Times New Roman"/>
          <w:sz w:val="24"/>
          <w:szCs w:val="24"/>
          <w:lang w:val="en-GB" w:eastAsia="cs-CZ"/>
        </w:rPr>
        <w:t>cost-</w:t>
      </w:r>
      <w:r w:rsidRPr="00FA1502" w:rsidR="00D117CC">
        <w:rPr>
          <w:rFonts w:ascii="Times New Roman" w:eastAsia="Times New Roman" w:hAnsi="Times New Roman" w:cs="Times New Roman"/>
          <w:sz w:val="24"/>
          <w:szCs w:val="24"/>
          <w:lang w:val="en-GB" w:eastAsia="cs-CZ"/>
        </w:rPr>
        <w:t>demanding</w:t>
      </w:r>
      <w:r w:rsidRPr="00FA1502">
        <w:rPr>
          <w:rFonts w:ascii="Times New Roman" w:eastAsia="Times New Roman" w:hAnsi="Times New Roman" w:cs="Times New Roman"/>
          <w:sz w:val="24"/>
          <w:szCs w:val="24"/>
          <w:lang w:val="en-GB" w:eastAsia="cs-CZ"/>
        </w:rPr>
        <w:t>. It is proposed to allow the emergence of a new type of participation fund that would not be so regulated in terms of fees.</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u w:val="single"/>
          <w:lang w:val="en-GB" w:eastAsia="cs-CZ"/>
        </w:rPr>
        <w:t xml:space="preserve">Re </w:t>
      </w:r>
      <w:r w:rsidRPr="00FA1502" w:rsidR="0065428F">
        <w:rPr>
          <w:rFonts w:ascii="Times New Roman" w:eastAsia="Times New Roman" w:hAnsi="Times New Roman" w:cs="Times New Roman"/>
          <w:sz w:val="24"/>
          <w:szCs w:val="24"/>
          <w:u w:val="single"/>
          <w:lang w:val="en-GB" w:eastAsia="cs-CZ"/>
        </w:rPr>
        <w:t>Section</w:t>
      </w:r>
      <w:r w:rsidRPr="00FA1502">
        <w:rPr>
          <w:rFonts w:ascii="Times New Roman" w:eastAsia="Times New Roman" w:hAnsi="Times New Roman" w:cs="Times New Roman"/>
          <w:sz w:val="24"/>
          <w:szCs w:val="24"/>
          <w:u w:val="single"/>
          <w:lang w:val="en-GB" w:eastAsia="cs-CZ"/>
        </w:rPr>
        <w:t xml:space="preserve"> 108b and 108c:</w:t>
      </w:r>
      <w:r w:rsidRPr="00FA1502">
        <w:rPr>
          <w:rFonts w:ascii="Times New Roman" w:eastAsia="Times New Roman" w:hAnsi="Times New Roman" w:cs="Times New Roman"/>
          <w:sz w:val="24"/>
          <w:szCs w:val="24"/>
          <w:lang w:val="en-GB" w:eastAsia="cs-CZ"/>
        </w:rPr>
        <w:t xml:space="preserve"> The investment options of an alternative fund are regulated, which are wider than in the case o</w:t>
      </w:r>
      <w:r w:rsidRPr="00FA1502" w:rsidR="0065428F">
        <w:rPr>
          <w:rFonts w:ascii="Times New Roman" w:eastAsia="Times New Roman" w:hAnsi="Times New Roman" w:cs="Times New Roman"/>
          <w:sz w:val="24"/>
          <w:szCs w:val="24"/>
          <w:lang w:val="en-GB" w:eastAsia="cs-CZ"/>
        </w:rPr>
        <w:t>f a</w:t>
      </w:r>
      <w:r w:rsidRPr="00FA1502" w:rsidR="00C420EE">
        <w:rPr>
          <w:rFonts w:ascii="Times New Roman" w:eastAsia="Times New Roman" w:hAnsi="Times New Roman" w:cs="Times New Roman"/>
          <w:sz w:val="24"/>
          <w:szCs w:val="24"/>
          <w:lang w:val="en-GB" w:eastAsia="cs-CZ"/>
        </w:rPr>
        <w:t>n</w:t>
      </w:r>
      <w:r w:rsidRPr="00FA1502" w:rsidR="0065428F">
        <w:rPr>
          <w:rFonts w:ascii="Times New Roman" w:eastAsia="Times New Roman" w:hAnsi="Times New Roman" w:cs="Times New Roman"/>
          <w:sz w:val="24"/>
          <w:szCs w:val="24"/>
          <w:lang w:val="en-GB" w:eastAsia="cs-CZ"/>
        </w:rPr>
        <w:t xml:space="preserve"> ordinary participation fund.</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points 4, 5, 7, 8 and 13 </w:t>
      </w:r>
      <w:r w:rsidRPr="00FA1502" w:rsidR="00B76AEB">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Section 115 (4) and (5), Section 170, Section 188 and Section 193 (4)</w:t>
      </w:r>
      <w:r w:rsidRPr="00FA1502" w:rsidR="00B76AEB">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amendments are designed to bring these provisions into line with applicable accounting standa</w:t>
      </w:r>
      <w:r w:rsidRPr="00FA1502" w:rsidR="00F15BB1">
        <w:rPr>
          <w:rFonts w:ascii="Times New Roman" w:eastAsia="Times New Roman" w:hAnsi="Times New Roman" w:cs="Times New Roman"/>
          <w:sz w:val="24"/>
          <w:szCs w:val="24"/>
          <w:lang w:val="en-GB" w:eastAsia="cs-CZ"/>
        </w:rPr>
        <w:t>rds. Certain provisions of the a</w:t>
      </w:r>
      <w:r w:rsidRPr="00FA1502">
        <w:rPr>
          <w:rFonts w:ascii="Times New Roman" w:eastAsia="Times New Roman" w:hAnsi="Times New Roman" w:cs="Times New Roman"/>
          <w:sz w:val="24"/>
          <w:szCs w:val="24"/>
          <w:lang w:val="en-GB" w:eastAsia="cs-CZ"/>
        </w:rPr>
        <w:t xml:space="preserve">ct and its implementing legislation are superfluous, or even contradictory, in view of the introduction of an obligation to report financial instruments, their valuation and disclosures in financial statements under International </w:t>
      </w:r>
      <w:r w:rsidRPr="00FA1502" w:rsidR="00F15BB1">
        <w:rPr>
          <w:rFonts w:ascii="Times New Roman" w:eastAsia="Times New Roman" w:hAnsi="Times New Roman" w:cs="Times New Roman"/>
          <w:sz w:val="24"/>
          <w:szCs w:val="24"/>
          <w:lang w:val="en-GB" w:eastAsia="cs-CZ"/>
        </w:rPr>
        <w:t>Financial Reporting Standards (IFRS</w:t>
      </w:r>
      <w:r w:rsidRPr="00FA1502">
        <w:rPr>
          <w:rFonts w:ascii="Times New Roman" w:eastAsia="Times New Roman" w:hAnsi="Times New Roman" w:cs="Times New Roman"/>
          <w:sz w:val="24"/>
          <w:szCs w:val="24"/>
          <w:lang w:val="en-GB" w:eastAsia="cs-CZ"/>
        </w:rPr>
        <w:t xml:space="preserve">). Therefore, it is proposed to delete </w:t>
      </w:r>
      <w:r w:rsidRPr="00FA1502" w:rsidR="008338B5">
        <w:rPr>
          <w:rFonts w:ascii="Times New Roman" w:eastAsia="Times New Roman" w:hAnsi="Times New Roman" w:cs="Times New Roman"/>
          <w:sz w:val="24"/>
          <w:szCs w:val="24"/>
          <w:lang w:val="en-GB" w:eastAsia="cs-CZ"/>
        </w:rPr>
        <w:t xml:space="preserve">provisions on </w:t>
      </w:r>
      <w:r w:rsidRPr="00FA1502" w:rsidR="00F326DD">
        <w:rPr>
          <w:rFonts w:ascii="Times New Roman" w:eastAsia="Times New Roman" w:hAnsi="Times New Roman" w:cs="Times New Roman"/>
          <w:sz w:val="24"/>
          <w:szCs w:val="24"/>
          <w:lang w:val="en-GB" w:eastAsia="cs-CZ"/>
        </w:rPr>
        <w:t xml:space="preserve">valuing by </w:t>
      </w:r>
      <w:r w:rsidRPr="00FA1502" w:rsidR="008338B5">
        <w:rPr>
          <w:rFonts w:ascii="Times New Roman" w:eastAsia="Times New Roman" w:hAnsi="Times New Roman" w:cs="Times New Roman"/>
          <w:sz w:val="24"/>
          <w:szCs w:val="24"/>
          <w:lang w:val="en-GB" w:eastAsia="cs-CZ"/>
        </w:rPr>
        <w:t xml:space="preserve">fair value </w:t>
      </w:r>
      <w:r w:rsidRPr="00FA1502">
        <w:rPr>
          <w:rFonts w:ascii="Times New Roman" w:eastAsia="Times New Roman" w:hAnsi="Times New Roman" w:cs="Times New Roman"/>
          <w:sz w:val="24"/>
          <w:szCs w:val="24"/>
          <w:lang w:val="en-GB" w:eastAsia="cs-CZ"/>
        </w:rPr>
        <w:t xml:space="preserve">and </w:t>
      </w:r>
      <w:r w:rsidRPr="00FA1502" w:rsidR="008338B5">
        <w:rPr>
          <w:rFonts w:ascii="Times New Roman" w:eastAsia="Times New Roman" w:hAnsi="Times New Roman" w:cs="Times New Roman"/>
          <w:sz w:val="24"/>
          <w:szCs w:val="24"/>
          <w:lang w:val="en-GB" w:eastAsia="cs-CZ"/>
        </w:rPr>
        <w:t>authorization</w:t>
      </w:r>
      <w:r w:rsidRPr="00FA1502">
        <w:rPr>
          <w:rFonts w:ascii="Times New Roman" w:eastAsia="Times New Roman" w:hAnsi="Times New Roman" w:cs="Times New Roman"/>
          <w:sz w:val="24"/>
          <w:szCs w:val="24"/>
          <w:lang w:val="en-GB" w:eastAsia="cs-CZ"/>
        </w:rPr>
        <w:t xml:space="preserve"> to issue an implementing regulation in Section 115 (4) and (5) of </w:t>
      </w:r>
      <w:r w:rsidRPr="00FA1502" w:rsidR="008338B5">
        <w:rPr>
          <w:rFonts w:ascii="Times New Roman" w:eastAsia="Times New Roman" w:hAnsi="Times New Roman" w:cs="Times New Roman"/>
          <w:sz w:val="24"/>
          <w:szCs w:val="24"/>
          <w:lang w:val="en-GB" w:eastAsia="cs-CZ"/>
        </w:rPr>
        <w:t>ZDPS</w:t>
      </w:r>
      <w:r w:rsidRPr="00FA1502">
        <w:rPr>
          <w:rFonts w:ascii="Times New Roman" w:eastAsia="Times New Roman" w:hAnsi="Times New Roman" w:cs="Times New Roman"/>
          <w:sz w:val="24"/>
          <w:szCs w:val="24"/>
          <w:lang w:val="en-GB" w:eastAsia="cs-CZ"/>
        </w:rPr>
        <w:t xml:space="preserve"> and remove the reference to valuation under the Pension Insurance Act (Section 188 (3) of </w:t>
      </w:r>
      <w:r w:rsidRPr="00FA1502" w:rsidR="00F41451">
        <w:rPr>
          <w:rFonts w:ascii="Times New Roman" w:eastAsia="Times New Roman" w:hAnsi="Times New Roman" w:cs="Times New Roman"/>
          <w:sz w:val="24"/>
          <w:szCs w:val="24"/>
          <w:lang w:val="en-GB" w:eastAsia="cs-CZ"/>
        </w:rPr>
        <w:t>ZDPS</w:t>
      </w:r>
      <w:r w:rsidRPr="00FA1502">
        <w:rPr>
          <w:rFonts w:ascii="Times New Roman" w:eastAsia="Times New Roman" w:hAnsi="Times New Roman" w:cs="Times New Roman"/>
          <w:sz w:val="24"/>
          <w:szCs w:val="24"/>
          <w:lang w:val="en-GB" w:eastAsia="cs-CZ"/>
        </w:rPr>
        <w:t xml:space="preserve">) and the exemption for valuation of government bonds of OECD member states </w:t>
      </w:r>
      <w:r w:rsidRPr="00FA1502" w:rsidR="00F41451">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193 </w:t>
      </w:r>
      <w:r w:rsidRPr="00FA1502" w:rsidR="00F41451">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4</w:t>
      </w:r>
      <w:r w:rsidRPr="00FA1502" w:rsidR="00F41451">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of </w:t>
      </w:r>
      <w:r w:rsidRPr="00FA1502" w:rsidR="00F41451">
        <w:rPr>
          <w:rFonts w:ascii="Times New Roman" w:eastAsia="Times New Roman" w:hAnsi="Times New Roman" w:cs="Times New Roman"/>
          <w:sz w:val="24"/>
          <w:szCs w:val="24"/>
          <w:lang w:val="en-GB" w:eastAsia="cs-CZ"/>
        </w:rPr>
        <w:t>ZDPS</w:t>
      </w:r>
      <w:r w:rsidRPr="00FA1502">
        <w:rPr>
          <w:rFonts w:ascii="Times New Roman" w:eastAsia="Times New Roman" w:hAnsi="Times New Roman" w:cs="Times New Roman"/>
          <w:sz w:val="24"/>
          <w:szCs w:val="24"/>
          <w:lang w:val="en-GB" w:eastAsia="cs-CZ"/>
        </w:rPr>
        <w:t>).</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 6 </w:t>
      </w:r>
      <w:r w:rsidRPr="00FA1502" w:rsidR="00B76AEB">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Section 136 (4)</w:t>
      </w:r>
      <w:r w:rsidRPr="00FA1502" w:rsidR="00B76AEB">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Legislation </w:t>
      </w:r>
      <w:r w:rsidRPr="00FA1502" w:rsidR="00977368">
        <w:rPr>
          <w:rFonts w:ascii="Times New Roman" w:eastAsia="Times New Roman" w:hAnsi="Times New Roman" w:cs="Times New Roman"/>
          <w:sz w:val="24"/>
          <w:szCs w:val="24"/>
          <w:lang w:val="en-GB" w:eastAsia="cs-CZ"/>
        </w:rPr>
        <w:t xml:space="preserve">follows up to </w:t>
      </w:r>
      <w:r w:rsidRPr="00FA1502">
        <w:rPr>
          <w:rFonts w:ascii="Times New Roman" w:eastAsia="Times New Roman" w:hAnsi="Times New Roman" w:cs="Times New Roman"/>
          <w:sz w:val="24"/>
          <w:szCs w:val="24"/>
          <w:lang w:val="en-GB" w:eastAsia="cs-CZ"/>
        </w:rPr>
        <w:t>a new</w:t>
      </w:r>
      <w:r w:rsidRPr="00FA1502" w:rsidR="006B7A14">
        <w:rPr>
          <w:rFonts w:ascii="Times New Roman" w:eastAsia="Times New Roman" w:hAnsi="Times New Roman" w:cs="Times New Roman"/>
          <w:sz w:val="24"/>
          <w:szCs w:val="24"/>
          <w:lang w:val="en-GB" w:eastAsia="cs-CZ"/>
        </w:rPr>
        <w:t xml:space="preserve"> type of alternative participation</w:t>
      </w:r>
      <w:r w:rsidRPr="00FA1502">
        <w:rPr>
          <w:rFonts w:ascii="Times New Roman" w:eastAsia="Times New Roman" w:hAnsi="Times New Roman" w:cs="Times New Roman"/>
          <w:sz w:val="24"/>
          <w:szCs w:val="24"/>
          <w:lang w:val="en-GB" w:eastAsia="cs-CZ"/>
        </w:rPr>
        <w:t xml:space="preserve"> fund and </w:t>
      </w:r>
      <w:r w:rsidRPr="00FA1502" w:rsidR="006B7A14">
        <w:rPr>
          <w:rFonts w:ascii="Times New Roman" w:eastAsia="Times New Roman" w:hAnsi="Times New Roman" w:cs="Times New Roman"/>
          <w:sz w:val="24"/>
          <w:szCs w:val="24"/>
          <w:lang w:val="en-GB" w:eastAsia="cs-CZ"/>
        </w:rPr>
        <w:t xml:space="preserve">sets out that </w:t>
      </w:r>
      <w:r w:rsidRPr="00FA1502">
        <w:rPr>
          <w:rFonts w:ascii="Times New Roman" w:eastAsia="Times New Roman" w:hAnsi="Times New Roman" w:cs="Times New Roman"/>
          <w:sz w:val="24"/>
          <w:szCs w:val="24"/>
          <w:lang w:val="en-GB" w:eastAsia="cs-CZ"/>
        </w:rPr>
        <w:t xml:space="preserve">pension company cannot </w:t>
      </w:r>
      <w:r w:rsidRPr="00FA1502" w:rsidR="006B7A14">
        <w:rPr>
          <w:rFonts w:ascii="Times New Roman" w:eastAsia="Times New Roman" w:hAnsi="Times New Roman" w:cs="Times New Roman"/>
          <w:sz w:val="24"/>
          <w:szCs w:val="24"/>
          <w:lang w:val="en-GB" w:eastAsia="cs-CZ"/>
        </w:rPr>
        <w:t xml:space="preserve">comply with a party’s </w:t>
      </w:r>
      <w:r w:rsidRPr="00FA1502">
        <w:rPr>
          <w:rFonts w:ascii="Times New Roman" w:eastAsia="Times New Roman" w:hAnsi="Times New Roman" w:cs="Times New Roman"/>
          <w:sz w:val="24"/>
          <w:szCs w:val="24"/>
          <w:lang w:val="en-GB" w:eastAsia="cs-CZ"/>
        </w:rPr>
        <w:t>request to conclude a contract on supplementary pension savings with the strategy of saving including alternative participa</w:t>
      </w:r>
      <w:r w:rsidRPr="00FA1502" w:rsidR="006B7A14">
        <w:rPr>
          <w:rFonts w:ascii="Times New Roman" w:eastAsia="Times New Roman" w:hAnsi="Times New Roman" w:cs="Times New Roman"/>
          <w:sz w:val="24"/>
          <w:szCs w:val="24"/>
          <w:lang w:val="en-GB" w:eastAsia="cs-CZ"/>
        </w:rPr>
        <w:t>tion</w:t>
      </w:r>
      <w:r w:rsidRPr="00FA1502">
        <w:rPr>
          <w:rFonts w:ascii="Times New Roman" w:eastAsia="Times New Roman" w:hAnsi="Times New Roman" w:cs="Times New Roman"/>
          <w:sz w:val="24"/>
          <w:szCs w:val="24"/>
          <w:lang w:val="en-GB" w:eastAsia="cs-CZ"/>
        </w:rPr>
        <w:t xml:space="preserve"> fund if </w:t>
      </w:r>
      <w:r w:rsidRPr="00FA1502" w:rsidR="006B7A14">
        <w:rPr>
          <w:rFonts w:ascii="Times New Roman" w:eastAsia="Times New Roman" w:hAnsi="Times New Roman" w:cs="Times New Roman"/>
          <w:sz w:val="24"/>
          <w:szCs w:val="24"/>
          <w:lang w:val="en-GB" w:eastAsia="cs-CZ"/>
        </w:rPr>
        <w:t xml:space="preserve">the participant </w:t>
      </w:r>
      <w:r w:rsidRPr="00FA1502">
        <w:rPr>
          <w:rFonts w:ascii="Times New Roman" w:eastAsia="Times New Roman" w:hAnsi="Times New Roman" w:cs="Times New Roman"/>
          <w:sz w:val="24"/>
          <w:szCs w:val="24"/>
          <w:lang w:val="en-GB" w:eastAsia="cs-CZ"/>
        </w:rPr>
        <w:t>reject</w:t>
      </w:r>
      <w:r w:rsidRPr="00FA1502" w:rsidR="006B7A14">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 xml:space="preserve"> </w:t>
      </w:r>
      <w:r w:rsidRPr="00FA1502" w:rsidR="002718D9">
        <w:rPr>
          <w:rFonts w:ascii="Times New Roman" w:eastAsia="Times New Roman" w:hAnsi="Times New Roman" w:cs="Times New Roman"/>
          <w:sz w:val="24"/>
          <w:szCs w:val="24"/>
          <w:lang w:val="en-GB" w:eastAsia="cs-CZ"/>
        </w:rPr>
        <w:t xml:space="preserve">to provide </w:t>
      </w:r>
      <w:r w:rsidRPr="00FA1502">
        <w:rPr>
          <w:rFonts w:ascii="Times New Roman" w:eastAsia="Times New Roman" w:hAnsi="Times New Roman" w:cs="Times New Roman"/>
          <w:sz w:val="24"/>
          <w:szCs w:val="24"/>
          <w:lang w:val="en-GB" w:eastAsia="cs-CZ"/>
        </w:rPr>
        <w:t xml:space="preserve">information specified in </w:t>
      </w:r>
      <w:r w:rsidRPr="00FA1502" w:rsidR="006B7A14">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136</w:t>
      </w:r>
      <w:r w:rsidRPr="00FA1502" w:rsidR="006B7A14">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1</w:t>
      </w:r>
      <w:r w:rsidRPr="00FA1502" w:rsidR="006B7A14">
        <w:rPr>
          <w:rFonts w:ascii="Times New Roman" w:eastAsia="Times New Roman" w:hAnsi="Times New Roman" w:cs="Times New Roman"/>
          <w:sz w:val="24"/>
          <w:szCs w:val="24"/>
          <w:lang w:val="en-GB" w:eastAsia="cs-CZ"/>
        </w:rPr>
        <w:t>) of</w:t>
      </w:r>
      <w:r w:rsidRPr="00FA1502">
        <w:rPr>
          <w:rFonts w:ascii="Times New Roman" w:eastAsia="Times New Roman" w:hAnsi="Times New Roman" w:cs="Times New Roman"/>
          <w:sz w:val="24"/>
          <w:szCs w:val="24"/>
          <w:lang w:val="en-GB" w:eastAsia="cs-CZ"/>
        </w:rPr>
        <w:t xml:space="preserve"> ZDPS or submit</w:t>
      </w:r>
      <w:r w:rsidRPr="00FA1502" w:rsidR="002718D9">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 xml:space="preserve"> information </w:t>
      </w:r>
      <w:r w:rsidRPr="00FA1502" w:rsidR="001F1590">
        <w:rPr>
          <w:rFonts w:ascii="Times New Roman" w:eastAsia="Times New Roman" w:hAnsi="Times New Roman" w:cs="Times New Roman"/>
          <w:sz w:val="24"/>
          <w:szCs w:val="24"/>
          <w:lang w:val="en-GB" w:eastAsia="cs-CZ"/>
        </w:rPr>
        <w:t>evidently</w:t>
      </w:r>
      <w:r w:rsidRPr="00FA1502">
        <w:rPr>
          <w:rFonts w:ascii="Times New Roman" w:eastAsia="Times New Roman" w:hAnsi="Times New Roman" w:cs="Times New Roman"/>
          <w:sz w:val="24"/>
          <w:szCs w:val="24"/>
          <w:lang w:val="en-GB" w:eastAsia="cs-CZ"/>
        </w:rPr>
        <w:t xml:space="preserve"> incomplete, inaccurate or false.</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points 9 to 11 </w:t>
      </w:r>
      <w:r w:rsidRPr="00FA1502" w:rsidR="00B76AEB">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190 (1) and </w:t>
      </w:r>
      <w:r w:rsidRPr="00FA150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191 (</w:t>
      </w:r>
      <w:r w:rsidRPr="00FA1502" w:rsidR="008A2598">
        <w:rPr>
          <w:rFonts w:ascii="Times New Roman" w:eastAsia="Times New Roman" w:hAnsi="Times New Roman" w:cs="Times New Roman"/>
          <w:b/>
          <w:bCs/>
          <w:sz w:val="24"/>
          <w:szCs w:val="24"/>
          <w:u w:val="single"/>
          <w:lang w:val="en-GB" w:eastAsia="cs-CZ"/>
        </w:rPr>
        <w:t>3</w:t>
      </w:r>
      <w:r w:rsidRPr="00FA1502">
        <w:rPr>
          <w:rFonts w:ascii="Times New Roman" w:eastAsia="Times New Roman" w:hAnsi="Times New Roman" w:cs="Times New Roman"/>
          <w:b/>
          <w:bCs/>
          <w:sz w:val="24"/>
          <w:szCs w:val="24"/>
          <w:u w:val="single"/>
          <w:lang w:val="en-GB" w:eastAsia="cs-CZ"/>
        </w:rPr>
        <w:t>)</w:t>
      </w:r>
      <w:r w:rsidRPr="00FA1502" w:rsidR="00B76AEB">
        <w:rPr>
          <w:rFonts w:ascii="Times New Roman" w:eastAsia="Times New Roman" w:hAnsi="Times New Roman" w:cs="Times New Roman"/>
          <w:b/>
          <w:bCs/>
          <w:sz w:val="24"/>
          <w:szCs w:val="24"/>
          <w:u w:val="single"/>
          <w:lang w:val="en-GB" w:eastAsia="cs-CZ"/>
        </w:rPr>
        <w:t>]</w:t>
      </w:r>
      <w:r w:rsidRPr="00FA1502" w:rsidR="008A2598">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restriction according to which it was not possible to be a participant in the supplementary pension savings and a participant in the transformed fund at the same time is removed. </w:t>
      </w:r>
      <w:r w:rsidRPr="00FA1502" w:rsidR="00642D35">
        <w:rPr>
          <w:rFonts w:ascii="Times New Roman" w:eastAsia="Times New Roman" w:hAnsi="Times New Roman" w:cs="Times New Roman"/>
          <w:sz w:val="24"/>
          <w:szCs w:val="24"/>
          <w:lang w:val="en-GB" w:eastAsia="cs-CZ"/>
        </w:rPr>
        <w:t>T</w:t>
      </w:r>
      <w:r w:rsidRPr="00FA1502">
        <w:rPr>
          <w:rFonts w:ascii="Times New Roman" w:eastAsia="Times New Roman" w:hAnsi="Times New Roman" w:cs="Times New Roman"/>
          <w:sz w:val="24"/>
          <w:szCs w:val="24"/>
          <w:lang w:val="en-GB" w:eastAsia="cs-CZ"/>
        </w:rPr>
        <w:t xml:space="preserve">his should </w:t>
      </w:r>
      <w:r w:rsidRPr="00FA1502" w:rsidR="00642D35">
        <w:rPr>
          <w:rFonts w:ascii="Times New Roman" w:eastAsia="Times New Roman" w:hAnsi="Times New Roman" w:cs="Times New Roman"/>
          <w:sz w:val="24"/>
          <w:szCs w:val="24"/>
          <w:lang w:val="en-GB" w:eastAsia="cs-CZ"/>
        </w:rPr>
        <w:t xml:space="preserve">now </w:t>
      </w:r>
      <w:r w:rsidRPr="00FA1502">
        <w:rPr>
          <w:rFonts w:ascii="Times New Roman" w:eastAsia="Times New Roman" w:hAnsi="Times New Roman" w:cs="Times New Roman"/>
          <w:sz w:val="24"/>
          <w:szCs w:val="24"/>
          <w:lang w:val="en-GB" w:eastAsia="cs-CZ"/>
        </w:rPr>
        <w:t>be possible, but such a party loses the right to state contribution to contributions paid to pension insurance (i</w:t>
      </w:r>
      <w:r w:rsidRPr="00FA1502" w:rsidR="002B3427">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e. </w:t>
      </w:r>
      <w:r w:rsidRPr="00FA1502" w:rsidR="002B3427">
        <w:rPr>
          <w:rFonts w:ascii="Times New Roman" w:eastAsia="Times New Roman" w:hAnsi="Times New Roman" w:cs="Times New Roman"/>
          <w:sz w:val="24"/>
          <w:szCs w:val="24"/>
          <w:lang w:val="en-GB" w:eastAsia="cs-CZ"/>
        </w:rPr>
        <w:t>i</w:t>
      </w:r>
      <w:r w:rsidRPr="00FA1502">
        <w:rPr>
          <w:rFonts w:ascii="Times New Roman" w:eastAsia="Times New Roman" w:hAnsi="Times New Roman" w:cs="Times New Roman"/>
          <w:sz w:val="24"/>
          <w:szCs w:val="24"/>
          <w:lang w:val="en-GB" w:eastAsia="cs-CZ"/>
        </w:rPr>
        <w:t>n re</w:t>
      </w:r>
      <w:r w:rsidRPr="00FA1502" w:rsidR="002B3427">
        <w:rPr>
          <w:rFonts w:ascii="Times New Roman" w:eastAsia="Times New Roman" w:hAnsi="Times New Roman" w:cs="Times New Roman"/>
          <w:sz w:val="24"/>
          <w:szCs w:val="24"/>
          <w:lang w:val="en-GB" w:eastAsia="cs-CZ"/>
        </w:rPr>
        <w:t>lation to the transformed fund)</w:t>
      </w:r>
      <w:r w:rsidRPr="00FA1502">
        <w:rPr>
          <w:rFonts w:ascii="Times New Roman" w:eastAsia="Times New Roman" w:hAnsi="Times New Roman" w:cs="Times New Roman"/>
          <w:sz w:val="24"/>
          <w:szCs w:val="24"/>
          <w:lang w:val="en-GB" w:eastAsia="cs-CZ"/>
        </w:rPr>
        <w:t xml:space="preserve">. The restrictive provisions allowing </w:t>
      </w:r>
      <w:r w:rsidRPr="00FA1502" w:rsidR="009D7027">
        <w:rPr>
          <w:rFonts w:ascii="Times New Roman" w:eastAsia="Times New Roman" w:hAnsi="Times New Roman" w:cs="Times New Roman"/>
          <w:sz w:val="24"/>
          <w:szCs w:val="24"/>
          <w:lang w:val="en-GB" w:eastAsia="cs-CZ"/>
        </w:rPr>
        <w:t>the transfer of the participant’</w:t>
      </w:r>
      <w:r w:rsidRPr="00FA1502">
        <w:rPr>
          <w:rFonts w:ascii="Times New Roman" w:eastAsia="Times New Roman" w:hAnsi="Times New Roman" w:cs="Times New Roman"/>
          <w:sz w:val="24"/>
          <w:szCs w:val="24"/>
          <w:lang w:val="en-GB" w:eastAsia="cs-CZ"/>
        </w:rPr>
        <w:t>s funds from the tr</w:t>
      </w:r>
      <w:r w:rsidRPr="00FA1502" w:rsidR="009D7027">
        <w:rPr>
          <w:rFonts w:ascii="Times New Roman" w:eastAsia="Times New Roman" w:hAnsi="Times New Roman" w:cs="Times New Roman"/>
          <w:sz w:val="24"/>
          <w:szCs w:val="24"/>
          <w:lang w:val="en-GB" w:eastAsia="cs-CZ"/>
        </w:rPr>
        <w:t>ansformed fund to the participa</w:t>
      </w:r>
      <w:r w:rsidRPr="00FA1502">
        <w:rPr>
          <w:rFonts w:ascii="Times New Roman" w:eastAsia="Times New Roman" w:hAnsi="Times New Roman" w:cs="Times New Roman"/>
          <w:sz w:val="24"/>
          <w:szCs w:val="24"/>
          <w:lang w:val="en-GB" w:eastAsia="cs-CZ"/>
        </w:rPr>
        <w:t>t</w:t>
      </w:r>
      <w:r w:rsidRPr="00FA1502" w:rsidR="009D7027">
        <w:rPr>
          <w:rFonts w:ascii="Times New Roman" w:eastAsia="Times New Roman" w:hAnsi="Times New Roman" w:cs="Times New Roman"/>
          <w:sz w:val="24"/>
          <w:szCs w:val="24"/>
          <w:lang w:val="en-GB" w:eastAsia="cs-CZ"/>
        </w:rPr>
        <w:t>ion</w:t>
      </w:r>
      <w:r w:rsidRPr="00FA1502">
        <w:rPr>
          <w:rFonts w:ascii="Times New Roman" w:eastAsia="Times New Roman" w:hAnsi="Times New Roman" w:cs="Times New Roman"/>
          <w:sz w:val="24"/>
          <w:szCs w:val="24"/>
          <w:lang w:val="en-GB" w:eastAsia="cs-CZ"/>
        </w:rPr>
        <w:t xml:space="preserve"> funds by concluding a supplementary pension savings contract only with the pension company that managed the transformed fund</w:t>
      </w:r>
      <w:r w:rsidRPr="00FA1502" w:rsidR="009D7027">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are repealed. Another accompanying measure addresses not counting the same saving time twice. It is possible to transfer assets from the transformed fund to the participa</w:t>
      </w:r>
      <w:r w:rsidRPr="00FA1502" w:rsidR="00327B5F">
        <w:rPr>
          <w:rFonts w:ascii="Times New Roman" w:eastAsia="Times New Roman" w:hAnsi="Times New Roman" w:cs="Times New Roman"/>
          <w:sz w:val="24"/>
          <w:szCs w:val="24"/>
          <w:lang w:val="en-GB" w:eastAsia="cs-CZ"/>
        </w:rPr>
        <w:t>tion funds</w:t>
      </w:r>
      <w:r w:rsidRPr="00FA1502">
        <w:rPr>
          <w:rFonts w:ascii="Times New Roman" w:eastAsia="Times New Roman" w:hAnsi="Times New Roman" w:cs="Times New Roman"/>
          <w:sz w:val="24"/>
          <w:szCs w:val="24"/>
          <w:lang w:val="en-GB" w:eastAsia="cs-CZ"/>
        </w:rPr>
        <w:t xml:space="preserve">, the reverse transfer is not allowed. It is possible to transfer from the transformed fund to the </w:t>
      </w:r>
      <w:r w:rsidRPr="00FA1502" w:rsidR="00327B5F">
        <w:rPr>
          <w:rFonts w:ascii="Times New Roman" w:eastAsia="Times New Roman" w:hAnsi="Times New Roman" w:cs="Times New Roman"/>
          <w:sz w:val="24"/>
          <w:szCs w:val="24"/>
          <w:lang w:val="en-GB" w:eastAsia="cs-CZ"/>
        </w:rPr>
        <w:t>participation</w:t>
      </w:r>
      <w:r w:rsidRPr="00FA1502">
        <w:rPr>
          <w:rFonts w:ascii="Times New Roman" w:eastAsia="Times New Roman" w:hAnsi="Times New Roman" w:cs="Times New Roman"/>
          <w:sz w:val="24"/>
          <w:szCs w:val="24"/>
          <w:lang w:val="en-GB" w:eastAsia="cs-CZ"/>
        </w:rPr>
        <w:t xml:space="preserve"> fund of another pension company. The aim of these changes is to support the mobility of participants from transformed funds to participant funds.</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 12 </w:t>
      </w:r>
      <w:r w:rsidRPr="00FA1502" w:rsidR="00B76AEB">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192 (3)</w:t>
      </w:r>
      <w:r w:rsidRPr="00FA1502" w:rsidR="00B76AEB">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This is a </w:t>
      </w:r>
      <w:r w:rsidRPr="00FA1502" w:rsidR="004965AE">
        <w:rPr>
          <w:rFonts w:ascii="Times New Roman" w:eastAsia="Times New Roman" w:hAnsi="Times New Roman" w:cs="Times New Roman"/>
          <w:sz w:val="24"/>
          <w:szCs w:val="24"/>
          <w:lang w:val="en-GB" w:eastAsia="cs-CZ"/>
        </w:rPr>
        <w:t>clarification</w:t>
      </w:r>
      <w:r w:rsidRPr="00FA1502">
        <w:rPr>
          <w:rFonts w:ascii="Times New Roman" w:eastAsia="Times New Roman" w:hAnsi="Times New Roman" w:cs="Times New Roman"/>
          <w:sz w:val="24"/>
          <w:szCs w:val="24"/>
          <w:lang w:val="en-GB" w:eastAsia="cs-CZ"/>
        </w:rPr>
        <w:t xml:space="preserve"> of the provisions on th</w:t>
      </w:r>
      <w:r w:rsidRPr="00FA1502" w:rsidR="004965AE">
        <w:rPr>
          <w:rFonts w:ascii="Times New Roman" w:eastAsia="Times New Roman" w:hAnsi="Times New Roman" w:cs="Times New Roman"/>
          <w:sz w:val="24"/>
          <w:szCs w:val="24"/>
          <w:lang w:val="en-GB" w:eastAsia="cs-CZ"/>
        </w:rPr>
        <w:t>e calculation of a pension fund’</w:t>
      </w:r>
      <w:r w:rsidRPr="00FA1502">
        <w:rPr>
          <w:rFonts w:ascii="Times New Roman" w:eastAsia="Times New Roman" w:hAnsi="Times New Roman" w:cs="Times New Roman"/>
          <w:sz w:val="24"/>
          <w:szCs w:val="24"/>
          <w:lang w:val="en-GB" w:eastAsia="cs-CZ"/>
        </w:rPr>
        <w:t xml:space="preserve">s remuneration from the profits of a transformed fund so that it is clear that it generally applies to any profit or loss of the transformed fund, whether in the current or previous financial years, and </w:t>
      </w:r>
      <w:r w:rsidRPr="00FA1502" w:rsidR="004965AE">
        <w:rPr>
          <w:rFonts w:ascii="Times New Roman" w:eastAsia="Times New Roman" w:hAnsi="Times New Roman" w:cs="Times New Roman"/>
          <w:sz w:val="24"/>
          <w:szCs w:val="24"/>
          <w:lang w:val="en-GB" w:eastAsia="cs-CZ"/>
        </w:rPr>
        <w:t>how to proceed when calculating the remuneration</w:t>
      </w:r>
      <w:r w:rsidRPr="00FA1502">
        <w:rPr>
          <w:rFonts w:ascii="Times New Roman" w:eastAsia="Times New Roman" w:hAnsi="Times New Roman" w:cs="Times New Roman"/>
          <w:sz w:val="24"/>
          <w:szCs w:val="24"/>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 </w:t>
      </w:r>
    </w:p>
    <w:p w:rsidR="00176359" w:rsidRPr="00FA1502" w:rsidP="00A7116F">
      <w:pPr>
        <w:keepNext/>
        <w:widowControl w:val="0"/>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 xml:space="preserve">Part </w:t>
      </w:r>
      <w:r w:rsidRPr="00FA1502" w:rsidR="009B2D94">
        <w:rPr>
          <w:rFonts w:ascii="Times New Roman" w:eastAsia="Times New Roman" w:hAnsi="Times New Roman" w:cs="Times New Roman"/>
          <w:b/>
          <w:bCs/>
          <w:sz w:val="24"/>
          <w:szCs w:val="24"/>
          <w:lang w:val="en-GB" w:eastAsia="cs-CZ"/>
        </w:rPr>
        <w:t>ten</w:t>
      </w:r>
      <w:r w:rsidRPr="00FA1502">
        <w:rPr>
          <w:rFonts w:ascii="Times New Roman" w:eastAsia="Times New Roman" w:hAnsi="Times New Roman" w:cs="Times New Roman"/>
          <w:b/>
          <w:bCs/>
          <w:sz w:val="24"/>
          <w:szCs w:val="24"/>
          <w:lang w:val="en-GB" w:eastAsia="cs-CZ"/>
        </w:rPr>
        <w:t>, Article XI </w:t>
      </w:r>
    </w:p>
    <w:p w:rsidR="00176359" w:rsidRPr="00FA1502" w:rsidP="00A7116F">
      <w:pPr>
        <w:keepNext/>
        <w:widowControl w:val="0"/>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 xml:space="preserve">Amendment to the Act on </w:t>
      </w:r>
      <w:r w:rsidRPr="00FA1502" w:rsidR="002A379C">
        <w:rPr>
          <w:rFonts w:ascii="Times New Roman" w:eastAsia="Times New Roman" w:hAnsi="Times New Roman" w:cs="Times New Roman"/>
          <w:b/>
          <w:bCs/>
          <w:sz w:val="24"/>
          <w:szCs w:val="24"/>
          <w:lang w:val="en-GB" w:eastAsia="cs-CZ"/>
        </w:rPr>
        <w:t>Management Companies and Investment Funds</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points 1 and 2 [</w:t>
      </w:r>
      <w:r w:rsidRPr="00FA1502" w:rsidR="002A379C">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11 </w:t>
      </w:r>
      <w:r w:rsidRPr="00FA1502" w:rsidR="002A379C">
        <w:rPr>
          <w:rFonts w:ascii="Times New Roman" w:eastAsia="Times New Roman" w:hAnsi="Times New Roman" w:cs="Times New Roman"/>
          <w:b/>
          <w:bCs/>
          <w:sz w:val="24"/>
          <w:szCs w:val="24"/>
          <w:u w:val="single"/>
          <w:lang w:val="en-GB" w:eastAsia="cs-CZ"/>
        </w:rPr>
        <w:t>(1) (a)</w:t>
      </w:r>
      <w:r w:rsidRPr="00FA1502">
        <w:rPr>
          <w:rFonts w:ascii="Times New Roman" w:eastAsia="Times New Roman" w:hAnsi="Times New Roman" w:cs="Times New Roman"/>
          <w:b/>
          <w:bCs/>
          <w:sz w:val="24"/>
          <w:szCs w:val="24"/>
          <w:u w:val="single"/>
          <w:lang w:val="en-GB" w:eastAsia="cs-CZ"/>
        </w:rPr>
        <w:t xml:space="preserve"> and </w:t>
      </w:r>
      <w:r w:rsidRPr="00FA1502" w:rsidR="002A379C">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b)]:</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amendment states that an investment company may carry out, on the basis of a mandate, individual activities involving the management or administration of an investment fund, even </w:t>
      </w:r>
      <w:r w:rsidRPr="00FA1502">
        <w:rPr>
          <w:rFonts w:ascii="Times New Roman" w:eastAsia="Times New Roman" w:hAnsi="Times New Roman" w:cs="Times New Roman"/>
          <w:sz w:val="24"/>
          <w:szCs w:val="24"/>
          <w:lang w:val="en-GB" w:eastAsia="cs-CZ"/>
        </w:rPr>
        <w:t xml:space="preserve">for an investment fund that is managed by another person or administered by another person </w:t>
      </w:r>
      <w:r w:rsidRPr="00FA1502" w:rsidR="00D17198">
        <w:rPr>
          <w:rFonts w:ascii="Times New Roman" w:eastAsia="Times New Roman" w:hAnsi="Times New Roman" w:cs="Times New Roman"/>
          <w:sz w:val="24"/>
          <w:szCs w:val="24"/>
          <w:lang w:val="en-GB" w:eastAsia="cs-CZ"/>
        </w:rPr>
        <w:t xml:space="preserve">in connection with permission to manage or administer </w:t>
      </w:r>
      <w:r w:rsidRPr="00FA1502">
        <w:rPr>
          <w:rFonts w:ascii="Times New Roman" w:eastAsia="Times New Roman" w:hAnsi="Times New Roman" w:cs="Times New Roman"/>
          <w:sz w:val="24"/>
          <w:szCs w:val="24"/>
          <w:lang w:val="en-GB" w:eastAsia="cs-CZ"/>
        </w:rPr>
        <w:t>investment funds [i</w:t>
      </w:r>
      <w:r w:rsidRPr="00FA1502" w:rsidR="00D17198">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D17198">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t>
      </w:r>
      <w:r w:rsidRPr="00FA1502" w:rsidR="00D17198">
        <w:rPr>
          <w:rFonts w:ascii="Times New Roman" w:eastAsia="Times New Roman" w:hAnsi="Times New Roman" w:cs="Times New Roman"/>
          <w:sz w:val="24"/>
          <w:szCs w:val="24"/>
          <w:lang w:val="en-GB" w:eastAsia="cs-CZ"/>
        </w:rPr>
        <w:t xml:space="preserve">Section </w:t>
      </w:r>
      <w:r w:rsidRPr="00FA1502">
        <w:rPr>
          <w:rFonts w:ascii="Times New Roman" w:eastAsia="Times New Roman" w:hAnsi="Times New Roman" w:cs="Times New Roman"/>
          <w:sz w:val="24"/>
          <w:szCs w:val="24"/>
          <w:lang w:val="en-GB" w:eastAsia="cs-CZ"/>
        </w:rPr>
        <w:t>11</w:t>
      </w:r>
      <w:r w:rsidRPr="00FA1502" w:rsidR="00D17198">
        <w:rPr>
          <w:rFonts w:ascii="Times New Roman" w:eastAsia="Times New Roman" w:hAnsi="Times New Roman" w:cs="Times New Roman"/>
          <w:sz w:val="24"/>
          <w:szCs w:val="24"/>
          <w:lang w:val="en-GB" w:eastAsia="cs-CZ"/>
        </w:rPr>
        <w:t xml:space="preserve"> (1) (</w:t>
      </w:r>
      <w:r w:rsidRPr="00FA1502">
        <w:rPr>
          <w:rFonts w:ascii="Times New Roman" w:eastAsia="Times New Roman" w:hAnsi="Times New Roman" w:cs="Times New Roman"/>
          <w:sz w:val="24"/>
          <w:szCs w:val="24"/>
          <w:lang w:val="en-GB" w:eastAsia="cs-CZ"/>
        </w:rPr>
        <w:t xml:space="preserve">a) and </w:t>
      </w:r>
      <w:r w:rsidRPr="00FA1502" w:rsidR="00D17198">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b) </w:t>
      </w:r>
      <w:r w:rsidRPr="00FA1502" w:rsidR="00D17198">
        <w:rPr>
          <w:rFonts w:ascii="Times New Roman" w:eastAsia="Times New Roman" w:hAnsi="Times New Roman" w:cs="Times New Roman"/>
          <w:sz w:val="24"/>
          <w:szCs w:val="24"/>
          <w:lang w:val="en-GB" w:eastAsia="cs-CZ"/>
        </w:rPr>
        <w:t>of</w:t>
      </w:r>
      <w:r w:rsidRPr="00FA1502">
        <w:rPr>
          <w:rFonts w:ascii="Times New Roman" w:eastAsia="Times New Roman" w:hAnsi="Times New Roman" w:cs="Times New Roman"/>
          <w:sz w:val="24"/>
          <w:szCs w:val="24"/>
          <w:lang w:val="en-GB" w:eastAsia="cs-CZ"/>
        </w:rPr>
        <w:t xml:space="preserve"> ZISIF] without the need to have an authorization to provide </w:t>
      </w:r>
      <w:r w:rsidRPr="00FA1502" w:rsidR="00D17198">
        <w:rPr>
          <w:rFonts w:ascii="Times New Roman" w:eastAsia="Times New Roman" w:hAnsi="Times New Roman" w:cs="Times New Roman"/>
          <w:sz w:val="24"/>
          <w:szCs w:val="24"/>
          <w:lang w:val="en-GB" w:eastAsia="cs-CZ"/>
        </w:rPr>
        <w:t>investment services pursuant to Section</w:t>
      </w:r>
      <w:r w:rsidRPr="00FA1502">
        <w:rPr>
          <w:rFonts w:ascii="Times New Roman" w:eastAsia="Times New Roman" w:hAnsi="Times New Roman" w:cs="Times New Roman"/>
          <w:sz w:val="24"/>
          <w:szCs w:val="24"/>
          <w:lang w:val="en-GB" w:eastAsia="cs-CZ"/>
        </w:rPr>
        <w:t xml:space="preserve"> 11 </w:t>
      </w:r>
      <w:r w:rsidRPr="00FA1502" w:rsidR="00D17198">
        <w:rPr>
          <w:rFonts w:ascii="Times New Roman" w:eastAsia="Times New Roman" w:hAnsi="Times New Roman" w:cs="Times New Roman"/>
          <w:sz w:val="24"/>
          <w:szCs w:val="24"/>
          <w:lang w:val="en-GB" w:eastAsia="cs-CZ"/>
        </w:rPr>
        <w:t>(1)</w:t>
      </w:r>
      <w:r w:rsidRPr="00FA1502">
        <w:rPr>
          <w:rFonts w:ascii="Times New Roman" w:eastAsia="Times New Roman" w:hAnsi="Times New Roman" w:cs="Times New Roman"/>
          <w:sz w:val="24"/>
          <w:szCs w:val="24"/>
          <w:lang w:val="en-GB" w:eastAsia="cs-CZ"/>
        </w:rPr>
        <w:t xml:space="preserve"> </w:t>
      </w:r>
      <w:r w:rsidRPr="00FA1502" w:rsidR="00D17198">
        <w:rPr>
          <w:rFonts w:ascii="Times New Roman" w:eastAsia="Times New Roman" w:hAnsi="Times New Roman" w:cs="Times New Roman"/>
          <w:sz w:val="24"/>
          <w:szCs w:val="24"/>
          <w:lang w:val="en-GB" w:eastAsia="cs-CZ"/>
        </w:rPr>
        <w:t xml:space="preserve">(c) </w:t>
      </w:r>
      <w:r w:rsidRPr="00FA1502">
        <w:rPr>
          <w:rFonts w:ascii="Times New Roman" w:eastAsia="Times New Roman" w:hAnsi="Times New Roman" w:cs="Times New Roman"/>
          <w:sz w:val="24"/>
          <w:szCs w:val="24"/>
          <w:lang w:val="en-GB" w:eastAsia="cs-CZ"/>
        </w:rPr>
        <w:t xml:space="preserve">to </w:t>
      </w:r>
      <w:r w:rsidRPr="00FA1502" w:rsidR="00D17198">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f) </w:t>
      </w:r>
      <w:r w:rsidRPr="00FA1502" w:rsidR="00D17198">
        <w:rPr>
          <w:rFonts w:ascii="Times New Roman" w:eastAsia="Times New Roman" w:hAnsi="Times New Roman" w:cs="Times New Roman"/>
          <w:sz w:val="24"/>
          <w:szCs w:val="24"/>
          <w:lang w:val="en-GB" w:eastAsia="cs-CZ"/>
        </w:rPr>
        <w:t xml:space="preserve">of </w:t>
      </w:r>
      <w:r w:rsidRPr="00FA1502">
        <w:rPr>
          <w:rFonts w:ascii="Times New Roman" w:eastAsia="Times New Roman" w:hAnsi="Times New Roman" w:cs="Times New Roman"/>
          <w:sz w:val="24"/>
          <w:szCs w:val="24"/>
          <w:lang w:val="en-GB" w:eastAsia="cs-CZ"/>
        </w:rPr>
        <w:t xml:space="preserve">ZISIF. The same approach will also be applied to emerging </w:t>
      </w:r>
      <w:r w:rsidRPr="00FA1502" w:rsidR="00D17198">
        <w:rPr>
          <w:rFonts w:ascii="Times New Roman" w:eastAsia="Times New Roman" w:hAnsi="Times New Roman" w:cs="Times New Roman"/>
          <w:sz w:val="24"/>
          <w:szCs w:val="24"/>
          <w:lang w:val="en-GB" w:eastAsia="cs-CZ"/>
        </w:rPr>
        <w:t xml:space="preserve">investment funds </w:t>
      </w:r>
      <w:r w:rsidRPr="00FA1502">
        <w:rPr>
          <w:rFonts w:ascii="Times New Roman" w:eastAsia="Times New Roman" w:hAnsi="Times New Roman" w:cs="Times New Roman"/>
          <w:sz w:val="24"/>
          <w:szCs w:val="24"/>
          <w:lang w:val="en-GB" w:eastAsia="cs-CZ"/>
        </w:rPr>
        <w:t>(e</w:t>
      </w:r>
      <w:r w:rsidRPr="00FA1502" w:rsidR="00D17198">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g</w:t>
      </w:r>
      <w:r w:rsidRPr="00FA1502" w:rsidR="00D17198">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preparation of license documentation), as the general wording of the proposed provision </w:t>
      </w:r>
      <w:r w:rsidRPr="00FA1502" w:rsidR="00D17198">
        <w:rPr>
          <w:rFonts w:ascii="Times New Roman" w:eastAsia="Times New Roman" w:hAnsi="Times New Roman" w:cs="Times New Roman"/>
          <w:sz w:val="24"/>
          <w:szCs w:val="24"/>
          <w:lang w:val="en-GB" w:eastAsia="cs-CZ"/>
        </w:rPr>
        <w:t>involves</w:t>
      </w:r>
      <w:r w:rsidRPr="00FA1502">
        <w:rPr>
          <w:rFonts w:ascii="Times New Roman" w:eastAsia="Times New Roman" w:hAnsi="Times New Roman" w:cs="Times New Roman"/>
          <w:sz w:val="24"/>
          <w:szCs w:val="24"/>
          <w:lang w:val="en-GB" w:eastAsia="cs-CZ"/>
        </w:rPr>
        <w:t xml:space="preserve"> all sub-activities that would include management or administration for the </w:t>
      </w:r>
      <w:r w:rsidRPr="00FA1502" w:rsidR="00D17198">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own</w:t>
      </w:r>
      <w:r w:rsidRPr="00FA1502" w:rsidR="00D17198">
        <w:rPr>
          <w:rFonts w:ascii="Times New Roman" w:eastAsia="Times New Roman" w:hAnsi="Times New Roman" w:cs="Times New Roman"/>
          <w:sz w:val="24"/>
          <w:szCs w:val="24"/>
          <w:lang w:val="en-GB" w:eastAsia="cs-CZ"/>
        </w:rPr>
        <w:t>” investment fund</w:t>
      </w:r>
      <w:r w:rsidRPr="00FA1502">
        <w:rPr>
          <w:rFonts w:ascii="Times New Roman" w:eastAsia="Times New Roman" w:hAnsi="Times New Roman" w:cs="Times New Roman"/>
          <w:sz w:val="24"/>
          <w:szCs w:val="24"/>
          <w:lang w:val="en-GB" w:eastAsia="cs-CZ"/>
        </w:rPr>
        <w:t xml:space="preserve">. However, the authorized person shall not be deemed to be the manager or administrator of the investment fund concerned. This approach is consistent with the interpretation of European legislation, as well as some other EU </w:t>
      </w:r>
      <w:r w:rsidRPr="00FA1502" w:rsidR="009D5E7A">
        <w:rPr>
          <w:rFonts w:ascii="Times New Roman" w:eastAsia="Times New Roman" w:hAnsi="Times New Roman" w:cs="Times New Roman"/>
          <w:sz w:val="24"/>
          <w:szCs w:val="24"/>
          <w:lang w:val="en-GB" w:eastAsia="cs-CZ"/>
        </w:rPr>
        <w:t>m</w:t>
      </w:r>
      <w:r w:rsidRPr="00FA1502">
        <w:rPr>
          <w:rFonts w:ascii="Times New Roman" w:eastAsia="Times New Roman" w:hAnsi="Times New Roman" w:cs="Times New Roman"/>
          <w:sz w:val="24"/>
          <w:szCs w:val="24"/>
          <w:lang w:val="en-GB" w:eastAsia="cs-CZ"/>
        </w:rPr>
        <w:t xml:space="preserve">ember </w:t>
      </w:r>
      <w:r w:rsidRPr="00FA1502" w:rsidR="009D5E7A">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tates (e</w:t>
      </w:r>
      <w:r w:rsidRPr="00FA1502" w:rsidR="009D5E7A">
        <w:rPr>
          <w:rFonts w:ascii="Times New Roman" w:eastAsia="Times New Roman" w:hAnsi="Times New Roman" w:cs="Times New Roman"/>
          <w:sz w:val="24"/>
          <w:szCs w:val="24"/>
          <w:lang w:val="en-GB" w:eastAsia="cs-CZ"/>
        </w:rPr>
        <w:t>.g</w:t>
      </w:r>
      <w:r w:rsidRPr="00FA1502">
        <w:rPr>
          <w:rFonts w:ascii="Times New Roman" w:eastAsia="Times New Roman" w:hAnsi="Times New Roman" w:cs="Times New Roman"/>
          <w:sz w:val="24"/>
          <w:szCs w:val="24"/>
          <w:lang w:val="en-GB" w:eastAsia="cs-CZ"/>
        </w:rPr>
        <w:t xml:space="preserve">. Luxembourg) and </w:t>
      </w:r>
      <w:r w:rsidRPr="00FA1502" w:rsidR="009D5E7A">
        <w:rPr>
          <w:rFonts w:ascii="Times New Roman" w:eastAsia="Times New Roman" w:hAnsi="Times New Roman" w:cs="Times New Roman"/>
          <w:sz w:val="24"/>
          <w:szCs w:val="24"/>
          <w:lang w:val="en-GB" w:eastAsia="cs-CZ"/>
        </w:rPr>
        <w:t xml:space="preserve">shall </w:t>
      </w:r>
      <w:r w:rsidRPr="00FA1502">
        <w:rPr>
          <w:rFonts w:ascii="Times New Roman" w:eastAsia="Times New Roman" w:hAnsi="Times New Roman" w:cs="Times New Roman"/>
          <w:sz w:val="24"/>
          <w:szCs w:val="24"/>
          <w:lang w:val="en-GB" w:eastAsia="cs-CZ"/>
        </w:rPr>
        <w:t>increas</w:t>
      </w:r>
      <w:r w:rsidRPr="00FA1502" w:rsidR="009D5E7A">
        <w:rPr>
          <w:rFonts w:ascii="Times New Roman" w:eastAsia="Times New Roman" w:hAnsi="Times New Roman" w:cs="Times New Roman"/>
          <w:sz w:val="24"/>
          <w:szCs w:val="24"/>
          <w:lang w:val="en-GB" w:eastAsia="cs-CZ"/>
        </w:rPr>
        <w:t>e</w:t>
      </w:r>
      <w:r w:rsidRPr="00FA1502">
        <w:rPr>
          <w:rFonts w:ascii="Times New Roman" w:eastAsia="Times New Roman" w:hAnsi="Times New Roman" w:cs="Times New Roman"/>
          <w:sz w:val="24"/>
          <w:szCs w:val="24"/>
          <w:lang w:val="en-GB" w:eastAsia="cs-CZ"/>
        </w:rPr>
        <w:t xml:space="preserve"> competitiveness </w:t>
      </w:r>
      <w:r w:rsidRPr="00FA1502" w:rsidR="009D5E7A">
        <w:rPr>
          <w:rFonts w:ascii="Times New Roman" w:eastAsia="Times New Roman" w:hAnsi="Times New Roman" w:cs="Times New Roman"/>
          <w:sz w:val="24"/>
          <w:szCs w:val="24"/>
          <w:lang w:val="en-GB" w:eastAsia="cs-CZ"/>
        </w:rPr>
        <w:t>o</w:t>
      </w:r>
      <w:r w:rsidRPr="00FA1502">
        <w:rPr>
          <w:rFonts w:ascii="Times New Roman" w:eastAsia="Times New Roman" w:hAnsi="Times New Roman" w:cs="Times New Roman"/>
          <w:sz w:val="24"/>
          <w:szCs w:val="24"/>
          <w:lang w:val="en-GB" w:eastAsia="cs-CZ"/>
        </w:rPr>
        <w:t xml:space="preserve">f domestic entities. At the same time, it is assured that </w:t>
      </w:r>
      <w:r w:rsidRPr="00FA1502" w:rsidR="00F44CE5">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the </w:t>
      </w:r>
      <w:r w:rsidRPr="00FA1502" w:rsidR="00F44CE5">
        <w:rPr>
          <w:rFonts w:ascii="Times New Roman" w:eastAsia="Times New Roman" w:hAnsi="Times New Roman" w:cs="Times New Roman"/>
          <w:sz w:val="24"/>
          <w:szCs w:val="24"/>
          <w:lang w:val="en-GB" w:eastAsia="cs-CZ"/>
        </w:rPr>
        <w:t>carrying out</w:t>
      </w:r>
      <w:r w:rsidRPr="00FA1502">
        <w:rPr>
          <w:rFonts w:ascii="Times New Roman" w:eastAsia="Times New Roman" w:hAnsi="Times New Roman" w:cs="Times New Roman"/>
          <w:sz w:val="24"/>
          <w:szCs w:val="24"/>
          <w:lang w:val="en-GB" w:eastAsia="cs-CZ"/>
        </w:rPr>
        <w:t xml:space="preserve"> of management or administration sub-activities</w:t>
      </w:r>
      <w:r w:rsidRPr="00FA1502" w:rsidR="00F44CE5">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means only the </w:t>
      </w:r>
      <w:r w:rsidRPr="00FA1502" w:rsidR="00F44CE5">
        <w:rPr>
          <w:rFonts w:ascii="Times New Roman" w:eastAsia="Times New Roman" w:hAnsi="Times New Roman" w:cs="Times New Roman"/>
          <w:sz w:val="24"/>
          <w:szCs w:val="24"/>
          <w:lang w:val="en-GB" w:eastAsia="cs-CZ"/>
        </w:rPr>
        <w:t xml:space="preserve">carrying out </w:t>
      </w:r>
      <w:r w:rsidRPr="00FA1502">
        <w:rPr>
          <w:rFonts w:ascii="Times New Roman" w:eastAsia="Times New Roman" w:hAnsi="Times New Roman" w:cs="Times New Roman"/>
          <w:sz w:val="24"/>
          <w:szCs w:val="24"/>
          <w:lang w:val="en-GB" w:eastAsia="cs-CZ"/>
        </w:rPr>
        <w:t xml:space="preserve">of those activities </w:t>
      </w:r>
      <w:r w:rsidRPr="00FA1502" w:rsidR="00F44CE5">
        <w:rPr>
          <w:rFonts w:ascii="Times New Roman" w:eastAsia="Times New Roman" w:hAnsi="Times New Roman" w:cs="Times New Roman"/>
          <w:sz w:val="24"/>
          <w:szCs w:val="24"/>
          <w:lang w:val="en-GB" w:eastAsia="cs-CZ"/>
        </w:rPr>
        <w:t>towards th</w:t>
      </w:r>
      <w:r w:rsidRPr="00FA1502">
        <w:rPr>
          <w:rFonts w:ascii="Times New Roman" w:eastAsia="Times New Roman" w:hAnsi="Times New Roman" w:cs="Times New Roman"/>
          <w:sz w:val="24"/>
          <w:szCs w:val="24"/>
          <w:lang w:val="en-GB" w:eastAsia="cs-CZ"/>
        </w:rPr>
        <w:t xml:space="preserve">e investment fund, not the </w:t>
      </w:r>
      <w:r w:rsidRPr="00FA1502" w:rsidR="00F44CE5">
        <w:rPr>
          <w:rFonts w:ascii="Times New Roman" w:eastAsia="Times New Roman" w:hAnsi="Times New Roman" w:cs="Times New Roman"/>
          <w:sz w:val="24"/>
          <w:szCs w:val="24"/>
          <w:lang w:val="en-GB" w:eastAsia="cs-CZ"/>
        </w:rPr>
        <w:t>carrying out o</w:t>
      </w:r>
      <w:r w:rsidRPr="00FA1502">
        <w:rPr>
          <w:rFonts w:ascii="Times New Roman" w:eastAsia="Times New Roman" w:hAnsi="Times New Roman" w:cs="Times New Roman"/>
          <w:sz w:val="24"/>
          <w:szCs w:val="24"/>
          <w:lang w:val="en-GB" w:eastAsia="cs-CZ"/>
        </w:rPr>
        <w:t>f those activities for other entities (e</w:t>
      </w:r>
      <w:r w:rsidRPr="00FA1502" w:rsidR="001950CC">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g</w:t>
      </w:r>
      <w:r w:rsidRPr="00FA1502" w:rsidR="001950CC">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insurance companies). In these cases, the activities </w:t>
      </w:r>
      <w:r w:rsidRPr="00FA1502" w:rsidR="00ED3C96">
        <w:rPr>
          <w:rFonts w:ascii="Times New Roman" w:eastAsia="Times New Roman" w:hAnsi="Times New Roman" w:cs="Times New Roman"/>
          <w:sz w:val="24"/>
          <w:szCs w:val="24"/>
          <w:lang w:val="en-GB" w:eastAsia="cs-CZ"/>
        </w:rPr>
        <w:t xml:space="preserve">must </w:t>
      </w:r>
      <w:r w:rsidRPr="00FA1502">
        <w:rPr>
          <w:rFonts w:ascii="Times New Roman" w:eastAsia="Times New Roman" w:hAnsi="Times New Roman" w:cs="Times New Roman"/>
          <w:sz w:val="24"/>
          <w:szCs w:val="24"/>
          <w:lang w:val="en-GB" w:eastAsia="cs-CZ"/>
        </w:rPr>
        <w:t xml:space="preserve">be performed as activities pursuant to </w:t>
      </w:r>
      <w:r w:rsidRPr="00FA1502" w:rsidR="00ED3C96">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11 </w:t>
      </w:r>
      <w:r w:rsidRPr="00FA1502" w:rsidR="00ED3C96">
        <w:rPr>
          <w:rFonts w:ascii="Times New Roman" w:eastAsia="Times New Roman" w:hAnsi="Times New Roman" w:cs="Times New Roman"/>
          <w:sz w:val="24"/>
          <w:szCs w:val="24"/>
          <w:lang w:val="en-GB" w:eastAsia="cs-CZ"/>
        </w:rPr>
        <w:t>(1)</w:t>
      </w:r>
      <w:r w:rsidRPr="00FA1502">
        <w:rPr>
          <w:rFonts w:ascii="Times New Roman" w:eastAsia="Times New Roman" w:hAnsi="Times New Roman" w:cs="Times New Roman"/>
          <w:sz w:val="24"/>
          <w:szCs w:val="24"/>
          <w:lang w:val="en-GB" w:eastAsia="cs-CZ"/>
        </w:rPr>
        <w:t xml:space="preserve"> </w:t>
      </w:r>
      <w:r w:rsidRPr="00FA1502" w:rsidR="00ED3C96">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c) to </w:t>
      </w:r>
      <w:r w:rsidRPr="00FA1502" w:rsidR="00ED3C96">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f) </w:t>
      </w:r>
      <w:r w:rsidRPr="00FA1502" w:rsidR="00ED3C96">
        <w:rPr>
          <w:rFonts w:ascii="Times New Roman" w:eastAsia="Times New Roman" w:hAnsi="Times New Roman" w:cs="Times New Roman"/>
          <w:sz w:val="24"/>
          <w:szCs w:val="24"/>
          <w:lang w:val="en-GB" w:eastAsia="cs-CZ"/>
        </w:rPr>
        <w:t xml:space="preserve">of </w:t>
      </w:r>
      <w:r w:rsidRPr="00FA1502">
        <w:rPr>
          <w:rFonts w:ascii="Times New Roman" w:eastAsia="Times New Roman" w:hAnsi="Times New Roman" w:cs="Times New Roman"/>
          <w:sz w:val="24"/>
          <w:szCs w:val="24"/>
          <w:lang w:val="en-GB" w:eastAsia="cs-CZ"/>
        </w:rPr>
        <w:t>ZISIF (i</w:t>
      </w:r>
      <w:r w:rsidRPr="00FA1502" w:rsidR="00C656E2">
        <w:rPr>
          <w:rFonts w:ascii="Times New Roman" w:eastAsia="Times New Roman" w:hAnsi="Times New Roman" w:cs="Times New Roman"/>
          <w:sz w:val="24"/>
          <w:szCs w:val="24"/>
          <w:lang w:val="en-GB" w:eastAsia="cs-CZ"/>
        </w:rPr>
        <w:t xml:space="preserve">.e. </w:t>
      </w:r>
      <w:r w:rsidRPr="00FA1502">
        <w:rPr>
          <w:rFonts w:ascii="Times New Roman" w:eastAsia="Times New Roman" w:hAnsi="Times New Roman" w:cs="Times New Roman"/>
          <w:sz w:val="24"/>
          <w:szCs w:val="24"/>
          <w:lang w:val="en-GB" w:eastAsia="cs-CZ"/>
        </w:rPr>
        <w:t xml:space="preserve">as investment services). It is not a substantive change, only a clarification of the existing legislation, the </w:t>
      </w:r>
      <w:r w:rsidRPr="00FA1502" w:rsidR="005B1FA0">
        <w:rPr>
          <w:rFonts w:ascii="Times New Roman" w:eastAsia="Times New Roman" w:hAnsi="Times New Roman" w:cs="Times New Roman"/>
          <w:sz w:val="24"/>
          <w:szCs w:val="24"/>
          <w:lang w:val="en-GB" w:eastAsia="cs-CZ"/>
        </w:rPr>
        <w:t>pre</w:t>
      </w:r>
      <w:r w:rsidRPr="00FA1502" w:rsidR="000230E6">
        <w:rPr>
          <w:rFonts w:ascii="Times New Roman" w:eastAsia="Times New Roman" w:hAnsi="Times New Roman" w:cs="Times New Roman"/>
          <w:sz w:val="24"/>
          <w:szCs w:val="24"/>
          <w:lang w:val="en-GB" w:eastAsia="cs-CZ"/>
        </w:rPr>
        <w:t>c</w:t>
      </w:r>
      <w:r w:rsidRPr="00FA1502" w:rsidR="005B1FA0">
        <w:rPr>
          <w:rFonts w:ascii="Times New Roman" w:eastAsia="Times New Roman" w:hAnsi="Times New Roman" w:cs="Times New Roman"/>
          <w:sz w:val="24"/>
          <w:szCs w:val="24"/>
          <w:lang w:val="en-GB" w:eastAsia="cs-CZ"/>
        </w:rPr>
        <w:t>i</w:t>
      </w:r>
      <w:r w:rsidRPr="00FA1502" w:rsidR="000230E6">
        <w:rPr>
          <w:rFonts w:ascii="Times New Roman" w:eastAsia="Times New Roman" w:hAnsi="Times New Roman" w:cs="Times New Roman"/>
          <w:sz w:val="24"/>
          <w:szCs w:val="24"/>
          <w:lang w:val="en-GB" w:eastAsia="cs-CZ"/>
        </w:rPr>
        <w:t>s</w:t>
      </w:r>
      <w:r w:rsidRPr="00FA1502" w:rsidR="005B1FA0">
        <w:rPr>
          <w:rFonts w:ascii="Times New Roman" w:eastAsia="Times New Roman" w:hAnsi="Times New Roman" w:cs="Times New Roman"/>
          <w:sz w:val="24"/>
          <w:szCs w:val="24"/>
          <w:lang w:val="en-GB" w:eastAsia="cs-CZ"/>
        </w:rPr>
        <w:t xml:space="preserve">e </w:t>
      </w:r>
      <w:r w:rsidRPr="00FA1502">
        <w:rPr>
          <w:rFonts w:ascii="Times New Roman" w:eastAsia="Times New Roman" w:hAnsi="Times New Roman" w:cs="Times New Roman"/>
          <w:sz w:val="24"/>
          <w:szCs w:val="24"/>
          <w:lang w:val="en-GB" w:eastAsia="cs-CZ"/>
        </w:rPr>
        <w:t>interpretation of which has caused difficulties.</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3 [Section</w:t>
      </w:r>
      <w:r w:rsidRPr="00FA1502">
        <w:rPr>
          <w:rFonts w:ascii="Times New Roman" w:eastAsia="Times New Roman" w:hAnsi="Times New Roman" w:cs="Times New Roman"/>
          <w:b/>
          <w:bCs/>
          <w:sz w:val="24"/>
          <w:szCs w:val="24"/>
          <w:u w:val="single"/>
          <w:lang w:val="en-GB" w:eastAsia="cs-CZ"/>
        </w:rPr>
        <w:t xml:space="preserve"> 11 (4)</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change is related to the addition of a new paragraph 7 in Section 11 of </w:t>
      </w:r>
      <w:r w:rsidRPr="00FA1502" w:rsidR="000717BD">
        <w:rPr>
          <w:rFonts w:ascii="Times New Roman" w:eastAsia="Times New Roman" w:hAnsi="Times New Roman" w:cs="Times New Roman"/>
          <w:sz w:val="24"/>
          <w:szCs w:val="24"/>
          <w:lang w:val="en-GB" w:eastAsia="cs-CZ"/>
        </w:rPr>
        <w:t>ZISIF</w:t>
      </w:r>
      <w:r w:rsidRPr="00FA1502">
        <w:rPr>
          <w:rFonts w:ascii="Times New Roman" w:eastAsia="Times New Roman" w:hAnsi="Times New Roman" w:cs="Times New Roman"/>
          <w:sz w:val="24"/>
          <w:szCs w:val="24"/>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points 4 and 5 [Section 11 (5)]: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changes are related to the changes in § 11 (1) of ZISIF.</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 6 </w:t>
      </w:r>
      <w:r w:rsidRPr="00FA1502" w:rsidR="00852335">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r w:rsidRPr="00FA1502" w:rsidR="009F56B7">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11 new paragraph </w:t>
      </w:r>
      <w:r w:rsidRPr="00FA1502" w:rsidR="00852335">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7)</w:t>
      </w:r>
      <w:r w:rsidRPr="00FA1502" w:rsidR="00852335">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amendment now allows an investment company that is not authorized to </w:t>
      </w:r>
      <w:r w:rsidRPr="00FA1502" w:rsidR="00587627">
        <w:rPr>
          <w:rFonts w:ascii="Times New Roman" w:eastAsia="Times New Roman" w:hAnsi="Times New Roman" w:cs="Times New Roman"/>
          <w:sz w:val="24"/>
          <w:szCs w:val="24"/>
          <w:lang w:val="en-GB" w:eastAsia="cs-CZ"/>
        </w:rPr>
        <w:t xml:space="preserve">exceed the decisive limit to be, as an entrepreneur, </w:t>
      </w:r>
      <w:r w:rsidRPr="00FA1502">
        <w:rPr>
          <w:rFonts w:ascii="Times New Roman" w:eastAsia="Times New Roman" w:hAnsi="Times New Roman" w:cs="Times New Roman"/>
          <w:sz w:val="24"/>
          <w:szCs w:val="24"/>
          <w:lang w:val="en-GB" w:eastAsia="cs-CZ"/>
        </w:rPr>
        <w:t xml:space="preserve">a trustee of a trust fund </w:t>
      </w:r>
      <w:r w:rsidRPr="00FA1502" w:rsidR="00587627">
        <w:rPr>
          <w:rFonts w:ascii="Times New Roman" w:eastAsia="Times New Roman" w:hAnsi="Times New Roman" w:cs="Times New Roman"/>
          <w:sz w:val="24"/>
          <w:szCs w:val="24"/>
          <w:lang w:val="en-GB" w:eastAsia="cs-CZ"/>
        </w:rPr>
        <w:t>which</w:t>
      </w:r>
      <w:r w:rsidRPr="00FA1502">
        <w:rPr>
          <w:rFonts w:ascii="Times New Roman" w:eastAsia="Times New Roman" w:hAnsi="Times New Roman" w:cs="Times New Roman"/>
          <w:sz w:val="24"/>
          <w:szCs w:val="24"/>
          <w:lang w:val="en-GB" w:eastAsia="cs-CZ"/>
        </w:rPr>
        <w:t xml:space="preserve"> is not an investment fund. Paragraph 4 clarifies the related reference.</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7 [Section</w:t>
      </w:r>
      <w:r w:rsidRPr="00FA1502">
        <w:rPr>
          <w:rFonts w:ascii="Times New Roman" w:eastAsia="Times New Roman" w:hAnsi="Times New Roman" w:cs="Times New Roman"/>
          <w:b/>
          <w:bCs/>
          <w:sz w:val="24"/>
          <w:szCs w:val="24"/>
          <w:u w:val="single"/>
          <w:lang w:val="en-GB" w:eastAsia="cs-CZ"/>
        </w:rPr>
        <w:t xml:space="preserve"> 15 new paragraphs </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2</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 to </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5)</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amendment </w:t>
      </w:r>
      <w:r w:rsidRPr="00FA1502" w:rsidR="00CA1507">
        <w:rPr>
          <w:rFonts w:ascii="Times New Roman" w:eastAsia="Times New Roman" w:hAnsi="Times New Roman" w:cs="Times New Roman"/>
          <w:sz w:val="24"/>
          <w:szCs w:val="24"/>
          <w:lang w:val="en-GB" w:eastAsia="cs-CZ"/>
        </w:rPr>
        <w:t>sets out</w:t>
      </w:r>
      <w:r w:rsidRPr="00FA1502">
        <w:rPr>
          <w:rFonts w:ascii="Times New Roman" w:eastAsia="Times New Roman" w:hAnsi="Times New Roman" w:cs="Times New Roman"/>
          <w:sz w:val="24"/>
          <w:szCs w:val="24"/>
          <w:lang w:val="en-GB" w:eastAsia="cs-CZ"/>
        </w:rPr>
        <w:t xml:space="preserve"> the registration fee and annual renewal fee for persons under </w:t>
      </w:r>
      <w:r w:rsidRPr="00FA1502" w:rsidR="00CA1507">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15 </w:t>
      </w:r>
      <w:r w:rsidRPr="00FA1502" w:rsidR="00CA1507">
        <w:rPr>
          <w:rFonts w:ascii="Times New Roman" w:eastAsia="Times New Roman" w:hAnsi="Times New Roman" w:cs="Times New Roman"/>
          <w:sz w:val="24"/>
          <w:szCs w:val="24"/>
          <w:lang w:val="en-GB" w:eastAsia="cs-CZ"/>
        </w:rPr>
        <w:t xml:space="preserve">of </w:t>
      </w:r>
      <w:r w:rsidRPr="00FA1502">
        <w:rPr>
          <w:rFonts w:ascii="Times New Roman" w:eastAsia="Times New Roman" w:hAnsi="Times New Roman" w:cs="Times New Roman"/>
          <w:sz w:val="24"/>
          <w:szCs w:val="24"/>
          <w:lang w:val="en-GB" w:eastAsia="cs-CZ"/>
        </w:rPr>
        <w:t xml:space="preserve">ZISIF, </w:t>
      </w:r>
      <w:r w:rsidRPr="00FA1502" w:rsidR="00CA1507">
        <w:rPr>
          <w:rFonts w:ascii="Times New Roman" w:eastAsia="Times New Roman" w:hAnsi="Times New Roman" w:cs="Times New Roman"/>
          <w:sz w:val="24"/>
          <w:szCs w:val="24"/>
          <w:lang w:val="en-GB" w:eastAsia="cs-CZ"/>
        </w:rPr>
        <w:t>as</w:t>
      </w:r>
      <w:r w:rsidRPr="00FA1502">
        <w:rPr>
          <w:rFonts w:ascii="Times New Roman" w:eastAsia="Times New Roman" w:hAnsi="Times New Roman" w:cs="Times New Roman"/>
          <w:sz w:val="24"/>
          <w:szCs w:val="24"/>
          <w:lang w:val="en-GB" w:eastAsia="cs-CZ"/>
        </w:rPr>
        <w:t xml:space="preserve"> </w:t>
      </w:r>
      <w:r w:rsidRPr="00FA1502" w:rsidR="00CA1507">
        <w:rPr>
          <w:rFonts w:ascii="Times New Roman" w:eastAsia="Times New Roman" w:hAnsi="Times New Roman" w:cs="Times New Roman"/>
          <w:sz w:val="24"/>
          <w:szCs w:val="24"/>
          <w:lang w:val="en-GB" w:eastAsia="cs-CZ"/>
        </w:rPr>
        <w:t>there are costs n</w:t>
      </w:r>
      <w:r w:rsidRPr="00FA1502">
        <w:rPr>
          <w:rFonts w:ascii="Times New Roman" w:eastAsia="Times New Roman" w:hAnsi="Times New Roman" w:cs="Times New Roman"/>
          <w:sz w:val="24"/>
          <w:szCs w:val="24"/>
          <w:lang w:val="en-GB" w:eastAsia="cs-CZ"/>
        </w:rPr>
        <w:t xml:space="preserve">aturally associated </w:t>
      </w:r>
      <w:r w:rsidRPr="00FA1502" w:rsidR="00CA1507">
        <w:rPr>
          <w:rFonts w:ascii="Times New Roman" w:eastAsia="Times New Roman" w:hAnsi="Times New Roman" w:cs="Times New Roman"/>
          <w:sz w:val="24"/>
          <w:szCs w:val="24"/>
          <w:lang w:val="en-GB" w:eastAsia="cs-CZ"/>
        </w:rPr>
        <w:t>with their evidence</w:t>
      </w:r>
      <w:r w:rsidRPr="00FA1502">
        <w:rPr>
          <w:rFonts w:ascii="Times New Roman" w:eastAsia="Times New Roman" w:hAnsi="Times New Roman" w:cs="Times New Roman"/>
          <w:sz w:val="24"/>
          <w:szCs w:val="24"/>
          <w:lang w:val="en-GB" w:eastAsia="cs-CZ"/>
        </w:rPr>
        <w:t>. Related rules, including deletion, shall be established. It is now possible f</w:t>
      </w:r>
      <w:r w:rsidRPr="00FA1502" w:rsidR="00107A45">
        <w:rPr>
          <w:rFonts w:ascii="Times New Roman" w:eastAsia="Times New Roman" w:hAnsi="Times New Roman" w:cs="Times New Roman"/>
          <w:sz w:val="24"/>
          <w:szCs w:val="24"/>
          <w:lang w:val="en-GB" w:eastAsia="cs-CZ"/>
        </w:rPr>
        <w:t xml:space="preserve">or persons under Section 15 of </w:t>
      </w:r>
      <w:r w:rsidRPr="00FA1502">
        <w:rPr>
          <w:rFonts w:ascii="Times New Roman" w:eastAsia="Times New Roman" w:hAnsi="Times New Roman" w:cs="Times New Roman"/>
          <w:sz w:val="24"/>
          <w:szCs w:val="24"/>
          <w:lang w:val="en-GB" w:eastAsia="cs-CZ"/>
        </w:rPr>
        <w:t>ZISIF to be</w:t>
      </w:r>
      <w:r w:rsidRPr="00FA1502" w:rsidR="00107A45">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w:t>
      </w:r>
      <w:r w:rsidRPr="00FA1502" w:rsidR="00107A45">
        <w:rPr>
          <w:rFonts w:ascii="Times New Roman" w:eastAsia="Times New Roman" w:hAnsi="Times New Roman" w:cs="Times New Roman"/>
          <w:sz w:val="24"/>
          <w:szCs w:val="24"/>
          <w:lang w:val="en-GB" w:eastAsia="cs-CZ"/>
        </w:rPr>
        <w:t xml:space="preserve">on the basis of relevant trade license, </w:t>
      </w:r>
      <w:r w:rsidRPr="00FA1502">
        <w:rPr>
          <w:rFonts w:ascii="Times New Roman" w:eastAsia="Times New Roman" w:hAnsi="Times New Roman" w:cs="Times New Roman"/>
          <w:sz w:val="24"/>
          <w:szCs w:val="24"/>
          <w:lang w:val="en-GB" w:eastAsia="cs-CZ"/>
        </w:rPr>
        <w:t xml:space="preserve">a trustee of a trust fund that is not an investment fund. This change is related to the change in Section 11 (7) of ZISIF, where under EU law persons under </w:t>
      </w:r>
      <w:r w:rsidRPr="00FA1502" w:rsidR="00107A45">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15 of ZISIF are also considered to be so-called under-limit managers.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points 8 and 9 </w:t>
      </w:r>
      <w:r w:rsidRPr="00FA1502" w:rsidR="004251AE">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headings Sections 21 and 48, 21 (1), 48 (1) and 517 (1)</w:t>
      </w:r>
      <w:r w:rsidRPr="00FA1502" w:rsidR="004251AE">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u w:val="single"/>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amendment terminologically aligns the term “personnel eq</w:t>
      </w:r>
      <w:r w:rsidRPr="00FA1502" w:rsidR="00CB16EE">
        <w:rPr>
          <w:rFonts w:ascii="Times New Roman" w:eastAsia="Times New Roman" w:hAnsi="Times New Roman" w:cs="Times New Roman"/>
          <w:sz w:val="24"/>
          <w:szCs w:val="24"/>
          <w:lang w:val="en-GB" w:eastAsia="cs-CZ"/>
        </w:rPr>
        <w:t>uipment” with the ZPKT and the a</w:t>
      </w:r>
      <w:r w:rsidRPr="00FA1502">
        <w:rPr>
          <w:rFonts w:ascii="Times New Roman" w:eastAsia="Times New Roman" w:hAnsi="Times New Roman" w:cs="Times New Roman"/>
          <w:sz w:val="24"/>
          <w:szCs w:val="24"/>
          <w:lang w:val="en-GB" w:eastAsia="cs-CZ"/>
        </w:rPr>
        <w:t xml:space="preserve">ct on </w:t>
      </w:r>
      <w:r w:rsidRPr="00FA1502" w:rsidR="00CB16EE">
        <w:rPr>
          <w:rFonts w:ascii="Times New Roman" w:eastAsia="Times New Roman" w:hAnsi="Times New Roman" w:cs="Times New Roman"/>
          <w:sz w:val="24"/>
          <w:szCs w:val="24"/>
          <w:lang w:val="en-GB" w:eastAsia="cs-CZ"/>
        </w:rPr>
        <w:t>b</w:t>
      </w:r>
      <w:r w:rsidRPr="00FA1502">
        <w:rPr>
          <w:rFonts w:ascii="Times New Roman" w:eastAsia="Times New Roman" w:hAnsi="Times New Roman" w:cs="Times New Roman"/>
          <w:sz w:val="24"/>
          <w:szCs w:val="24"/>
          <w:lang w:val="en-GB" w:eastAsia="cs-CZ"/>
        </w:rPr>
        <w:t>anks to “personnel resources”.</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w:t>
      </w:r>
      <w:r w:rsidRPr="00FA1502">
        <w:rPr>
          <w:rFonts w:ascii="Times New Roman" w:eastAsia="Times New Roman" w:hAnsi="Times New Roman" w:cs="Times New Roman"/>
          <w:b/>
          <w:bCs/>
          <w:sz w:val="24"/>
          <w:szCs w:val="24"/>
          <w:u w:val="single"/>
          <w:lang w:val="en-GB" w:eastAsia="cs-CZ"/>
        </w:rPr>
        <w:t xml:space="preserve"> items 10 to 15 [</w:t>
      </w:r>
      <w:r w:rsidRPr="00FA150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38 </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1</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 </w:t>
      </w:r>
      <w:r w:rsidRPr="00FA1502">
        <w:rPr>
          <w:rFonts w:ascii="Times New Roman" w:eastAsia="Times New Roman" w:hAnsi="Times New Roman" w:cs="Times New Roman"/>
          <w:b/>
          <w:bCs/>
          <w:sz w:val="24"/>
          <w:szCs w:val="24"/>
          <w:u w:val="single"/>
          <w:lang w:val="en-GB" w:eastAsia="cs-CZ"/>
        </w:rPr>
        <w:t>new letters (</w:t>
      </w:r>
      <w:r w:rsidRPr="00FA1502">
        <w:rPr>
          <w:rFonts w:ascii="Times New Roman" w:eastAsia="Times New Roman" w:hAnsi="Times New Roman" w:cs="Times New Roman"/>
          <w:b/>
          <w:bCs/>
          <w:sz w:val="24"/>
          <w:szCs w:val="24"/>
          <w:u w:val="single"/>
          <w:lang w:val="en-GB" w:eastAsia="cs-CZ"/>
        </w:rPr>
        <w:t>s) a</w:t>
      </w:r>
      <w:r w:rsidRPr="00FA1502">
        <w:rPr>
          <w:rFonts w:ascii="Times New Roman" w:eastAsia="Times New Roman" w:hAnsi="Times New Roman" w:cs="Times New Roman"/>
          <w:b/>
          <w:bCs/>
          <w:sz w:val="24"/>
          <w:szCs w:val="24"/>
          <w:u w:val="single"/>
          <w:lang w:val="en-GB" w:eastAsia="cs-CZ"/>
        </w:rPr>
        <w:t>nd (</w:t>
      </w:r>
      <w:r w:rsidRPr="00FA1502">
        <w:rPr>
          <w:rFonts w:ascii="Times New Roman" w:eastAsia="Times New Roman" w:hAnsi="Times New Roman" w:cs="Times New Roman"/>
          <w:b/>
          <w:bCs/>
          <w:sz w:val="24"/>
          <w:szCs w:val="24"/>
          <w:u w:val="single"/>
          <w:lang w:val="en-GB" w:eastAsia="cs-CZ"/>
        </w:rPr>
        <w:t xml:space="preserve">t) and deletion of paragraph 2, </w:t>
      </w:r>
      <w:r w:rsidRPr="00FA150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39 </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2</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 and </w:t>
      </w:r>
      <w:r w:rsidRPr="00FA1502">
        <w:rPr>
          <w:rFonts w:ascii="Times New Roman" w:eastAsia="Times New Roman" w:hAnsi="Times New Roman" w:cs="Times New Roman"/>
          <w:b/>
          <w:bCs/>
          <w:sz w:val="24"/>
          <w:szCs w:val="24"/>
          <w:u w:val="single"/>
          <w:lang w:val="en-GB" w:eastAsia="cs-CZ"/>
        </w:rPr>
        <w:t>deletion of</w:t>
      </w:r>
      <w:r w:rsidRPr="00FA1502">
        <w:rPr>
          <w:rFonts w:ascii="Times New Roman" w:eastAsia="Times New Roman" w:hAnsi="Times New Roman" w:cs="Times New Roman"/>
          <w:b/>
          <w:bCs/>
          <w:sz w:val="24"/>
          <w:szCs w:val="24"/>
          <w:u w:val="single"/>
          <w:lang w:val="en-GB" w:eastAsia="cs-CZ"/>
        </w:rPr>
        <w:t xml:space="preserve"> paragraphs </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3</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 </w:t>
      </w:r>
      <w:r w:rsidRPr="00FA1502">
        <w:rPr>
          <w:rFonts w:ascii="Times New Roman" w:eastAsia="Times New Roman" w:hAnsi="Times New Roman" w:cs="Times New Roman"/>
          <w:b/>
          <w:bCs/>
          <w:sz w:val="24"/>
          <w:szCs w:val="24"/>
          <w:u w:val="single"/>
          <w:lang w:val="en-GB" w:eastAsia="cs-CZ"/>
        </w:rPr>
        <w:t>t</w:t>
      </w:r>
      <w:r w:rsidRPr="00FA1502">
        <w:rPr>
          <w:rFonts w:ascii="Times New Roman" w:eastAsia="Times New Roman" w:hAnsi="Times New Roman" w:cs="Times New Roman"/>
          <w:b/>
          <w:bCs/>
          <w:sz w:val="24"/>
          <w:szCs w:val="24"/>
          <w:u w:val="single"/>
          <w:lang w:val="en-GB" w:eastAsia="cs-CZ"/>
        </w:rPr>
        <w:t xml:space="preserve">o </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5</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amendment abolishes the special regime of activities pursuant to Section 38 (2) of ZISIF in connection with Section 38 (1) (</w:t>
      </w:r>
      <w:r w:rsidRPr="00FA1502" w:rsidR="005919D9">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 xml:space="preserve">) of </w:t>
      </w:r>
      <w:r w:rsidRPr="00FA1502" w:rsidR="008B6CE1">
        <w:rPr>
          <w:rFonts w:ascii="Times New Roman" w:eastAsia="Times New Roman" w:hAnsi="Times New Roman" w:cs="Times New Roman"/>
          <w:sz w:val="24"/>
          <w:szCs w:val="24"/>
          <w:lang w:val="en-GB" w:eastAsia="cs-CZ"/>
        </w:rPr>
        <w:t>ZISIF. The i</w:t>
      </w:r>
      <w:r w:rsidRPr="00FA1502">
        <w:rPr>
          <w:rFonts w:ascii="Times New Roman" w:eastAsia="Times New Roman" w:hAnsi="Times New Roman" w:cs="Times New Roman"/>
          <w:sz w:val="24"/>
          <w:szCs w:val="24"/>
          <w:lang w:val="en-GB" w:eastAsia="cs-CZ"/>
        </w:rPr>
        <w:t xml:space="preserve">nvestment </w:t>
      </w:r>
      <w:r w:rsidRPr="00FA1502" w:rsidR="008B6CE1">
        <w:rPr>
          <w:rFonts w:ascii="Times New Roman" w:eastAsia="Times New Roman" w:hAnsi="Times New Roman" w:cs="Times New Roman"/>
          <w:sz w:val="24"/>
          <w:szCs w:val="24"/>
          <w:lang w:val="en-GB" w:eastAsia="cs-CZ"/>
        </w:rPr>
        <w:t>fund ad</w:t>
      </w:r>
      <w:r w:rsidRPr="00FA1502">
        <w:rPr>
          <w:rFonts w:ascii="Times New Roman" w:eastAsia="Times New Roman" w:hAnsi="Times New Roman" w:cs="Times New Roman"/>
          <w:sz w:val="24"/>
          <w:szCs w:val="24"/>
          <w:lang w:val="en-GB" w:eastAsia="cs-CZ"/>
        </w:rPr>
        <w:t xml:space="preserve">ministrator may therefore continue to authorize another person to carry out the individual administration activities, but it is always a delegation and therefore the administrator remains responsible for their execution. This amendment clarifies and facilitates the administration regime for the concerned </w:t>
      </w:r>
      <w:r w:rsidRPr="00FA1502" w:rsidR="008B6CE1">
        <w:rPr>
          <w:rFonts w:ascii="Times New Roman" w:eastAsia="Times New Roman" w:hAnsi="Times New Roman" w:cs="Times New Roman"/>
          <w:sz w:val="24"/>
          <w:szCs w:val="24"/>
          <w:lang w:val="en-GB" w:eastAsia="cs-CZ"/>
        </w:rPr>
        <w:t>subjects i</w:t>
      </w:r>
      <w:r w:rsidRPr="00FA1502">
        <w:rPr>
          <w:rFonts w:ascii="Times New Roman" w:eastAsia="Times New Roman" w:hAnsi="Times New Roman" w:cs="Times New Roman"/>
          <w:sz w:val="24"/>
          <w:szCs w:val="24"/>
          <w:lang w:val="en-GB" w:eastAsia="cs-CZ"/>
        </w:rPr>
        <w:t xml:space="preserve">n the collective investment sector. The provision </w:t>
      </w:r>
      <w:r w:rsidRPr="00FA1502" w:rsidR="004F598B">
        <w:rPr>
          <w:rFonts w:ascii="Times New Roman" w:eastAsia="Times New Roman" w:hAnsi="Times New Roman" w:cs="Times New Roman"/>
          <w:sz w:val="24"/>
          <w:szCs w:val="24"/>
          <w:lang w:val="en-GB" w:eastAsia="cs-CZ"/>
        </w:rPr>
        <w:t>of Section</w:t>
      </w:r>
      <w:r w:rsidRPr="00FA1502">
        <w:rPr>
          <w:rFonts w:ascii="Times New Roman" w:eastAsia="Times New Roman" w:hAnsi="Times New Roman" w:cs="Times New Roman"/>
          <w:sz w:val="24"/>
          <w:szCs w:val="24"/>
          <w:lang w:val="en-GB" w:eastAsia="cs-CZ"/>
        </w:rPr>
        <w:t xml:space="preserve"> 38 </w:t>
      </w:r>
      <w:r w:rsidRPr="00FA1502" w:rsidR="004F598B">
        <w:rPr>
          <w:rFonts w:ascii="Times New Roman" w:eastAsia="Times New Roman" w:hAnsi="Times New Roman" w:cs="Times New Roman"/>
          <w:sz w:val="24"/>
          <w:szCs w:val="24"/>
          <w:lang w:val="en-GB" w:eastAsia="cs-CZ"/>
        </w:rPr>
        <w:t>(1) (</w:t>
      </w:r>
      <w:r w:rsidRPr="00FA1502">
        <w:rPr>
          <w:rFonts w:ascii="Times New Roman" w:eastAsia="Times New Roman" w:hAnsi="Times New Roman" w:cs="Times New Roman"/>
          <w:sz w:val="24"/>
          <w:szCs w:val="24"/>
          <w:lang w:val="en-GB" w:eastAsia="cs-CZ"/>
        </w:rPr>
        <w:t>s)</w:t>
      </w:r>
      <w:r w:rsidRPr="00FA1502" w:rsidR="004F598B">
        <w:rPr>
          <w:rFonts w:ascii="Times New Roman" w:eastAsia="Times New Roman" w:hAnsi="Times New Roman" w:cs="Times New Roman"/>
          <w:sz w:val="24"/>
          <w:szCs w:val="24"/>
          <w:lang w:val="en-GB" w:eastAsia="cs-CZ"/>
        </w:rPr>
        <w:t xml:space="preserve"> of </w:t>
      </w:r>
      <w:r w:rsidRPr="00FA1502">
        <w:rPr>
          <w:rFonts w:ascii="Times New Roman" w:eastAsia="Times New Roman" w:hAnsi="Times New Roman" w:cs="Times New Roman"/>
          <w:sz w:val="24"/>
          <w:szCs w:val="24"/>
          <w:lang w:val="en-GB" w:eastAsia="cs-CZ"/>
        </w:rPr>
        <w:t xml:space="preserve">ZISIF included a list of services usually included under the concept of administration, which the Czech law considered to always meet the definition of investment services. </w:t>
      </w:r>
      <w:r w:rsidRPr="00FA1502" w:rsidR="003E3257">
        <w:rPr>
          <w:rFonts w:ascii="Times New Roman" w:eastAsia="Times New Roman" w:hAnsi="Times New Roman" w:cs="Times New Roman"/>
          <w:sz w:val="24"/>
          <w:szCs w:val="24"/>
          <w:lang w:val="en-GB" w:eastAsia="cs-CZ"/>
        </w:rPr>
        <w:t>In letter (</w:t>
      </w:r>
      <w:r w:rsidRPr="00FA1502">
        <w:rPr>
          <w:rFonts w:ascii="Times New Roman" w:eastAsia="Times New Roman" w:hAnsi="Times New Roman" w:cs="Times New Roman"/>
          <w:sz w:val="24"/>
          <w:szCs w:val="24"/>
          <w:lang w:val="en-GB" w:eastAsia="cs-CZ"/>
        </w:rPr>
        <w:t>s) it was</w:t>
      </w:r>
      <w:r w:rsidRPr="00FA1502" w:rsidR="003E3257">
        <w:rPr>
          <w:rFonts w:ascii="Times New Roman" w:eastAsia="Times New Roman" w:hAnsi="Times New Roman" w:cs="Times New Roman"/>
          <w:sz w:val="24"/>
          <w:szCs w:val="24"/>
          <w:lang w:val="en-GB" w:eastAsia="cs-CZ"/>
        </w:rPr>
        <w:t xml:space="preserve"> stated </w:t>
      </w:r>
      <w:r w:rsidRPr="00FA1502">
        <w:rPr>
          <w:rFonts w:ascii="Times New Roman" w:eastAsia="Times New Roman" w:hAnsi="Times New Roman" w:cs="Times New Roman"/>
          <w:sz w:val="24"/>
          <w:szCs w:val="24"/>
          <w:lang w:val="en-GB" w:eastAsia="cs-CZ"/>
        </w:rPr>
        <w:t xml:space="preserve">that these activities can be performed both on their own and can be procured if the conditions for </w:t>
      </w:r>
      <w:r w:rsidRPr="00FA1502">
        <w:rPr>
          <w:rFonts w:ascii="Times New Roman" w:eastAsia="Times New Roman" w:hAnsi="Times New Roman" w:cs="Times New Roman"/>
          <w:sz w:val="24"/>
          <w:szCs w:val="24"/>
          <w:lang w:val="en-GB" w:eastAsia="cs-CZ"/>
        </w:rPr>
        <w:t>their performance are not fulf</w:t>
      </w:r>
      <w:r w:rsidRPr="00FA1502" w:rsidR="003E3257">
        <w:rPr>
          <w:rFonts w:ascii="Times New Roman" w:eastAsia="Times New Roman" w:hAnsi="Times New Roman" w:cs="Times New Roman"/>
          <w:sz w:val="24"/>
          <w:szCs w:val="24"/>
          <w:lang w:val="en-GB" w:eastAsia="cs-CZ"/>
        </w:rPr>
        <w:t>illed (especially according to Section</w:t>
      </w:r>
      <w:r w:rsidRPr="00FA1502">
        <w:rPr>
          <w:rFonts w:ascii="Times New Roman" w:eastAsia="Times New Roman" w:hAnsi="Times New Roman" w:cs="Times New Roman"/>
          <w:sz w:val="24"/>
          <w:szCs w:val="24"/>
          <w:lang w:val="en-GB" w:eastAsia="cs-CZ"/>
        </w:rPr>
        <w:t xml:space="preserve"> 39 of ZISIF), i</w:t>
      </w:r>
      <w:r w:rsidRPr="00FA1502" w:rsidR="00C10DF0">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C10DF0">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especially if the person does not have the appropriate authorization. The main reason for the new regulation is that the EU </w:t>
      </w:r>
      <w:r w:rsidRPr="00FA1502" w:rsidR="005C5960">
        <w:rPr>
          <w:rFonts w:ascii="Times New Roman" w:eastAsia="Times New Roman" w:hAnsi="Times New Roman" w:cs="Times New Roman"/>
          <w:sz w:val="24"/>
          <w:szCs w:val="24"/>
          <w:lang w:val="en-GB" w:eastAsia="cs-CZ"/>
        </w:rPr>
        <w:t xml:space="preserve">directive anticipate </w:t>
      </w:r>
      <w:r w:rsidRPr="00FA1502">
        <w:rPr>
          <w:rFonts w:ascii="Times New Roman" w:eastAsia="Times New Roman" w:hAnsi="Times New Roman" w:cs="Times New Roman"/>
          <w:sz w:val="24"/>
          <w:szCs w:val="24"/>
          <w:lang w:val="en-GB" w:eastAsia="cs-CZ"/>
        </w:rPr>
        <w:t xml:space="preserve">only one administrator who is responsible for carrying out all activities listed in the annexes of the directives. Even in the case of duality of the manager and the administrator </w:t>
      </w:r>
      <w:r w:rsidRPr="00FA1502" w:rsidR="005C5960">
        <w:rPr>
          <w:rFonts w:ascii="Times New Roman" w:eastAsia="Times New Roman" w:hAnsi="Times New Roman" w:cs="Times New Roman"/>
          <w:sz w:val="24"/>
          <w:szCs w:val="24"/>
          <w:lang w:val="en-GB" w:eastAsia="cs-CZ"/>
        </w:rPr>
        <w:t>in connection with the national regulation in ZISIF</w:t>
      </w:r>
      <w:r w:rsidRPr="00FA1502">
        <w:rPr>
          <w:rFonts w:ascii="Times New Roman" w:eastAsia="Times New Roman" w:hAnsi="Times New Roman" w:cs="Times New Roman"/>
          <w:sz w:val="24"/>
          <w:szCs w:val="24"/>
          <w:lang w:val="en-GB" w:eastAsia="cs-CZ"/>
        </w:rPr>
        <w:t xml:space="preserve">, it should not be permissible to allow the transfer of responsibility to another person, as is the case </w:t>
      </w:r>
      <w:r w:rsidRPr="00FA1502" w:rsidR="003B7000">
        <w:rPr>
          <w:rFonts w:ascii="Times New Roman" w:eastAsia="Times New Roman" w:hAnsi="Times New Roman" w:cs="Times New Roman"/>
          <w:sz w:val="24"/>
          <w:szCs w:val="24"/>
          <w:lang w:val="en-GB" w:eastAsia="cs-CZ"/>
        </w:rPr>
        <w:t>in connection with Section</w:t>
      </w:r>
      <w:r w:rsidRPr="00FA1502">
        <w:rPr>
          <w:rFonts w:ascii="Times New Roman" w:eastAsia="Times New Roman" w:hAnsi="Times New Roman" w:cs="Times New Roman"/>
          <w:sz w:val="24"/>
          <w:szCs w:val="24"/>
          <w:lang w:val="en-GB" w:eastAsia="cs-CZ"/>
        </w:rPr>
        <w:t xml:space="preserve"> 38 </w:t>
      </w:r>
      <w:r w:rsidRPr="00FA1502" w:rsidR="003B7000">
        <w:rPr>
          <w:rFonts w:ascii="Times New Roman" w:eastAsia="Times New Roman" w:hAnsi="Times New Roman" w:cs="Times New Roman"/>
          <w:sz w:val="24"/>
          <w:szCs w:val="24"/>
          <w:lang w:val="en-GB" w:eastAsia="cs-CZ"/>
        </w:rPr>
        <w:t>(1) (</w:t>
      </w:r>
      <w:r w:rsidRPr="00FA1502">
        <w:rPr>
          <w:rFonts w:ascii="Times New Roman" w:eastAsia="Times New Roman" w:hAnsi="Times New Roman" w:cs="Times New Roman"/>
          <w:sz w:val="24"/>
          <w:szCs w:val="24"/>
          <w:lang w:val="en-GB" w:eastAsia="cs-CZ"/>
        </w:rPr>
        <w:t xml:space="preserve">s) </w:t>
      </w:r>
      <w:r w:rsidRPr="00FA1502" w:rsidR="003B7000">
        <w:rPr>
          <w:rFonts w:ascii="Times New Roman" w:eastAsia="Times New Roman" w:hAnsi="Times New Roman" w:cs="Times New Roman"/>
          <w:sz w:val="24"/>
          <w:szCs w:val="24"/>
          <w:lang w:val="en-GB" w:eastAsia="cs-CZ"/>
        </w:rPr>
        <w:t xml:space="preserve">of </w:t>
      </w:r>
      <w:r w:rsidRPr="00FA1502">
        <w:rPr>
          <w:rFonts w:ascii="Times New Roman" w:eastAsia="Times New Roman" w:hAnsi="Times New Roman" w:cs="Times New Roman"/>
          <w:sz w:val="24"/>
          <w:szCs w:val="24"/>
          <w:lang w:val="en-GB" w:eastAsia="cs-CZ"/>
        </w:rPr>
        <w:t xml:space="preserve">ZISIF </w:t>
      </w:r>
      <w:r w:rsidRPr="00FA1502" w:rsidR="00AE0C65">
        <w:rPr>
          <w:rFonts w:ascii="Times New Roman" w:eastAsia="Times New Roman" w:hAnsi="Times New Roman" w:cs="Times New Roman"/>
          <w:sz w:val="24"/>
          <w:szCs w:val="24"/>
          <w:lang w:val="en-GB" w:eastAsia="cs-CZ"/>
        </w:rPr>
        <w:t xml:space="preserve">when </w:t>
      </w:r>
      <w:r w:rsidRPr="00FA1502">
        <w:rPr>
          <w:rFonts w:ascii="Times New Roman" w:eastAsia="Times New Roman" w:hAnsi="Times New Roman" w:cs="Times New Roman"/>
          <w:sz w:val="24"/>
          <w:szCs w:val="24"/>
          <w:lang w:val="en-GB" w:eastAsia="cs-CZ"/>
        </w:rPr>
        <w:t xml:space="preserve">administrator only “procures” performance of activities according to </w:t>
      </w:r>
      <w:r w:rsidRPr="00FA1502" w:rsidR="00AE0C65">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38 </w:t>
      </w:r>
      <w:r w:rsidRPr="00FA1502" w:rsidR="00AE0C65">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2</w:t>
      </w:r>
      <w:r w:rsidRPr="00FA1502" w:rsidR="00AE0C65">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of ZISIF. The amendment also </w:t>
      </w:r>
      <w:r w:rsidRPr="00FA1502" w:rsidR="00BC7CD9">
        <w:rPr>
          <w:rFonts w:ascii="Times New Roman" w:eastAsia="Times New Roman" w:hAnsi="Times New Roman" w:cs="Times New Roman"/>
          <w:sz w:val="24"/>
          <w:szCs w:val="24"/>
          <w:lang w:val="en-GB" w:eastAsia="cs-CZ"/>
        </w:rPr>
        <w:t>changes</w:t>
      </w:r>
      <w:r w:rsidRPr="00FA1502">
        <w:rPr>
          <w:rFonts w:ascii="Times New Roman" w:eastAsia="Times New Roman" w:hAnsi="Times New Roman" w:cs="Times New Roman"/>
          <w:sz w:val="24"/>
          <w:szCs w:val="24"/>
          <w:lang w:val="en-GB" w:eastAsia="cs-CZ"/>
        </w:rPr>
        <w:t xml:space="preserve"> Section 39 of ZISIF so that a person authorized to administer an investment fund does not need additional authorization to provide investment services to perform these activities. Therefore, a special authorization would only be needed in the case of delegation of these activities by the administrator to another person who would already have the appropriate authorization (which may be an investment company authorization to provide investment services or an authorization under the Capital Market Undertakings</w:t>
      </w:r>
      <w:r w:rsidRPr="00FA1502" w:rsidR="00FD7B25">
        <w:rPr>
          <w:rFonts w:ascii="Times New Roman" w:eastAsia="Times New Roman" w:hAnsi="Times New Roman" w:cs="Times New Roman"/>
          <w:sz w:val="24"/>
          <w:szCs w:val="24"/>
          <w:lang w:val="en-GB" w:eastAsia="cs-CZ"/>
        </w:rPr>
        <w:t xml:space="preserve"> Act). Furthermore, regulation in Section 482, 483, 485 and 487 of ZISIF is adapted to Section</w:t>
      </w:r>
      <w:r w:rsidRPr="00FA1502">
        <w:rPr>
          <w:rFonts w:ascii="Times New Roman" w:eastAsia="Times New Roman" w:hAnsi="Times New Roman" w:cs="Times New Roman"/>
          <w:sz w:val="24"/>
          <w:szCs w:val="24"/>
          <w:lang w:val="en-GB" w:eastAsia="cs-CZ"/>
        </w:rPr>
        <w:t xml:space="preserve"> 38 and 39 of </w:t>
      </w:r>
      <w:r w:rsidRPr="00FA1502" w:rsidR="00FD7B25">
        <w:rPr>
          <w:rFonts w:ascii="Times New Roman" w:eastAsia="Times New Roman" w:hAnsi="Times New Roman" w:cs="Times New Roman"/>
          <w:sz w:val="24"/>
          <w:szCs w:val="24"/>
          <w:lang w:val="en-GB" w:eastAsia="cs-CZ"/>
        </w:rPr>
        <w:t>ZISIF</w:t>
      </w:r>
      <w:r w:rsidRPr="00FA1502">
        <w:rPr>
          <w:rFonts w:ascii="Times New Roman" w:eastAsia="Times New Roman" w:hAnsi="Times New Roman" w:cs="Times New Roman"/>
          <w:sz w:val="24"/>
          <w:szCs w:val="24"/>
          <w:lang w:val="en-GB" w:eastAsia="cs-CZ"/>
        </w:rPr>
        <w:t>.</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points 16 and 17 (</w:t>
      </w:r>
      <w:r w:rsidRPr="00FA1502" w:rsidR="000B4EC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68):</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Assets within investment funds are divided into the so-called basic business (operating) part and</w:t>
      </w:r>
      <w:r w:rsidRPr="00FA1502" w:rsidR="000B4EC2">
        <w:rPr>
          <w:rFonts w:ascii="Times New Roman" w:eastAsia="Times New Roman" w:hAnsi="Times New Roman" w:cs="Times New Roman"/>
          <w:sz w:val="24"/>
          <w:szCs w:val="24"/>
          <w:lang w:val="en-GB" w:eastAsia="cs-CZ"/>
        </w:rPr>
        <w:t xml:space="preserve"> the so-called investment part.</w:t>
      </w:r>
      <w:r w:rsidRPr="00FA1502">
        <w:rPr>
          <w:rFonts w:ascii="Times New Roman" w:eastAsia="Times New Roman" w:hAnsi="Times New Roman" w:cs="Times New Roman"/>
          <w:sz w:val="24"/>
          <w:szCs w:val="24"/>
          <w:lang w:val="en-GB" w:eastAsia="cs-CZ"/>
        </w:rPr>
        <w:t xml:space="preserve"> The new regulation seeks to limit, except for standard funds, the activities of the depositary to the investment part of the assets of individual funds (sub-funds).</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18 [Section</w:t>
      </w:r>
      <w:r w:rsidRPr="00FA1502">
        <w:rPr>
          <w:rFonts w:ascii="Times New Roman" w:eastAsia="Times New Roman" w:hAnsi="Times New Roman" w:cs="Times New Roman"/>
          <w:b/>
          <w:bCs/>
          <w:sz w:val="24"/>
          <w:szCs w:val="24"/>
          <w:u w:val="single"/>
          <w:lang w:val="en-GB" w:eastAsia="cs-CZ"/>
        </w:rPr>
        <w:t xml:space="preserve"> 71 </w:t>
      </w:r>
      <w:r w:rsidRPr="00FA1502">
        <w:rPr>
          <w:rFonts w:ascii="Times New Roman" w:eastAsia="Times New Roman" w:hAnsi="Times New Roman" w:cs="Times New Roman"/>
          <w:b/>
          <w:bCs/>
          <w:sz w:val="24"/>
          <w:szCs w:val="24"/>
          <w:u w:val="single"/>
          <w:lang w:val="en-GB" w:eastAsia="cs-CZ"/>
        </w:rPr>
        <w:t>(1) (</w:t>
      </w:r>
      <w:r w:rsidRPr="00FA1502">
        <w:rPr>
          <w:rFonts w:ascii="Times New Roman" w:eastAsia="Times New Roman" w:hAnsi="Times New Roman" w:cs="Times New Roman"/>
          <w:b/>
          <w:bCs/>
          <w:sz w:val="24"/>
          <w:szCs w:val="24"/>
          <w:u w:val="single"/>
          <w:lang w:val="en-GB" w:eastAsia="cs-CZ"/>
        </w:rPr>
        <w:t>b)]:</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requirement </w:t>
      </w:r>
      <w:r w:rsidRPr="00FA1502" w:rsidR="00DC5F9E">
        <w:rPr>
          <w:rFonts w:ascii="Times New Roman" w:eastAsia="Times New Roman" w:hAnsi="Times New Roman" w:cs="Times New Roman"/>
          <w:sz w:val="24"/>
          <w:szCs w:val="24"/>
          <w:lang w:val="en-GB" w:eastAsia="cs-CZ"/>
        </w:rPr>
        <w:t xml:space="preserve">of </w:t>
      </w:r>
      <w:r w:rsidRPr="00FA1502">
        <w:rPr>
          <w:rFonts w:ascii="Times New Roman" w:eastAsia="Times New Roman" w:hAnsi="Times New Roman" w:cs="Times New Roman"/>
          <w:sz w:val="24"/>
          <w:szCs w:val="24"/>
          <w:lang w:val="en-GB" w:eastAsia="cs-CZ"/>
        </w:rPr>
        <w:t xml:space="preserve">ZISIF for storage </w:t>
      </w:r>
      <w:r w:rsidRPr="00FA1502" w:rsidR="00DC5F9E">
        <w:rPr>
          <w:rFonts w:ascii="Times New Roman" w:eastAsia="Times New Roman" w:hAnsi="Times New Roman" w:cs="Times New Roman"/>
          <w:sz w:val="24"/>
          <w:szCs w:val="24"/>
          <w:lang w:val="en-GB" w:eastAsia="cs-CZ"/>
        </w:rPr>
        <w:t xml:space="preserve">of </w:t>
      </w:r>
      <w:r w:rsidRPr="00FA1502">
        <w:rPr>
          <w:rFonts w:ascii="Times New Roman" w:eastAsia="Times New Roman" w:hAnsi="Times New Roman" w:cs="Times New Roman"/>
          <w:sz w:val="24"/>
          <w:szCs w:val="24"/>
          <w:lang w:val="en-GB" w:eastAsia="cs-CZ"/>
        </w:rPr>
        <w:t xml:space="preserve">other assets </w:t>
      </w:r>
      <w:r w:rsidRPr="00FA1502" w:rsidR="00DC5F9E">
        <w:rPr>
          <w:rFonts w:ascii="Times New Roman" w:eastAsia="Times New Roman" w:hAnsi="Times New Roman" w:cs="Times New Roman"/>
          <w:sz w:val="24"/>
          <w:szCs w:val="24"/>
          <w:lang w:val="en-GB" w:eastAsia="cs-CZ"/>
        </w:rPr>
        <w:t>except for</w:t>
      </w:r>
      <w:r w:rsidRPr="00FA1502">
        <w:rPr>
          <w:rFonts w:ascii="Times New Roman" w:eastAsia="Times New Roman" w:hAnsi="Times New Roman" w:cs="Times New Roman"/>
          <w:sz w:val="24"/>
          <w:szCs w:val="24"/>
          <w:lang w:val="en-GB" w:eastAsia="cs-CZ"/>
        </w:rPr>
        <w:t xml:space="preserve"> financial instruments complicat</w:t>
      </w:r>
      <w:r w:rsidRPr="00FA1502" w:rsidR="00DC5F9E">
        <w:rPr>
          <w:rFonts w:ascii="Times New Roman" w:eastAsia="Times New Roman" w:hAnsi="Times New Roman" w:cs="Times New Roman"/>
          <w:sz w:val="24"/>
          <w:szCs w:val="24"/>
          <w:lang w:val="en-GB" w:eastAsia="cs-CZ"/>
        </w:rPr>
        <w:t>ed</w:t>
      </w:r>
      <w:r w:rsidRPr="00FA1502">
        <w:rPr>
          <w:rFonts w:ascii="Times New Roman" w:eastAsia="Times New Roman" w:hAnsi="Times New Roman" w:cs="Times New Roman"/>
          <w:sz w:val="24"/>
          <w:szCs w:val="24"/>
          <w:lang w:val="en-GB" w:eastAsia="cs-CZ"/>
        </w:rPr>
        <w:t xml:space="preserve">, and in some cases </w:t>
      </w:r>
      <w:r w:rsidRPr="00FA1502" w:rsidR="00DC5F9E">
        <w:rPr>
          <w:rFonts w:ascii="Times New Roman" w:eastAsia="Times New Roman" w:hAnsi="Times New Roman" w:cs="Times New Roman"/>
          <w:sz w:val="24"/>
          <w:szCs w:val="24"/>
          <w:lang w:val="en-GB" w:eastAsia="cs-CZ"/>
        </w:rPr>
        <w:t xml:space="preserve">makes </w:t>
      </w:r>
      <w:r w:rsidRPr="00FA1502">
        <w:rPr>
          <w:rFonts w:ascii="Times New Roman" w:eastAsia="Times New Roman" w:hAnsi="Times New Roman" w:cs="Times New Roman"/>
          <w:sz w:val="24"/>
          <w:szCs w:val="24"/>
          <w:lang w:val="en-GB" w:eastAsia="cs-CZ"/>
        </w:rPr>
        <w:t>impossible, functioning</w:t>
      </w:r>
      <w:r w:rsidRPr="00FA1502" w:rsidR="00DC5F9E">
        <w:rPr>
          <w:rFonts w:ascii="Times New Roman" w:eastAsia="Times New Roman" w:hAnsi="Times New Roman" w:cs="Times New Roman"/>
          <w:sz w:val="24"/>
          <w:szCs w:val="24"/>
          <w:lang w:val="en-GB" w:eastAsia="cs-CZ"/>
        </w:rPr>
        <w:t xml:space="preserve"> of </w:t>
      </w:r>
      <w:r w:rsidRPr="00FA1502">
        <w:rPr>
          <w:rFonts w:ascii="Times New Roman" w:eastAsia="Times New Roman" w:hAnsi="Times New Roman" w:cs="Times New Roman"/>
          <w:sz w:val="24"/>
          <w:szCs w:val="24"/>
          <w:lang w:val="en-GB" w:eastAsia="cs-CZ"/>
        </w:rPr>
        <w:t xml:space="preserve">funds with alternative investment strategies, which invest </w:t>
      </w:r>
      <w:r w:rsidRPr="00FA1502" w:rsidR="00DC5F9E">
        <w:rPr>
          <w:rFonts w:ascii="Times New Roman" w:eastAsia="Times New Roman" w:hAnsi="Times New Roman" w:cs="Times New Roman"/>
          <w:sz w:val="24"/>
          <w:szCs w:val="24"/>
          <w:lang w:val="en-GB" w:eastAsia="cs-CZ"/>
        </w:rPr>
        <w:t>for example in</w:t>
      </w:r>
      <w:r w:rsidRPr="00FA1502">
        <w:rPr>
          <w:rFonts w:ascii="Times New Roman" w:eastAsia="Times New Roman" w:hAnsi="Times New Roman" w:cs="Times New Roman"/>
          <w:sz w:val="24"/>
          <w:szCs w:val="24"/>
          <w:lang w:val="en-GB" w:eastAsia="cs-CZ"/>
        </w:rPr>
        <w:t xml:space="preserve"> physical commodities, artworks, vintage cars, wines, etc. </w:t>
      </w:r>
      <w:r w:rsidRPr="00FA1502" w:rsidR="00DC5F9E">
        <w:rPr>
          <w:rFonts w:ascii="Times New Roman" w:eastAsia="Times New Roman" w:hAnsi="Times New Roman" w:cs="Times New Roman"/>
          <w:sz w:val="24"/>
          <w:szCs w:val="24"/>
          <w:lang w:val="en-GB" w:eastAsia="cs-CZ"/>
        </w:rPr>
        <w:t xml:space="preserve">Bank </w:t>
      </w:r>
      <w:r w:rsidRPr="00FA1502">
        <w:rPr>
          <w:rFonts w:ascii="Times New Roman" w:eastAsia="Times New Roman" w:hAnsi="Times New Roman" w:cs="Times New Roman"/>
          <w:sz w:val="24"/>
          <w:szCs w:val="24"/>
          <w:lang w:val="en-GB" w:eastAsia="cs-CZ"/>
        </w:rPr>
        <w:t>and non-bank depositary do not have adequate premises (in terms of space dimensions or quality requirements) for the custody of the aforementioned types of assets and given the strict characteristics to be fulfilled by a third party in the case of outsourcing of depository activities under Sections 77 and 78 of ZISIF</w:t>
      </w:r>
      <w:r w:rsidRPr="00FA1502" w:rsidR="00DC5F9E">
        <w:rPr>
          <w:rFonts w:ascii="Times New Roman" w:eastAsia="Times New Roman" w:hAnsi="Times New Roman" w:cs="Times New Roman"/>
          <w:sz w:val="24"/>
          <w:szCs w:val="24"/>
          <w:lang w:val="en-GB" w:eastAsia="cs-CZ"/>
        </w:rPr>
        <w:t xml:space="preserve">, it is not even possible to entrust a third party which </w:t>
      </w:r>
      <w:r w:rsidRPr="00FA1502">
        <w:rPr>
          <w:rFonts w:ascii="Times New Roman" w:eastAsia="Times New Roman" w:hAnsi="Times New Roman" w:cs="Times New Roman"/>
          <w:sz w:val="24"/>
          <w:szCs w:val="24"/>
          <w:lang w:val="en-GB" w:eastAsia="cs-CZ"/>
        </w:rPr>
        <w:t>would have adequate premises (e</w:t>
      </w:r>
      <w:r w:rsidRPr="00FA1502" w:rsidR="00DC5F9E">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g</w:t>
      </w:r>
      <w:r w:rsidRPr="00FA1502" w:rsidR="00DC5F9E">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art gallery or customs warehouses for investment wines).</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points 19 and 20 [Section</w:t>
      </w:r>
      <w:r w:rsidRPr="00FA1502">
        <w:rPr>
          <w:rFonts w:ascii="Times New Roman" w:eastAsia="Times New Roman" w:hAnsi="Times New Roman" w:cs="Times New Roman"/>
          <w:b/>
          <w:bCs/>
          <w:sz w:val="24"/>
          <w:szCs w:val="24"/>
          <w:u w:val="single"/>
          <w:lang w:val="en-GB" w:eastAsia="cs-CZ"/>
        </w:rPr>
        <w:t xml:space="preserve"> 83 (1) and (2)</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A similar change is made as in </w:t>
      </w:r>
      <w:r w:rsidRPr="00FA1502" w:rsidR="00583D5D">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68 </w:t>
      </w:r>
      <w:r w:rsidRPr="00FA1502" w:rsidR="00583D5D">
        <w:rPr>
          <w:rFonts w:ascii="Times New Roman" w:eastAsia="Times New Roman" w:hAnsi="Times New Roman" w:cs="Times New Roman"/>
          <w:sz w:val="24"/>
          <w:szCs w:val="24"/>
          <w:lang w:val="en-GB" w:eastAsia="cs-CZ"/>
        </w:rPr>
        <w:t>o</w:t>
      </w:r>
      <w:r w:rsidRPr="00FA1502">
        <w:rPr>
          <w:rFonts w:ascii="Times New Roman" w:eastAsia="Times New Roman" w:hAnsi="Times New Roman" w:cs="Times New Roman"/>
          <w:sz w:val="24"/>
          <w:szCs w:val="24"/>
          <w:lang w:val="en-GB" w:eastAsia="cs-CZ"/>
        </w:rPr>
        <w:t>f</w:t>
      </w:r>
      <w:r w:rsidRPr="00FA1502" w:rsidR="00583D5D">
        <w:rPr>
          <w:rFonts w:ascii="Times New Roman" w:eastAsia="Times New Roman" w:hAnsi="Times New Roman" w:cs="Times New Roman"/>
          <w:sz w:val="24"/>
          <w:szCs w:val="24"/>
          <w:lang w:val="en-GB" w:eastAsia="cs-CZ"/>
        </w:rPr>
        <w:t xml:space="preserve"> ZISIF.</w:t>
      </w:r>
      <w:r w:rsidRPr="00FA1502">
        <w:rPr>
          <w:rFonts w:ascii="Times New Roman" w:eastAsia="Times New Roman" w:hAnsi="Times New Roman" w:cs="Times New Roman"/>
          <w:sz w:val="24"/>
          <w:szCs w:val="24"/>
          <w:lang w:val="en-GB" w:eastAsia="cs-CZ"/>
        </w:rPr>
        <w:t xml:space="preserve"> At the same time, the obligation to have depositaries for the so-called </w:t>
      </w:r>
      <w:r w:rsidRPr="00FA1502">
        <w:rPr>
          <w:rFonts w:ascii="Times New Roman" w:eastAsia="Times New Roman" w:hAnsi="Times New Roman" w:cs="Times New Roman"/>
          <w:sz w:val="24"/>
          <w:szCs w:val="24"/>
          <w:lang w:val="en-GB" w:eastAsia="cs-CZ"/>
        </w:rPr>
        <w:t>EuVECA</w:t>
      </w:r>
      <w:r w:rsidRPr="00FA1502">
        <w:rPr>
          <w:rFonts w:ascii="Times New Roman" w:eastAsia="Times New Roman" w:hAnsi="Times New Roman" w:cs="Times New Roman"/>
          <w:sz w:val="24"/>
          <w:szCs w:val="24"/>
          <w:lang w:val="en-GB" w:eastAsia="cs-CZ"/>
        </w:rPr>
        <w:t xml:space="preserve"> and </w:t>
      </w:r>
      <w:r w:rsidRPr="00FA1502">
        <w:rPr>
          <w:rFonts w:ascii="Times New Roman" w:eastAsia="Times New Roman" w:hAnsi="Times New Roman" w:cs="Times New Roman"/>
          <w:sz w:val="24"/>
          <w:szCs w:val="24"/>
          <w:lang w:val="en-GB" w:eastAsia="cs-CZ"/>
        </w:rPr>
        <w:t>Eu</w:t>
      </w:r>
      <w:r w:rsidRPr="00FA1502" w:rsidR="00583D5D">
        <w:rPr>
          <w:rFonts w:ascii="Times New Roman" w:eastAsia="Times New Roman" w:hAnsi="Times New Roman" w:cs="Times New Roman"/>
          <w:sz w:val="24"/>
          <w:szCs w:val="24"/>
          <w:lang w:val="en-GB" w:eastAsia="cs-CZ"/>
        </w:rPr>
        <w:t>SEF</w:t>
      </w:r>
      <w:r w:rsidRPr="00FA1502" w:rsidR="00583D5D">
        <w:rPr>
          <w:rFonts w:ascii="Times New Roman" w:eastAsia="Times New Roman" w:hAnsi="Times New Roman" w:cs="Times New Roman"/>
          <w:sz w:val="24"/>
          <w:szCs w:val="24"/>
          <w:lang w:val="en-GB" w:eastAsia="cs-CZ"/>
        </w:rPr>
        <w:t xml:space="preserve"> funds is explicitly removed</w:t>
      </w:r>
      <w:r w:rsidRPr="00FA1502">
        <w:rPr>
          <w:rFonts w:ascii="Times New Roman" w:eastAsia="Times New Roman" w:hAnsi="Times New Roman" w:cs="Times New Roman"/>
          <w:sz w:val="24"/>
          <w:szCs w:val="24"/>
          <w:lang w:val="en-GB" w:eastAsia="cs-CZ"/>
        </w:rPr>
        <w:t xml:space="preserve">. This obligation goes beyond the scope of European law for the so-called </w:t>
      </w:r>
      <w:r w:rsidRPr="00FA1502">
        <w:rPr>
          <w:rFonts w:ascii="Times New Roman" w:eastAsia="Times New Roman" w:hAnsi="Times New Roman" w:cs="Times New Roman"/>
          <w:sz w:val="24"/>
          <w:szCs w:val="24"/>
          <w:lang w:val="en-GB" w:eastAsia="cs-CZ"/>
        </w:rPr>
        <w:t>EuVECA</w:t>
      </w:r>
      <w:r w:rsidRPr="00FA1502">
        <w:rPr>
          <w:rFonts w:ascii="Times New Roman" w:eastAsia="Times New Roman" w:hAnsi="Times New Roman" w:cs="Times New Roman"/>
          <w:sz w:val="24"/>
          <w:szCs w:val="24"/>
          <w:lang w:val="en-GB" w:eastAsia="cs-CZ"/>
        </w:rPr>
        <w:t xml:space="preserve"> and </w:t>
      </w:r>
      <w:r w:rsidRPr="00FA1502">
        <w:rPr>
          <w:rFonts w:ascii="Times New Roman" w:eastAsia="Times New Roman" w:hAnsi="Times New Roman" w:cs="Times New Roman"/>
          <w:sz w:val="24"/>
          <w:szCs w:val="24"/>
          <w:lang w:val="en-GB" w:eastAsia="cs-CZ"/>
        </w:rPr>
        <w:t>EuSEF</w:t>
      </w:r>
      <w:r w:rsidRPr="00FA1502">
        <w:rPr>
          <w:rFonts w:ascii="Times New Roman" w:eastAsia="Times New Roman" w:hAnsi="Times New Roman" w:cs="Times New Roman"/>
          <w:sz w:val="24"/>
          <w:szCs w:val="24"/>
          <w:lang w:val="en-GB" w:eastAsia="cs-CZ"/>
        </w:rPr>
        <w:t xml:space="preserve"> funds and should be inferred by an interpretation</w:t>
      </w:r>
      <w:r w:rsidRPr="00FA1502" w:rsidR="00116F7B">
        <w:rPr>
          <w:rFonts w:ascii="Times New Roman" w:eastAsia="Times New Roman" w:hAnsi="Times New Roman" w:cs="Times New Roman"/>
          <w:sz w:val="24"/>
          <w:szCs w:val="24"/>
          <w:lang w:val="en-GB" w:eastAsia="cs-CZ"/>
        </w:rPr>
        <w:t xml:space="preserve"> of the existing legislation,</w:t>
      </w:r>
      <w:r w:rsidRPr="00FA1502">
        <w:rPr>
          <w:rFonts w:ascii="Times New Roman" w:eastAsia="Times New Roman" w:hAnsi="Times New Roman" w:cs="Times New Roman"/>
          <w:sz w:val="24"/>
          <w:szCs w:val="24"/>
          <w:lang w:val="en-GB" w:eastAsia="cs-CZ"/>
        </w:rPr>
        <w:t xml:space="preserve"> it is</w:t>
      </w:r>
      <w:r w:rsidRPr="00FA1502" w:rsidR="00116F7B">
        <w:rPr>
          <w:rFonts w:ascii="Times New Roman" w:eastAsia="Times New Roman" w:hAnsi="Times New Roman" w:cs="Times New Roman"/>
          <w:sz w:val="24"/>
          <w:szCs w:val="24"/>
          <w:lang w:val="en-GB" w:eastAsia="cs-CZ"/>
        </w:rPr>
        <w:t xml:space="preserve"> thus</w:t>
      </w:r>
      <w:r w:rsidRPr="00FA1502">
        <w:rPr>
          <w:rFonts w:ascii="Times New Roman" w:eastAsia="Times New Roman" w:hAnsi="Times New Roman" w:cs="Times New Roman"/>
          <w:sz w:val="24"/>
          <w:szCs w:val="24"/>
          <w:lang w:val="en-GB" w:eastAsia="cs-CZ"/>
        </w:rPr>
        <w:t xml:space="preserve"> not a substantive change.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w:t>
      </w:r>
      <w:r w:rsidRPr="00FA1502" w:rsidR="00EE1806">
        <w:rPr>
          <w:rFonts w:ascii="Times New Roman" w:eastAsia="Times New Roman" w:hAnsi="Times New Roman" w:cs="Times New Roman"/>
          <w:b/>
          <w:bCs/>
          <w:sz w:val="24"/>
          <w:szCs w:val="24"/>
          <w:u w:val="single"/>
          <w:lang w:val="en-GB" w:eastAsia="cs-CZ"/>
        </w:rPr>
        <w:t xml:space="preserve"> point 21 (derogation of Section 112):</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obligation of equal treatment of investors by the manager and the administrator arises from the general obligation of the manager and the </w:t>
      </w:r>
      <w:r w:rsidRPr="00FA1502" w:rsidR="00EE1806">
        <w:rPr>
          <w:rFonts w:ascii="Times New Roman" w:eastAsia="Times New Roman" w:hAnsi="Times New Roman" w:cs="Times New Roman"/>
          <w:sz w:val="24"/>
          <w:szCs w:val="24"/>
          <w:lang w:val="en-GB" w:eastAsia="cs-CZ"/>
        </w:rPr>
        <w:t>administrator</w:t>
      </w:r>
      <w:r w:rsidRPr="00FA1502">
        <w:rPr>
          <w:rFonts w:ascii="Times New Roman" w:eastAsia="Times New Roman" w:hAnsi="Times New Roman" w:cs="Times New Roman"/>
          <w:sz w:val="24"/>
          <w:szCs w:val="24"/>
          <w:lang w:val="en-GB" w:eastAsia="cs-CZ"/>
        </w:rPr>
        <w:t xml:space="preserve"> of the investment fund to act fairly and in the best interests of investors (</w:t>
      </w:r>
      <w:r w:rsidRPr="00FA1502" w:rsidR="00EE1806">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22 </w:t>
      </w:r>
      <w:r w:rsidRPr="00FA1502" w:rsidR="00EE1806">
        <w:rPr>
          <w:rFonts w:ascii="Times New Roman" w:eastAsia="Times New Roman" w:hAnsi="Times New Roman" w:cs="Times New Roman"/>
          <w:sz w:val="24"/>
          <w:szCs w:val="24"/>
          <w:lang w:val="en-GB" w:eastAsia="cs-CZ"/>
        </w:rPr>
        <w:t xml:space="preserve">of </w:t>
      </w:r>
      <w:r w:rsidRPr="00FA1502">
        <w:rPr>
          <w:rFonts w:ascii="Times New Roman" w:eastAsia="Times New Roman" w:hAnsi="Times New Roman" w:cs="Times New Roman"/>
          <w:sz w:val="24"/>
          <w:szCs w:val="24"/>
          <w:lang w:val="en-GB" w:eastAsia="cs-CZ"/>
        </w:rPr>
        <w:t>ZISIF). It is therefore abolished that this obligation is explicitly imposed with regard to mutual funds, since it is duplicate of those general rules.</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2 2 (§ 169 (1))</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provision that the statute of a sub-fund may be incorporated into the statute of an investment fund shall be deleted, provided that this does not reduce the readability of the statute for investors. It is established that an investment fund that creates sub-funds must have a status only in relation to those sub-funds. The amendment aims to clarify and simplify the statute of </w:t>
      </w:r>
      <w:r w:rsidRPr="00FA1502">
        <w:rPr>
          <w:rFonts w:ascii="Times New Roman" w:eastAsia="Times New Roman" w:hAnsi="Times New Roman" w:cs="Times New Roman"/>
          <w:sz w:val="24"/>
          <w:szCs w:val="24"/>
          <w:lang w:val="en-GB" w:eastAsia="cs-CZ"/>
        </w:rPr>
        <w:t>investment funds creating sub-funds.</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w:t>
      </w:r>
      <w:r w:rsidRPr="00FA1502">
        <w:rPr>
          <w:rFonts w:ascii="Times New Roman" w:eastAsia="Times New Roman" w:hAnsi="Times New Roman" w:cs="Times New Roman"/>
          <w:b/>
          <w:bCs/>
          <w:sz w:val="24"/>
          <w:szCs w:val="24"/>
          <w:u w:val="single"/>
          <w:lang w:val="en-GB" w:eastAsia="cs-CZ"/>
        </w:rPr>
        <w:t xml:space="preserve">e points 23 and 24 </w:t>
      </w:r>
      <w:r w:rsidRPr="00FA150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170 </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2</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 and </w:t>
      </w:r>
      <w:r w:rsidRPr="00FA150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170 new paragraph</w:t>
      </w:r>
      <w:r w:rsidRPr="00FA1502">
        <w:rPr>
          <w:rFonts w:ascii="Times New Roman" w:eastAsia="Times New Roman" w:hAnsi="Times New Roman" w:cs="Times New Roman"/>
          <w:b/>
          <w:bCs/>
          <w:sz w:val="24"/>
          <w:szCs w:val="24"/>
          <w:u w:val="single"/>
          <w:lang w:val="en-GB" w:eastAsia="cs-CZ"/>
        </w:rPr>
        <w:t>s (</w:t>
      </w:r>
      <w:r w:rsidRPr="00FA1502">
        <w:rPr>
          <w:rFonts w:ascii="Times New Roman" w:eastAsia="Times New Roman" w:hAnsi="Times New Roman" w:cs="Times New Roman"/>
          <w:b/>
          <w:bCs/>
          <w:sz w:val="24"/>
          <w:szCs w:val="24"/>
          <w:u w:val="single"/>
          <w:lang w:val="en-GB" w:eastAsia="cs-CZ"/>
        </w:rPr>
        <w:t>4</w:t>
      </w:r>
      <w:r w:rsidRPr="00FA1502">
        <w:rPr>
          <w:rFonts w:ascii="Times New Roman" w:eastAsia="Times New Roman" w:hAnsi="Times New Roman" w:cs="Times New Roman"/>
          <w:b/>
          <w:bCs/>
          <w:sz w:val="24"/>
          <w:szCs w:val="24"/>
          <w:u w:val="single"/>
          <w:lang w:val="en-GB" w:eastAsia="cs-CZ"/>
        </w:rPr>
        <w:t>) to (6)]</w:t>
      </w:r>
      <w:r w:rsidRPr="00FA1502" w:rsidR="00AA7674">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It is proposed that an investment fund which is a limited partnership </w:t>
      </w:r>
      <w:r w:rsidRPr="00FA1502" w:rsidR="0088003F">
        <w:rPr>
          <w:rFonts w:ascii="Times New Roman" w:eastAsia="Times New Roman" w:hAnsi="Times New Roman" w:cs="Times New Roman"/>
          <w:sz w:val="24"/>
          <w:szCs w:val="24"/>
          <w:lang w:val="en-GB" w:eastAsia="cs-CZ"/>
        </w:rPr>
        <w:t>with</w:t>
      </w:r>
      <w:r w:rsidRPr="00FA1502">
        <w:rPr>
          <w:rFonts w:ascii="Times New Roman" w:eastAsia="Times New Roman" w:hAnsi="Times New Roman" w:cs="Times New Roman"/>
          <w:sz w:val="24"/>
          <w:szCs w:val="24"/>
          <w:lang w:val="en-GB" w:eastAsia="cs-CZ"/>
        </w:rPr>
        <w:t xml:space="preserve"> investment certificates may create sub-funds. The current legislation allows </w:t>
      </w:r>
      <w:r w:rsidRPr="00FA1502" w:rsidR="0088003F">
        <w:rPr>
          <w:rFonts w:ascii="Times New Roman" w:eastAsia="Times New Roman" w:hAnsi="Times New Roman" w:cs="Times New Roman"/>
          <w:sz w:val="24"/>
          <w:szCs w:val="24"/>
          <w:lang w:val="en-GB" w:eastAsia="cs-CZ"/>
        </w:rPr>
        <w:t>only joint stock companies with variable share capital (SICAV) to create</w:t>
      </w:r>
      <w:r w:rsidRPr="00FA1502">
        <w:rPr>
          <w:rFonts w:ascii="Times New Roman" w:eastAsia="Times New Roman" w:hAnsi="Times New Roman" w:cs="Times New Roman"/>
          <w:sz w:val="24"/>
          <w:szCs w:val="24"/>
          <w:lang w:val="en-GB" w:eastAsia="cs-CZ"/>
        </w:rPr>
        <w:t xml:space="preserve"> sub-funds, but there is no reason to prevent this possibility being extended to limited partnerships </w:t>
      </w:r>
      <w:r w:rsidRPr="00FA1502" w:rsidR="003611E5">
        <w:rPr>
          <w:rFonts w:ascii="Times New Roman" w:eastAsia="Times New Roman" w:hAnsi="Times New Roman" w:cs="Times New Roman"/>
          <w:sz w:val="24"/>
          <w:szCs w:val="24"/>
          <w:lang w:val="en-GB" w:eastAsia="cs-CZ"/>
        </w:rPr>
        <w:t>with investment certificates</w:t>
      </w:r>
      <w:r w:rsidRPr="00FA1502">
        <w:rPr>
          <w:rFonts w:ascii="Times New Roman" w:eastAsia="Times New Roman" w:hAnsi="Times New Roman" w:cs="Times New Roman"/>
          <w:sz w:val="24"/>
          <w:szCs w:val="24"/>
          <w:lang w:val="en-GB" w:eastAsia="cs-CZ"/>
        </w:rPr>
        <w:t xml:space="preserve">. In addition, the new abbreviation </w:t>
      </w:r>
      <w:r w:rsidRPr="00FA1502" w:rsidR="00461BFD">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SICAR</w:t>
      </w:r>
      <w:r w:rsidRPr="00FA1502" w:rsidR="00461BFD">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(in French: </w:t>
      </w:r>
      <w:r w:rsidRPr="00FA1502">
        <w:rPr>
          <w:rFonts w:ascii="Times New Roman" w:eastAsia="Times New Roman" w:hAnsi="Times New Roman" w:cs="Times New Roman"/>
          <w:i/>
          <w:iCs/>
          <w:sz w:val="24"/>
          <w:szCs w:val="24"/>
          <w:lang w:val="en-GB" w:eastAsia="cs-CZ"/>
        </w:rPr>
        <w:t>Société</w:t>
      </w:r>
      <w:r w:rsidRPr="00FA1502">
        <w:rPr>
          <w:rFonts w:ascii="Times New Roman" w:eastAsia="Times New Roman" w:hAnsi="Times New Roman" w:cs="Times New Roman"/>
          <w:i/>
          <w:iCs/>
          <w:sz w:val="24"/>
          <w:szCs w:val="24"/>
          <w:lang w:val="en-GB" w:eastAsia="cs-CZ"/>
        </w:rPr>
        <w:t xml:space="preserve"> </w:t>
      </w:r>
      <w:r w:rsidRPr="00FA1502">
        <w:rPr>
          <w:rFonts w:ascii="Times New Roman" w:eastAsia="Times New Roman" w:hAnsi="Times New Roman" w:cs="Times New Roman"/>
          <w:i/>
          <w:iCs/>
          <w:sz w:val="24"/>
          <w:szCs w:val="24"/>
          <w:lang w:val="en-GB" w:eastAsia="cs-CZ"/>
        </w:rPr>
        <w:t>d'Investissement</w:t>
      </w:r>
      <w:r w:rsidRPr="00FA1502">
        <w:rPr>
          <w:rFonts w:ascii="Times New Roman" w:eastAsia="Times New Roman" w:hAnsi="Times New Roman" w:cs="Times New Roman"/>
          <w:i/>
          <w:iCs/>
          <w:sz w:val="24"/>
          <w:szCs w:val="24"/>
          <w:lang w:val="en-GB" w:eastAsia="cs-CZ"/>
        </w:rPr>
        <w:t xml:space="preserve"> </w:t>
      </w:r>
      <w:r w:rsidRPr="00FA1502">
        <w:rPr>
          <w:rFonts w:ascii="Times New Roman" w:eastAsia="Times New Roman" w:hAnsi="Times New Roman" w:cs="Times New Roman"/>
          <w:i/>
          <w:iCs/>
          <w:sz w:val="24"/>
          <w:szCs w:val="24"/>
          <w:lang w:val="en-GB" w:eastAsia="cs-CZ"/>
        </w:rPr>
        <w:t>en</w:t>
      </w:r>
      <w:r w:rsidRPr="00FA1502">
        <w:rPr>
          <w:rFonts w:ascii="Times New Roman" w:eastAsia="Times New Roman" w:hAnsi="Times New Roman" w:cs="Times New Roman"/>
          <w:i/>
          <w:iCs/>
          <w:sz w:val="24"/>
          <w:szCs w:val="24"/>
          <w:lang w:val="en-GB" w:eastAsia="cs-CZ"/>
        </w:rPr>
        <w:t xml:space="preserve"> Capital à </w:t>
      </w:r>
      <w:r w:rsidRPr="00FA1502">
        <w:rPr>
          <w:rFonts w:ascii="Times New Roman" w:eastAsia="Times New Roman" w:hAnsi="Times New Roman" w:cs="Times New Roman"/>
          <w:i/>
          <w:iCs/>
          <w:sz w:val="24"/>
          <w:szCs w:val="24"/>
          <w:lang w:val="en-GB" w:eastAsia="cs-CZ"/>
        </w:rPr>
        <w:t>Risque</w:t>
      </w:r>
      <w:r w:rsidRPr="00FA1502">
        <w:rPr>
          <w:rFonts w:ascii="Times New Roman" w:eastAsia="Times New Roman" w:hAnsi="Times New Roman" w:cs="Times New Roman"/>
          <w:sz w:val="24"/>
          <w:szCs w:val="24"/>
          <w:lang w:val="en-GB" w:eastAsia="cs-CZ"/>
        </w:rPr>
        <w:t>)</w:t>
      </w:r>
      <w:r w:rsidRPr="00FA1502" w:rsidR="00461BFD">
        <w:rPr>
          <w:rFonts w:ascii="Times New Roman" w:eastAsia="Times New Roman" w:hAnsi="Times New Roman" w:cs="Times New Roman"/>
          <w:sz w:val="24"/>
          <w:szCs w:val="24"/>
          <w:lang w:val="en-GB" w:eastAsia="cs-CZ"/>
        </w:rPr>
        <w:t xml:space="preserve"> is introduced for this company</w:t>
      </w:r>
      <w:r w:rsidRPr="00FA1502">
        <w:rPr>
          <w:rFonts w:ascii="Times New Roman" w:eastAsia="Times New Roman" w:hAnsi="Times New Roman" w:cs="Times New Roman"/>
          <w:sz w:val="24"/>
          <w:szCs w:val="24"/>
          <w:lang w:val="en-GB" w:eastAsia="cs-CZ"/>
        </w:rPr>
        <w:t xml:space="preserve">, since this abbreviation is world-wide known and understandable, thus making the company more attractive. The amendment introduces a new rule that the memorandum of association or the decision of all shareholders may provide for a different distribution of profit and loss than allowed by the first sentence of Section 126 (1) of the </w:t>
      </w:r>
      <w:r w:rsidRPr="00FA1502" w:rsidR="00836635">
        <w:rPr>
          <w:rFonts w:ascii="Times New Roman" w:eastAsia="Times New Roman" w:hAnsi="Times New Roman" w:cs="Times New Roman"/>
          <w:sz w:val="24"/>
          <w:szCs w:val="24"/>
          <w:lang w:val="en-GB" w:eastAsia="cs-CZ"/>
        </w:rPr>
        <w:t>B</w:t>
      </w:r>
      <w:r w:rsidRPr="00FA1502">
        <w:rPr>
          <w:rFonts w:ascii="Times New Roman" w:eastAsia="Times New Roman" w:hAnsi="Times New Roman" w:cs="Times New Roman"/>
          <w:sz w:val="24"/>
          <w:szCs w:val="24"/>
          <w:lang w:val="en-GB" w:eastAsia="cs-CZ"/>
        </w:rPr>
        <w:t>usiness Corporations Act.</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 25 (new Part 7 - Section 186a):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amendment creates a new designation for the business name of the investment fund, which is a joint stock company - “investment fund with fixed capital”. This designation may be replaced by the abbreviation </w:t>
      </w:r>
      <w:r w:rsidRPr="00FA1502" w:rsidR="00020AC3">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SICAF</w:t>
      </w:r>
      <w:r w:rsidRPr="00FA1502" w:rsidR="00020AC3">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(in French: </w:t>
      </w:r>
      <w:r w:rsidRPr="00FA1502">
        <w:rPr>
          <w:rFonts w:ascii="Times New Roman" w:eastAsia="Times New Roman" w:hAnsi="Times New Roman" w:cs="Times New Roman"/>
          <w:i/>
          <w:iCs/>
          <w:sz w:val="24"/>
          <w:szCs w:val="24"/>
          <w:lang w:val="en-GB" w:eastAsia="cs-CZ"/>
        </w:rPr>
        <w:t>Société</w:t>
      </w:r>
      <w:r w:rsidRPr="00FA1502">
        <w:rPr>
          <w:rFonts w:ascii="Times New Roman" w:eastAsia="Times New Roman" w:hAnsi="Times New Roman" w:cs="Times New Roman"/>
          <w:i/>
          <w:iCs/>
          <w:sz w:val="24"/>
          <w:szCs w:val="24"/>
          <w:lang w:val="en-GB" w:eastAsia="cs-CZ"/>
        </w:rPr>
        <w:t xml:space="preserve"> </w:t>
      </w:r>
      <w:r w:rsidRPr="00FA1502">
        <w:rPr>
          <w:rFonts w:ascii="Times New Roman" w:eastAsia="Times New Roman" w:hAnsi="Times New Roman" w:cs="Times New Roman"/>
          <w:i/>
          <w:iCs/>
          <w:sz w:val="24"/>
          <w:szCs w:val="24"/>
          <w:lang w:val="en-GB" w:eastAsia="cs-CZ"/>
        </w:rPr>
        <w:t>d'Investissement</w:t>
      </w:r>
      <w:r w:rsidRPr="00FA1502">
        <w:rPr>
          <w:rFonts w:ascii="Times New Roman" w:eastAsia="Times New Roman" w:hAnsi="Times New Roman" w:cs="Times New Roman"/>
          <w:i/>
          <w:iCs/>
          <w:sz w:val="24"/>
          <w:szCs w:val="24"/>
          <w:lang w:val="en-GB" w:eastAsia="cs-CZ"/>
        </w:rPr>
        <w:t xml:space="preserve"> à Capital Fix</w:t>
      </w:r>
      <w:r w:rsidRPr="00FA1502" w:rsidR="00020AC3">
        <w:rPr>
          <w:rFonts w:ascii="Times New Roman" w:eastAsia="Times New Roman" w:hAnsi="Times New Roman" w:cs="Times New Roman"/>
          <w:i/>
          <w:iCs/>
          <w:sz w:val="24"/>
          <w:szCs w:val="24"/>
          <w:lang w:val="en-GB" w:eastAsia="cs-CZ"/>
        </w:rPr>
        <w:t>e</w:t>
      </w:r>
      <w:r w:rsidRPr="00FA1502">
        <w:rPr>
          <w:rFonts w:ascii="Times New Roman" w:eastAsia="Times New Roman" w:hAnsi="Times New Roman" w:cs="Times New Roman"/>
          <w:sz w:val="24"/>
          <w:szCs w:val="24"/>
          <w:lang w:val="en-GB" w:eastAsia="cs-CZ"/>
        </w:rPr>
        <w:t>), since this abbreviation is worldwide known and comprehensible, thus making the company more attractive. The administrator of a closed-end investment fund issues securities that are not ass</w:t>
      </w:r>
      <w:r w:rsidRPr="00FA1502" w:rsidR="009C3105">
        <w:rPr>
          <w:rFonts w:ascii="Times New Roman" w:eastAsia="Times New Roman" w:hAnsi="Times New Roman" w:cs="Times New Roman"/>
          <w:sz w:val="24"/>
          <w:szCs w:val="24"/>
          <w:lang w:val="en-GB" w:eastAsia="cs-CZ"/>
        </w:rPr>
        <w:t xml:space="preserve">ociated with the right of repurchase </w:t>
      </w:r>
      <w:r w:rsidRPr="00FA1502">
        <w:rPr>
          <w:rFonts w:ascii="Times New Roman" w:eastAsia="Times New Roman" w:hAnsi="Times New Roman" w:cs="Times New Roman"/>
          <w:sz w:val="24"/>
          <w:szCs w:val="24"/>
          <w:lang w:val="en-GB" w:eastAsia="cs-CZ"/>
        </w:rPr>
        <w:t>by their issuer and are closed upon the acquisition of capital from investors. The purpose is also to enable ordinary fixed-capital joint-stock companies to create sub-funds similarly to a variable-</w:t>
      </w:r>
      <w:r w:rsidRPr="00FA1502" w:rsidR="00723FDB">
        <w:rPr>
          <w:rFonts w:ascii="Times New Roman" w:eastAsia="Times New Roman" w:hAnsi="Times New Roman" w:cs="Times New Roman"/>
          <w:sz w:val="24"/>
          <w:szCs w:val="24"/>
          <w:lang w:val="en-GB" w:eastAsia="cs-CZ"/>
        </w:rPr>
        <w:t>capital joint-stock company</w:t>
      </w:r>
      <w:r w:rsidRPr="00FA1502">
        <w:rPr>
          <w:rFonts w:ascii="Times New Roman" w:eastAsia="Times New Roman" w:hAnsi="Times New Roman" w:cs="Times New Roman"/>
          <w:sz w:val="24"/>
          <w:szCs w:val="24"/>
          <w:lang w:val="en-GB" w:eastAsia="cs-CZ"/>
        </w:rPr>
        <w:t xml:space="preserve">, which also </w:t>
      </w:r>
      <w:r w:rsidRPr="00FA1502" w:rsidR="00723FDB">
        <w:rPr>
          <w:rFonts w:ascii="Times New Roman" w:eastAsia="Times New Roman" w:hAnsi="Times New Roman" w:cs="Times New Roman"/>
          <w:sz w:val="24"/>
          <w:szCs w:val="24"/>
          <w:lang w:val="en-GB" w:eastAsia="cs-CZ"/>
        </w:rPr>
        <w:t>flatten</w:t>
      </w:r>
      <w:r w:rsidRPr="00FA1502">
        <w:rPr>
          <w:rFonts w:ascii="Times New Roman" w:eastAsia="Times New Roman" w:hAnsi="Times New Roman" w:cs="Times New Roman"/>
          <w:sz w:val="24"/>
          <w:szCs w:val="24"/>
          <w:lang w:val="en-GB" w:eastAsia="cs-CZ"/>
        </w:rPr>
        <w:t xml:space="preserve"> the disadvantage of the domestic capital market to foreign markets where 'normal' joint-stock companies can create sub-funds.</w:t>
      </w:r>
      <w:r w:rsidR="00A7116F">
        <w:rPr>
          <w:rFonts w:ascii="Times New Roman" w:eastAsia="Times New Roman" w:hAnsi="Times New Roman" w:cs="Times New Roman"/>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points 2</w:t>
      </w:r>
      <w:r w:rsidRPr="00FA1502">
        <w:rPr>
          <w:rFonts w:ascii="Times New Roman" w:eastAsia="Times New Roman" w:hAnsi="Times New Roman" w:cs="Times New Roman"/>
          <w:b/>
          <w:bCs/>
          <w:sz w:val="24"/>
          <w:szCs w:val="24"/>
          <w:u w:val="single"/>
          <w:lang w:val="en-GB" w:eastAsia="cs-CZ"/>
        </w:rPr>
        <w:t>6 to 29 [</w:t>
      </w:r>
      <w:r w:rsidRPr="00FA1502">
        <w:rPr>
          <w:rFonts w:ascii="Times New Roman" w:eastAsia="Times New Roman" w:hAnsi="Times New Roman" w:cs="Times New Roman"/>
          <w:b/>
          <w:bCs/>
          <w:sz w:val="24"/>
          <w:szCs w:val="24"/>
          <w:u w:val="single"/>
          <w:lang w:val="en-GB" w:eastAsia="cs-CZ"/>
        </w:rPr>
        <w:t xml:space="preserve">Section 193 (2) </w:t>
      </w:r>
      <w:r w:rsidRPr="00FA1502">
        <w:rPr>
          <w:rFonts w:ascii="Times New Roman" w:eastAsia="Times New Roman" w:hAnsi="Times New Roman" w:cs="Times New Roman"/>
          <w:b/>
          <w:bCs/>
          <w:sz w:val="24"/>
          <w:szCs w:val="24"/>
          <w:u w:val="single"/>
          <w:lang w:val="en-GB" w:eastAsia="cs-CZ"/>
        </w:rPr>
        <w:t xml:space="preserve">(b), (c), deletion of </w:t>
      </w:r>
      <w:r w:rsidRPr="00FA1502">
        <w:rPr>
          <w:rFonts w:ascii="Times New Roman" w:eastAsia="Times New Roman" w:hAnsi="Times New Roman" w:cs="Times New Roman"/>
          <w:b/>
          <w:bCs/>
          <w:sz w:val="24"/>
          <w:szCs w:val="24"/>
          <w:u w:val="single"/>
          <w:lang w:val="en-GB" w:eastAsia="cs-CZ"/>
        </w:rPr>
        <w:t xml:space="preserve">letter </w:t>
      </w:r>
      <w:r w:rsidRPr="00FA1502">
        <w:rPr>
          <w:rFonts w:ascii="Times New Roman" w:eastAsia="Times New Roman" w:hAnsi="Times New Roman" w:cs="Times New Roman"/>
          <w:b/>
          <w:bCs/>
          <w:sz w:val="24"/>
          <w:szCs w:val="24"/>
          <w:u w:val="single"/>
          <w:lang w:val="en-GB" w:eastAsia="cs-CZ"/>
        </w:rPr>
        <w:t xml:space="preserve">(d) and new paragraph </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6</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deadline for determining the value of a </w:t>
      </w:r>
      <w:r w:rsidRPr="00FA1502" w:rsidR="00577242">
        <w:rPr>
          <w:rFonts w:ascii="Times New Roman" w:eastAsia="Times New Roman" w:hAnsi="Times New Roman" w:cs="Times New Roman"/>
          <w:sz w:val="24"/>
          <w:szCs w:val="24"/>
          <w:lang w:val="en-GB" w:eastAsia="cs-CZ"/>
        </w:rPr>
        <w:t>share certificate</w:t>
      </w:r>
      <w:r w:rsidRPr="00FA1502">
        <w:rPr>
          <w:rFonts w:ascii="Times New Roman" w:eastAsia="Times New Roman" w:hAnsi="Times New Roman" w:cs="Times New Roman"/>
          <w:sz w:val="24"/>
          <w:szCs w:val="24"/>
          <w:lang w:val="en-GB" w:eastAsia="cs-CZ"/>
        </w:rPr>
        <w:t xml:space="preserve"> of an investment fund that invests in real estate or participations in real estate companies is brought into line with the relevant EU regulations. The right of repurchase of </w:t>
      </w:r>
      <w:r w:rsidRPr="00FA1502" w:rsidR="00E37D2F">
        <w:rPr>
          <w:rFonts w:ascii="Times New Roman" w:eastAsia="Times New Roman" w:hAnsi="Times New Roman" w:cs="Times New Roman"/>
          <w:sz w:val="24"/>
          <w:szCs w:val="24"/>
          <w:lang w:val="en-GB" w:eastAsia="cs-CZ"/>
        </w:rPr>
        <w:t xml:space="preserve">share </w:t>
      </w:r>
      <w:r w:rsidRPr="00FA1502">
        <w:rPr>
          <w:rFonts w:ascii="Times New Roman" w:eastAsia="Times New Roman" w:hAnsi="Times New Roman" w:cs="Times New Roman"/>
          <w:sz w:val="24"/>
          <w:szCs w:val="24"/>
          <w:lang w:val="en-GB" w:eastAsia="cs-CZ"/>
        </w:rPr>
        <w:t xml:space="preserve">certificates of these investment funds </w:t>
      </w:r>
      <w:r w:rsidRPr="00FA1502" w:rsidR="00E37D2F">
        <w:rPr>
          <w:rFonts w:ascii="Times New Roman" w:eastAsia="Times New Roman" w:hAnsi="Times New Roman" w:cs="Times New Roman"/>
          <w:sz w:val="24"/>
          <w:szCs w:val="24"/>
          <w:lang w:val="en-GB" w:eastAsia="cs-CZ"/>
        </w:rPr>
        <w:t xml:space="preserve">is </w:t>
      </w:r>
      <w:r w:rsidRPr="00FA1502">
        <w:rPr>
          <w:rFonts w:ascii="Times New Roman" w:eastAsia="Times New Roman" w:hAnsi="Times New Roman" w:cs="Times New Roman"/>
          <w:sz w:val="24"/>
          <w:szCs w:val="24"/>
          <w:lang w:val="en-GB" w:eastAsia="cs-CZ"/>
        </w:rPr>
        <w:t>also adapt</w:t>
      </w:r>
      <w:r w:rsidRPr="00FA1502" w:rsidR="00E37D2F">
        <w:rPr>
          <w:rFonts w:ascii="Times New Roman" w:eastAsia="Times New Roman" w:hAnsi="Times New Roman" w:cs="Times New Roman"/>
          <w:sz w:val="24"/>
          <w:szCs w:val="24"/>
          <w:lang w:val="en-GB" w:eastAsia="cs-CZ"/>
        </w:rPr>
        <w:t>ed</w:t>
      </w:r>
      <w:r w:rsidRPr="00FA1502">
        <w:rPr>
          <w:rFonts w:ascii="Times New Roman" w:eastAsia="Times New Roman" w:hAnsi="Times New Roman" w:cs="Times New Roman"/>
          <w:sz w:val="24"/>
          <w:szCs w:val="24"/>
          <w:lang w:val="en-GB" w:eastAsia="cs-CZ"/>
        </w:rPr>
        <w:t xml:space="preserve"> to this. At the same time, the period is shortened from 3 years to 2 years, which runs from the establishment of the fund, when the </w:t>
      </w:r>
      <w:r w:rsidRPr="00FA1502" w:rsidR="006F2D43">
        <w:rPr>
          <w:rFonts w:ascii="Times New Roman" w:eastAsia="Times New Roman" w:hAnsi="Times New Roman" w:cs="Times New Roman"/>
          <w:sz w:val="24"/>
          <w:szCs w:val="24"/>
          <w:lang w:val="en-GB" w:eastAsia="cs-CZ"/>
        </w:rPr>
        <w:t xml:space="preserve">share </w:t>
      </w:r>
      <w:r w:rsidRPr="00FA1502">
        <w:rPr>
          <w:rFonts w:ascii="Times New Roman" w:eastAsia="Times New Roman" w:hAnsi="Times New Roman" w:cs="Times New Roman"/>
          <w:sz w:val="24"/>
          <w:szCs w:val="24"/>
          <w:lang w:val="en-GB" w:eastAsia="cs-CZ"/>
        </w:rPr>
        <w:t>certificates of these funds do not have to be redeemed.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3</w:t>
      </w:r>
      <w:r w:rsidRPr="00FA1502">
        <w:rPr>
          <w:rFonts w:ascii="Times New Roman" w:eastAsia="Times New Roman" w:hAnsi="Times New Roman" w:cs="Times New Roman"/>
          <w:b/>
          <w:bCs/>
          <w:sz w:val="24"/>
          <w:szCs w:val="24"/>
          <w:u w:val="single"/>
          <w:lang w:val="en-GB" w:eastAsia="cs-CZ"/>
        </w:rPr>
        <w:t xml:space="preserve">0 (new </w:t>
      </w:r>
      <w:r w:rsidRPr="00FA150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193a):</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Funds other than mutual funds and SICAV are also required to issue shares at the value of fund capital (NAV). The purpose of this adjustment is to avoid distorting the assets of existing investors in the case of a share issue at a different price.</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w:t>
      </w:r>
      <w:r w:rsidRPr="00FA1502">
        <w:rPr>
          <w:rFonts w:ascii="Times New Roman" w:eastAsia="Times New Roman" w:hAnsi="Times New Roman" w:cs="Times New Roman"/>
          <w:b/>
          <w:bCs/>
          <w:sz w:val="24"/>
          <w:szCs w:val="24"/>
          <w:u w:val="single"/>
          <w:lang w:val="en-GB" w:eastAsia="cs-CZ"/>
        </w:rPr>
        <w:t xml:space="preserve">point </w:t>
      </w:r>
      <w:r w:rsidRPr="00FA1502">
        <w:rPr>
          <w:rFonts w:ascii="Times New Roman" w:eastAsia="Times New Roman" w:hAnsi="Times New Roman" w:cs="Times New Roman"/>
          <w:b/>
          <w:bCs/>
          <w:sz w:val="24"/>
          <w:szCs w:val="24"/>
          <w:u w:val="single"/>
          <w:lang w:val="en-GB" w:eastAsia="cs-CZ"/>
        </w:rPr>
        <w:t>3</w:t>
      </w:r>
      <w:r w:rsidRPr="00FA1502">
        <w:rPr>
          <w:rFonts w:ascii="Times New Roman" w:eastAsia="Times New Roman" w:hAnsi="Times New Roman" w:cs="Times New Roman"/>
          <w:b/>
          <w:bCs/>
          <w:sz w:val="24"/>
          <w:szCs w:val="24"/>
          <w:u w:val="single"/>
          <w:lang w:val="en-GB" w:eastAsia="cs-CZ"/>
        </w:rPr>
        <w:t xml:space="preserve">1 </w:t>
      </w:r>
      <w:r w:rsidRPr="00FA150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196 </w:t>
      </w:r>
      <w:r w:rsidRPr="00FA1502">
        <w:rPr>
          <w:rFonts w:ascii="Times New Roman" w:eastAsia="Times New Roman" w:hAnsi="Times New Roman" w:cs="Times New Roman"/>
          <w:b/>
          <w:bCs/>
          <w:sz w:val="24"/>
          <w:szCs w:val="24"/>
          <w:u w:val="single"/>
          <w:lang w:val="en-GB" w:eastAsia="cs-CZ"/>
        </w:rPr>
        <w:t>deletion of paragraph (</w:t>
      </w:r>
      <w:r w:rsidRPr="00FA1502">
        <w:rPr>
          <w:rFonts w:ascii="Times New Roman" w:eastAsia="Times New Roman" w:hAnsi="Times New Roman" w:cs="Times New Roman"/>
          <w:b/>
          <w:bCs/>
          <w:sz w:val="24"/>
          <w:szCs w:val="24"/>
          <w:u w:val="single"/>
          <w:lang w:val="en-GB" w:eastAsia="cs-CZ"/>
        </w:rPr>
        <w:t>2</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 and </w:t>
      </w:r>
      <w:r w:rsidRPr="00FA1502">
        <w:rPr>
          <w:rFonts w:ascii="Times New Roman" w:eastAsia="Times New Roman" w:hAnsi="Times New Roman" w:cs="Times New Roman"/>
          <w:b/>
          <w:bCs/>
          <w:sz w:val="24"/>
          <w:szCs w:val="24"/>
          <w:u w:val="single"/>
          <w:lang w:val="en-GB" w:eastAsia="cs-CZ"/>
        </w:rPr>
        <w:t xml:space="preserve">designation of </w:t>
      </w:r>
      <w:r w:rsidRPr="00FA1502">
        <w:rPr>
          <w:rFonts w:ascii="Times New Roman" w:eastAsia="Times New Roman" w:hAnsi="Times New Roman" w:cs="Times New Roman"/>
          <w:b/>
          <w:bCs/>
          <w:sz w:val="24"/>
          <w:szCs w:val="24"/>
          <w:u w:val="single"/>
          <w:lang w:val="en-GB" w:eastAsia="cs-CZ"/>
        </w:rPr>
        <w:t xml:space="preserve">paragraph </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1)</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rules on collective investment are aligned with the applicable accounting standards. Above all, the possible conflict between the wording of </w:t>
      </w:r>
      <w:r w:rsidRPr="00FA1502" w:rsidR="00A26DE9">
        <w:rPr>
          <w:rFonts w:ascii="Times New Roman" w:eastAsia="Times New Roman" w:hAnsi="Times New Roman" w:cs="Times New Roman"/>
          <w:sz w:val="24"/>
          <w:szCs w:val="24"/>
          <w:lang w:val="en-GB" w:eastAsia="cs-CZ"/>
        </w:rPr>
        <w:t>ZISIF and Section</w:t>
      </w:r>
      <w:r w:rsidRPr="00FA1502">
        <w:rPr>
          <w:rFonts w:ascii="Times New Roman" w:eastAsia="Times New Roman" w:hAnsi="Times New Roman" w:cs="Times New Roman"/>
          <w:sz w:val="24"/>
          <w:szCs w:val="24"/>
          <w:lang w:val="en-GB" w:eastAsia="cs-CZ"/>
        </w:rPr>
        <w:t xml:space="preserve"> 4a of Decree No. 501/2002 Coll.</w:t>
      </w:r>
      <w:r w:rsidRPr="00FA1502" w:rsidR="00A26DE9">
        <w:rPr>
          <w:rFonts w:ascii="Times New Roman" w:eastAsia="Times New Roman" w:hAnsi="Times New Roman" w:cs="Times New Roman"/>
          <w:sz w:val="24"/>
          <w:szCs w:val="24"/>
          <w:lang w:val="en-GB" w:eastAsia="cs-CZ"/>
        </w:rPr>
        <w:t xml:space="preserve"> is being avoided.</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3</w:t>
      </w:r>
      <w:r w:rsidRPr="00FA1502" w:rsidR="00A26DE9">
        <w:rPr>
          <w:rFonts w:ascii="Times New Roman" w:eastAsia="Times New Roman" w:hAnsi="Times New Roman" w:cs="Times New Roman"/>
          <w:b/>
          <w:bCs/>
          <w:sz w:val="24"/>
          <w:szCs w:val="24"/>
          <w:u w:val="single"/>
          <w:lang w:val="en-GB" w:eastAsia="cs-CZ"/>
        </w:rPr>
        <w:t>2 (Section</w:t>
      </w:r>
      <w:r w:rsidRPr="00FA1502">
        <w:rPr>
          <w:rFonts w:ascii="Times New Roman" w:eastAsia="Times New Roman" w:hAnsi="Times New Roman" w:cs="Times New Roman"/>
          <w:b/>
          <w:bCs/>
          <w:sz w:val="24"/>
          <w:szCs w:val="24"/>
          <w:u w:val="single"/>
          <w:lang w:val="en-GB" w:eastAsia="cs-CZ"/>
        </w:rPr>
        <w:t xml:space="preserve"> 295a):</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change is related to</w:t>
      </w:r>
      <w:r w:rsidRPr="00FA1502" w:rsidR="00A26DE9">
        <w:rPr>
          <w:rFonts w:ascii="Times New Roman" w:eastAsia="Times New Roman" w:hAnsi="Times New Roman" w:cs="Times New Roman"/>
          <w:sz w:val="24"/>
          <w:szCs w:val="24"/>
          <w:lang w:val="en-GB" w:eastAsia="cs-CZ"/>
        </w:rPr>
        <w:t xml:space="preserve"> the change in Section 325a of </w:t>
      </w:r>
      <w:r w:rsidRPr="00FA1502">
        <w:rPr>
          <w:rFonts w:ascii="Times New Roman" w:eastAsia="Times New Roman" w:hAnsi="Times New Roman" w:cs="Times New Roman"/>
          <w:sz w:val="24"/>
          <w:szCs w:val="24"/>
          <w:lang w:val="en-GB" w:eastAsia="cs-CZ"/>
        </w:rPr>
        <w:t>ZISIF.</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points 33 and 34 </w:t>
      </w:r>
      <w:r w:rsidRPr="00FA1502" w:rsidR="00157480">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Section 315 (1), Section 316 (2), Section 318 (1) and (2), Section 319 (1) and (2), Section 320 (1) and (2), </w:t>
      </w:r>
      <w:r w:rsidRPr="00FA150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322 (3) and 4, Section 324 (1) and (2) and Section 325 (1), (2) and (4)</w:t>
      </w:r>
      <w:r w:rsidRPr="00FA1502" w:rsidR="00157480">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lists of foreign inv</w:t>
      </w:r>
      <w:r w:rsidRPr="00FA1502" w:rsidR="00635CE6">
        <w:rPr>
          <w:rFonts w:ascii="Times New Roman" w:eastAsia="Times New Roman" w:hAnsi="Times New Roman" w:cs="Times New Roman"/>
          <w:sz w:val="24"/>
          <w:szCs w:val="24"/>
          <w:lang w:val="en-GB" w:eastAsia="cs-CZ"/>
        </w:rPr>
        <w:t>estment funds in Section 597 of ZISIF are merged</w:t>
      </w:r>
      <w:r w:rsidRPr="00FA1502">
        <w:rPr>
          <w:rFonts w:ascii="Times New Roman" w:eastAsia="Times New Roman" w:hAnsi="Times New Roman" w:cs="Times New Roman"/>
          <w:sz w:val="24"/>
          <w:szCs w:val="24"/>
          <w:lang w:val="en-GB" w:eastAsia="cs-CZ"/>
        </w:rPr>
        <w:t xml:space="preserve">. The current regime is a specific national regulation that is not used by foreign entities and makes the lists kept by </w:t>
      </w:r>
      <w:r w:rsidRPr="00FA1502">
        <w:rPr>
          <w:rFonts w:ascii="Times New Roman" w:eastAsia="Times New Roman" w:hAnsi="Times New Roman" w:cs="Times New Roman"/>
          <w:sz w:val="24"/>
          <w:szCs w:val="24"/>
          <w:lang w:val="en-GB" w:eastAsia="cs-CZ"/>
        </w:rPr>
        <w:t>th</w:t>
      </w:r>
      <w:r w:rsidRPr="00FA1502" w:rsidR="00635CE6">
        <w:rPr>
          <w:rFonts w:ascii="Times New Roman" w:eastAsia="Times New Roman" w:hAnsi="Times New Roman" w:cs="Times New Roman"/>
          <w:sz w:val="24"/>
          <w:szCs w:val="24"/>
          <w:lang w:val="en-GB" w:eastAsia="cs-CZ"/>
        </w:rPr>
        <w:t>e CNB unclear</w:t>
      </w:r>
      <w:r w:rsidRPr="00FA1502">
        <w:rPr>
          <w:rFonts w:ascii="Times New Roman" w:eastAsia="Times New Roman" w:hAnsi="Times New Roman" w:cs="Times New Roman"/>
          <w:sz w:val="24"/>
          <w:szCs w:val="24"/>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3</w:t>
      </w:r>
      <w:r w:rsidRPr="00FA1502">
        <w:rPr>
          <w:rFonts w:ascii="Times New Roman" w:eastAsia="Times New Roman" w:hAnsi="Times New Roman" w:cs="Times New Roman"/>
          <w:b/>
          <w:bCs/>
          <w:sz w:val="24"/>
          <w:szCs w:val="24"/>
          <w:u w:val="single"/>
          <w:lang w:val="en-GB" w:eastAsia="cs-CZ"/>
        </w:rPr>
        <w:t>5 (</w:t>
      </w:r>
      <w:r w:rsidRPr="00FA150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325a):</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Due to excessive regulation bringing disproportionate costs, obligatory entry into the list of CNB funds w</w:t>
      </w:r>
      <w:r w:rsidRPr="00FA1502" w:rsidR="00FA6D67">
        <w:rPr>
          <w:rFonts w:ascii="Times New Roman" w:eastAsia="Times New Roman" w:hAnsi="Times New Roman" w:cs="Times New Roman"/>
          <w:sz w:val="24"/>
          <w:szCs w:val="24"/>
          <w:lang w:val="en-GB" w:eastAsia="cs-CZ"/>
        </w:rPr>
        <w:t>hose home country is not an EU m</w:t>
      </w:r>
      <w:r w:rsidRPr="00FA1502">
        <w:rPr>
          <w:rFonts w:ascii="Times New Roman" w:eastAsia="Times New Roman" w:hAnsi="Times New Roman" w:cs="Times New Roman"/>
          <w:sz w:val="24"/>
          <w:szCs w:val="24"/>
          <w:lang w:val="en-GB" w:eastAsia="cs-CZ"/>
        </w:rPr>
        <w:t xml:space="preserve">ember </w:t>
      </w:r>
      <w:r w:rsidRPr="00FA1502" w:rsidR="00FA6D67">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tate, managed by a manager not authorized to exceed the decisive limit and which are publicly offered in the Czech Republic</w:t>
      </w:r>
      <w:r w:rsidRPr="00FA1502" w:rsidR="00FA6D67">
        <w:rPr>
          <w:rFonts w:ascii="Times New Roman" w:eastAsia="Times New Roman" w:hAnsi="Times New Roman" w:cs="Times New Roman"/>
          <w:sz w:val="24"/>
          <w:szCs w:val="24"/>
          <w:lang w:val="en-GB" w:eastAsia="cs-CZ"/>
        </w:rPr>
        <w:t>, is abolished. Section</w:t>
      </w:r>
      <w:r w:rsidRPr="00FA1502">
        <w:rPr>
          <w:rFonts w:ascii="Times New Roman" w:eastAsia="Times New Roman" w:hAnsi="Times New Roman" w:cs="Times New Roman"/>
          <w:sz w:val="24"/>
          <w:szCs w:val="24"/>
          <w:lang w:val="en-GB" w:eastAsia="cs-CZ"/>
        </w:rPr>
        <w:t xml:space="preserve"> 325a of ZISIF expressly refers to the terms of the public bidding, so it can be concluded, </w:t>
      </w:r>
      <w:r w:rsidRPr="00A7116F">
        <w:rPr>
          <w:rFonts w:ascii="Times New Roman" w:eastAsia="Times New Roman" w:hAnsi="Times New Roman" w:cs="Times New Roman"/>
          <w:i/>
          <w:sz w:val="24"/>
          <w:szCs w:val="24"/>
          <w:lang w:val="en-GB" w:eastAsia="cs-CZ"/>
        </w:rPr>
        <w:t xml:space="preserve">a </w:t>
      </w:r>
      <w:r w:rsidRPr="00A7116F">
        <w:rPr>
          <w:rFonts w:ascii="Times New Roman" w:eastAsia="Times New Roman" w:hAnsi="Times New Roman" w:cs="Times New Roman"/>
          <w:i/>
          <w:sz w:val="24"/>
          <w:szCs w:val="24"/>
          <w:lang w:val="en-GB" w:eastAsia="cs-CZ"/>
        </w:rPr>
        <w:t>contrario</w:t>
      </w:r>
      <w:r w:rsidRPr="00FA1502">
        <w:rPr>
          <w:rFonts w:ascii="Times New Roman" w:eastAsia="Times New Roman" w:hAnsi="Times New Roman" w:cs="Times New Roman"/>
          <w:sz w:val="24"/>
          <w:szCs w:val="24"/>
          <w:lang w:val="en-GB" w:eastAsia="cs-CZ"/>
        </w:rPr>
        <w:t>, that</w:t>
      </w:r>
      <w:r w:rsidRPr="00FA1502">
        <w:rPr>
          <w:rFonts w:ascii="Times New Roman" w:eastAsia="Times New Roman" w:hAnsi="Times New Roman" w:cs="Times New Roman"/>
          <w:sz w:val="24"/>
          <w:szCs w:val="24"/>
          <w:lang w:val="en-GB" w:eastAsia="cs-CZ"/>
        </w:rPr>
        <w:t xml:space="preserve"> a bid that will not achieve the quality of the </w:t>
      </w:r>
      <w:r w:rsidRPr="00FA1502">
        <w:rPr>
          <w:rFonts w:ascii="Times New Roman" w:eastAsia="Times New Roman" w:hAnsi="Times New Roman" w:cs="Times New Roman"/>
          <w:iCs/>
          <w:sz w:val="24"/>
          <w:szCs w:val="24"/>
          <w:lang w:val="en-GB" w:eastAsia="cs-CZ"/>
        </w:rPr>
        <w:t>private</w:t>
      </w:r>
      <w:r w:rsidRPr="00FA1502">
        <w:rPr>
          <w:rFonts w:ascii="Times New Roman" w:eastAsia="Times New Roman" w:hAnsi="Times New Roman" w:cs="Times New Roman"/>
          <w:i/>
          <w:iCs/>
          <w:sz w:val="24"/>
          <w:szCs w:val="24"/>
          <w:lang w:val="en-GB" w:eastAsia="cs-CZ"/>
        </w:rPr>
        <w:t xml:space="preserve"> </w:t>
      </w:r>
      <w:r w:rsidRPr="00FA1502">
        <w:rPr>
          <w:rFonts w:ascii="Times New Roman" w:eastAsia="Times New Roman" w:hAnsi="Times New Roman" w:cs="Times New Roman"/>
          <w:sz w:val="24"/>
          <w:szCs w:val="24"/>
          <w:lang w:val="en-GB" w:eastAsia="cs-CZ"/>
        </w:rPr>
        <w:t>bidding can be carried out without fulfilling the condition set out in this provision. However, the provision must be i</w:t>
      </w:r>
      <w:r w:rsidRPr="00FA1502" w:rsidR="00952E0B">
        <w:rPr>
          <w:rFonts w:ascii="Times New Roman" w:eastAsia="Times New Roman" w:hAnsi="Times New Roman" w:cs="Times New Roman"/>
          <w:sz w:val="24"/>
          <w:szCs w:val="24"/>
          <w:lang w:val="en-GB" w:eastAsia="cs-CZ"/>
        </w:rPr>
        <w:t>nterpreted in conjunction with Section</w:t>
      </w:r>
      <w:r w:rsidRPr="00FA1502">
        <w:rPr>
          <w:rFonts w:ascii="Times New Roman" w:eastAsia="Times New Roman" w:hAnsi="Times New Roman" w:cs="Times New Roman"/>
          <w:sz w:val="24"/>
          <w:szCs w:val="24"/>
          <w:lang w:val="en-GB" w:eastAsia="cs-CZ"/>
        </w:rPr>
        <w:t xml:space="preserve"> 296 and 297 (2) of ZISIF, which impose restrictions in relation to this category of funds - only a qualified investor can become an investor.</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points 3</w:t>
      </w:r>
      <w:r w:rsidRPr="00FA1502" w:rsidR="006E0D1D">
        <w:rPr>
          <w:rFonts w:ascii="Times New Roman" w:eastAsia="Times New Roman" w:hAnsi="Times New Roman" w:cs="Times New Roman"/>
          <w:b/>
          <w:bCs/>
          <w:sz w:val="24"/>
          <w:szCs w:val="24"/>
          <w:u w:val="single"/>
          <w:lang w:val="en-GB" w:eastAsia="cs-CZ"/>
        </w:rPr>
        <w:t xml:space="preserve">6 and 38 [Section </w:t>
      </w:r>
      <w:r w:rsidRPr="00FA1502">
        <w:rPr>
          <w:rFonts w:ascii="Times New Roman" w:eastAsia="Times New Roman" w:hAnsi="Times New Roman" w:cs="Times New Roman"/>
          <w:b/>
          <w:bCs/>
          <w:sz w:val="24"/>
          <w:szCs w:val="24"/>
          <w:u w:val="single"/>
          <w:lang w:val="en-GB" w:eastAsia="cs-CZ"/>
        </w:rPr>
        <w:t xml:space="preserve">376 new paragraph </w:t>
      </w:r>
      <w:r w:rsidRPr="00FA1502" w:rsidR="006E0D1D">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3</w:t>
      </w:r>
      <w:r w:rsidRPr="00FA1502" w:rsidR="006E0D1D">
        <w:rPr>
          <w:rFonts w:ascii="Times New Roman" w:eastAsia="Times New Roman" w:hAnsi="Times New Roman" w:cs="Times New Roman"/>
          <w:b/>
          <w:bCs/>
          <w:sz w:val="24"/>
          <w:szCs w:val="24"/>
          <w:u w:val="single"/>
          <w:lang w:val="en-GB" w:eastAsia="cs-CZ"/>
        </w:rPr>
        <w:t>) and Section</w:t>
      </w:r>
      <w:r w:rsidRPr="00FA1502">
        <w:rPr>
          <w:rFonts w:ascii="Times New Roman" w:eastAsia="Times New Roman" w:hAnsi="Times New Roman" w:cs="Times New Roman"/>
          <w:b/>
          <w:bCs/>
          <w:sz w:val="24"/>
          <w:szCs w:val="24"/>
          <w:u w:val="single"/>
          <w:lang w:val="en-GB" w:eastAsia="cs-CZ"/>
        </w:rPr>
        <w:t xml:space="preserve"> 467 new paragraph </w:t>
      </w:r>
      <w:r w:rsidRPr="00FA1502" w:rsidR="006E0D1D">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6)</w:t>
      </w:r>
      <w:r w:rsidRPr="00FA1502" w:rsidR="006E0D1D">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Some procedural aspects of the liquidation of the mutual fund are clarified. This includes, inter alia, disclosure of information on ongoing liquidation in CNB </w:t>
      </w:r>
      <w:r w:rsidRPr="00FA1502" w:rsidR="00750DEF">
        <w:rPr>
          <w:rFonts w:ascii="Times New Roman" w:eastAsia="Times New Roman" w:hAnsi="Times New Roman" w:cs="Times New Roman"/>
          <w:sz w:val="24"/>
          <w:szCs w:val="24"/>
          <w:lang w:val="en-GB" w:eastAsia="cs-CZ"/>
        </w:rPr>
        <w:t>lists pursuant to Section 597 (b</w:t>
      </w:r>
      <w:r w:rsidRPr="00FA1502">
        <w:rPr>
          <w:rFonts w:ascii="Times New Roman" w:eastAsia="Times New Roman" w:hAnsi="Times New Roman" w:cs="Times New Roman"/>
          <w:sz w:val="24"/>
          <w:szCs w:val="24"/>
          <w:lang w:val="en-GB" w:eastAsia="cs-CZ"/>
        </w:rPr>
        <w:t>)</w:t>
      </w:r>
      <w:r w:rsidRPr="00FA1502" w:rsidR="00750DEF">
        <w:rPr>
          <w:rFonts w:ascii="Times New Roman" w:eastAsia="Times New Roman" w:hAnsi="Times New Roman" w:cs="Times New Roman"/>
          <w:sz w:val="24"/>
          <w:szCs w:val="24"/>
          <w:lang w:val="en-GB" w:eastAsia="cs-CZ"/>
        </w:rPr>
        <w:t xml:space="preserve"> of ZISIF in order to </w:t>
      </w:r>
      <w:r w:rsidRPr="00FA1502">
        <w:rPr>
          <w:rFonts w:ascii="Times New Roman" w:eastAsia="Times New Roman" w:hAnsi="Times New Roman" w:cs="Times New Roman"/>
          <w:sz w:val="24"/>
          <w:szCs w:val="24"/>
          <w:lang w:val="en-GB" w:eastAsia="cs-CZ"/>
        </w:rPr>
        <w:t>ensure transparency</w:t>
      </w:r>
      <w:r w:rsidRPr="00FA1502" w:rsidR="00740B61">
        <w:rPr>
          <w:rFonts w:ascii="Times New Roman" w:eastAsia="Times New Roman" w:hAnsi="Times New Roman" w:cs="Times New Roman"/>
          <w:sz w:val="24"/>
          <w:szCs w:val="24"/>
          <w:lang w:val="en-GB" w:eastAsia="cs-CZ"/>
        </w:rPr>
        <w:t xml:space="preserve">. Administrator instead of the </w:t>
      </w:r>
      <w:r w:rsidRPr="00FA1502" w:rsidR="00740B61">
        <w:rPr>
          <w:rFonts w:ascii="Times New Roman" w:eastAsia="Times New Roman" w:hAnsi="Times New Roman" w:cs="Times New Roman"/>
          <w:sz w:val="24"/>
          <w:szCs w:val="24"/>
          <w:lang w:val="en-GB" w:eastAsia="cs-CZ"/>
        </w:rPr>
        <w:t>management c</w:t>
      </w:r>
      <w:r w:rsidRPr="00FA1502">
        <w:rPr>
          <w:rFonts w:ascii="Times New Roman" w:eastAsia="Times New Roman" w:hAnsi="Times New Roman" w:cs="Times New Roman"/>
          <w:sz w:val="24"/>
          <w:szCs w:val="24"/>
          <w:lang w:val="en-GB" w:eastAsia="cs-CZ"/>
        </w:rPr>
        <w:t>ompany</w:t>
      </w:r>
      <w:r w:rsidRPr="00FA1502">
        <w:rPr>
          <w:rFonts w:ascii="Times New Roman" w:eastAsia="Times New Roman" w:hAnsi="Times New Roman" w:cs="Times New Roman"/>
          <w:sz w:val="24"/>
          <w:szCs w:val="24"/>
          <w:lang w:val="en-GB" w:eastAsia="cs-CZ"/>
        </w:rPr>
        <w:t xml:space="preserve"> or liquidator of a mutual fund shall, without undue delay after the </w:t>
      </w:r>
      <w:r w:rsidRPr="00FA1502" w:rsidR="00740B61">
        <w:rPr>
          <w:rFonts w:ascii="Times New Roman" w:eastAsia="Times New Roman" w:hAnsi="Times New Roman" w:cs="Times New Roman"/>
          <w:sz w:val="24"/>
          <w:szCs w:val="24"/>
          <w:lang w:val="en-GB" w:eastAsia="cs-CZ"/>
        </w:rPr>
        <w:t xml:space="preserve">distribution of </w:t>
      </w:r>
      <w:r w:rsidRPr="00FA1502">
        <w:rPr>
          <w:rFonts w:ascii="Times New Roman" w:eastAsia="Times New Roman" w:hAnsi="Times New Roman" w:cs="Times New Roman"/>
          <w:sz w:val="24"/>
          <w:szCs w:val="24"/>
          <w:lang w:val="en-GB" w:eastAsia="cs-CZ"/>
        </w:rPr>
        <w:t>liquidation</w:t>
      </w:r>
      <w:r w:rsidRPr="00FA1502" w:rsidR="00740B61">
        <w:rPr>
          <w:rFonts w:ascii="Times New Roman" w:eastAsia="Times New Roman" w:hAnsi="Times New Roman" w:cs="Times New Roman"/>
          <w:sz w:val="24"/>
          <w:szCs w:val="24"/>
          <w:lang w:val="en-GB" w:eastAsia="cs-CZ"/>
        </w:rPr>
        <w:t xml:space="preserve"> balance</w:t>
      </w:r>
      <w:r w:rsidRPr="00FA1502">
        <w:rPr>
          <w:rFonts w:ascii="Times New Roman" w:eastAsia="Times New Roman" w:hAnsi="Times New Roman" w:cs="Times New Roman"/>
          <w:sz w:val="24"/>
          <w:szCs w:val="24"/>
          <w:lang w:val="en-GB" w:eastAsia="cs-CZ"/>
        </w:rPr>
        <w:t xml:space="preserve"> of mutual fund, </w:t>
      </w:r>
      <w:r w:rsidRPr="00FA1502" w:rsidR="00740B61">
        <w:rPr>
          <w:rFonts w:ascii="Times New Roman" w:eastAsia="Times New Roman" w:hAnsi="Times New Roman" w:cs="Times New Roman"/>
          <w:sz w:val="24"/>
          <w:szCs w:val="24"/>
          <w:lang w:val="en-GB" w:eastAsia="cs-CZ"/>
        </w:rPr>
        <w:t>file a</w:t>
      </w:r>
      <w:r w:rsidRPr="00FA1502">
        <w:rPr>
          <w:rFonts w:ascii="Times New Roman" w:eastAsia="Times New Roman" w:hAnsi="Times New Roman" w:cs="Times New Roman"/>
          <w:sz w:val="24"/>
          <w:szCs w:val="24"/>
          <w:lang w:val="en-GB" w:eastAsia="cs-CZ"/>
        </w:rPr>
        <w:t xml:space="preserve"> request for remova</w:t>
      </w:r>
      <w:r w:rsidRPr="00FA1502" w:rsidR="00740B61">
        <w:rPr>
          <w:rFonts w:ascii="Times New Roman" w:eastAsia="Times New Roman" w:hAnsi="Times New Roman" w:cs="Times New Roman"/>
          <w:sz w:val="24"/>
          <w:szCs w:val="24"/>
          <w:lang w:val="en-GB" w:eastAsia="cs-CZ"/>
        </w:rPr>
        <w:t>l from the list of mutual funds</w:t>
      </w:r>
      <w:r w:rsidRPr="00FA1502">
        <w:rPr>
          <w:rFonts w:ascii="Times New Roman" w:eastAsia="Times New Roman" w:hAnsi="Times New Roman" w:cs="Times New Roman"/>
          <w:sz w:val="24"/>
          <w:szCs w:val="24"/>
          <w:lang w:val="en-GB" w:eastAsia="cs-CZ"/>
        </w:rPr>
        <w:t xml:space="preserve">. Related changes are also made </w:t>
      </w:r>
      <w:r w:rsidRPr="00FA1502" w:rsidR="00740B61">
        <w:rPr>
          <w:rFonts w:ascii="Times New Roman" w:eastAsia="Times New Roman" w:hAnsi="Times New Roman" w:cs="Times New Roman"/>
          <w:sz w:val="24"/>
          <w:szCs w:val="24"/>
          <w:lang w:val="en-GB" w:eastAsia="cs-CZ"/>
        </w:rPr>
        <w:t>in Section</w:t>
      </w:r>
      <w:r w:rsidRPr="00FA1502">
        <w:rPr>
          <w:rFonts w:ascii="Times New Roman" w:eastAsia="Times New Roman" w:hAnsi="Times New Roman" w:cs="Times New Roman"/>
          <w:sz w:val="24"/>
          <w:szCs w:val="24"/>
          <w:lang w:val="en-GB" w:eastAsia="cs-CZ"/>
        </w:rPr>
        <w:t xml:space="preserve"> 506a of ZISIF.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37 (</w:t>
      </w:r>
      <w:r w:rsidRPr="00FA1502" w:rsidR="00A212A8">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434):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Change with regard to </w:t>
      </w:r>
      <w:r w:rsidRPr="00FA1502" w:rsidR="00A212A8">
        <w:rPr>
          <w:rFonts w:ascii="Times New Roman" w:eastAsia="Times New Roman" w:hAnsi="Times New Roman" w:cs="Times New Roman"/>
          <w:sz w:val="24"/>
          <w:szCs w:val="24"/>
          <w:lang w:val="en-GB" w:eastAsia="cs-CZ"/>
        </w:rPr>
        <w:t xml:space="preserve">unification </w:t>
      </w:r>
      <w:r w:rsidRPr="00FA1502">
        <w:rPr>
          <w:rFonts w:ascii="Times New Roman" w:eastAsia="Times New Roman" w:hAnsi="Times New Roman" w:cs="Times New Roman"/>
          <w:sz w:val="24"/>
          <w:szCs w:val="24"/>
          <w:lang w:val="en-GB" w:eastAsia="cs-CZ"/>
        </w:rPr>
        <w:t>of deadlines under the Accounting Act.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39 [Section</w:t>
      </w:r>
      <w:r w:rsidRPr="00FA1502">
        <w:rPr>
          <w:rFonts w:ascii="Times New Roman" w:eastAsia="Times New Roman" w:hAnsi="Times New Roman" w:cs="Times New Roman"/>
          <w:b/>
          <w:bCs/>
          <w:sz w:val="24"/>
          <w:szCs w:val="24"/>
          <w:u w:val="single"/>
          <w:lang w:val="en-GB" w:eastAsia="cs-CZ"/>
        </w:rPr>
        <w:t xml:space="preserve"> 482 deletion of letter</w:t>
      </w:r>
      <w:r w:rsidRPr="00FA1502" w:rsidR="00EE66B7">
        <w:rPr>
          <w:rFonts w:ascii="Times New Roman" w:eastAsia="Times New Roman" w:hAnsi="Times New Roman" w:cs="Times New Roman"/>
          <w:b/>
          <w:bCs/>
          <w:sz w:val="24"/>
          <w:szCs w:val="24"/>
          <w:u w:val="single"/>
          <w:lang w:val="en-GB" w:eastAsia="cs-CZ"/>
        </w:rPr>
        <w:t xml:space="preserve"> </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h)]: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chan</w:t>
      </w:r>
      <w:r w:rsidRPr="00FA1502" w:rsidR="00320B9B">
        <w:rPr>
          <w:rFonts w:ascii="Times New Roman" w:eastAsia="Times New Roman" w:hAnsi="Times New Roman" w:cs="Times New Roman"/>
          <w:sz w:val="24"/>
          <w:szCs w:val="24"/>
          <w:lang w:val="en-GB" w:eastAsia="cs-CZ"/>
        </w:rPr>
        <w:t>ge is related to changes in Section</w:t>
      </w:r>
      <w:r w:rsidRPr="00FA1502">
        <w:rPr>
          <w:rFonts w:ascii="Times New Roman" w:eastAsia="Times New Roman" w:hAnsi="Times New Roman" w:cs="Times New Roman"/>
          <w:sz w:val="24"/>
          <w:szCs w:val="24"/>
          <w:lang w:val="en-GB" w:eastAsia="cs-CZ"/>
        </w:rPr>
        <w:t xml:space="preserve"> 38 and 39 of ZISIF.</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4</w:t>
      </w:r>
      <w:r w:rsidRPr="00FA1502">
        <w:rPr>
          <w:rFonts w:ascii="Times New Roman" w:eastAsia="Times New Roman" w:hAnsi="Times New Roman" w:cs="Times New Roman"/>
          <w:b/>
          <w:bCs/>
          <w:sz w:val="24"/>
          <w:szCs w:val="24"/>
          <w:u w:val="single"/>
          <w:lang w:val="en-GB" w:eastAsia="cs-CZ"/>
        </w:rPr>
        <w:t xml:space="preserve">0 </w:t>
      </w:r>
      <w:r w:rsidRPr="00FA150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483 (1)</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deadlines for certain licensing procedures according to ZISIF are unified, because they are similarly administrative-demanding administrative procedures, in which more or less similar prerequisites for performance of activities (managers, qualified holdings, management and control system, etc.) are assessed. A related change is also made in Section 510 (3) of ZISIF.</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4</w:t>
      </w:r>
      <w:r w:rsidRPr="00FA1502">
        <w:rPr>
          <w:rFonts w:ascii="Times New Roman" w:eastAsia="Times New Roman" w:hAnsi="Times New Roman" w:cs="Times New Roman"/>
          <w:b/>
          <w:bCs/>
          <w:sz w:val="24"/>
          <w:szCs w:val="24"/>
          <w:u w:val="single"/>
          <w:lang w:val="en-GB" w:eastAsia="cs-CZ"/>
        </w:rPr>
        <w:t xml:space="preserve">1 to 43 [Section 485 </w:t>
      </w:r>
      <w:r w:rsidRPr="00FA1502">
        <w:rPr>
          <w:rFonts w:ascii="Times New Roman" w:eastAsia="Times New Roman" w:hAnsi="Times New Roman" w:cs="Times New Roman"/>
          <w:b/>
          <w:bCs/>
          <w:sz w:val="24"/>
          <w:szCs w:val="24"/>
          <w:u w:val="single"/>
          <w:lang w:val="en-GB" w:eastAsia="cs-CZ"/>
        </w:rPr>
        <w:t>(1) (</w:t>
      </w:r>
      <w:r w:rsidRPr="00FA1502">
        <w:rPr>
          <w:rFonts w:ascii="Times New Roman" w:eastAsia="Times New Roman" w:hAnsi="Times New Roman" w:cs="Times New Roman"/>
          <w:b/>
          <w:bCs/>
          <w:sz w:val="24"/>
          <w:szCs w:val="24"/>
          <w:u w:val="single"/>
          <w:lang w:val="en-GB" w:eastAsia="cs-CZ"/>
        </w:rPr>
        <w:t>c) points 5 an</w:t>
      </w:r>
      <w:r w:rsidRPr="00FA1502">
        <w:rPr>
          <w:rFonts w:ascii="Times New Roman" w:eastAsia="Times New Roman" w:hAnsi="Times New Roman" w:cs="Times New Roman"/>
          <w:b/>
          <w:bCs/>
          <w:sz w:val="24"/>
          <w:szCs w:val="24"/>
          <w:u w:val="single"/>
          <w:lang w:val="en-GB" w:eastAsia="cs-CZ"/>
        </w:rPr>
        <w:t>d 6, deletion of letter d) and Section</w:t>
      </w:r>
      <w:r w:rsidRPr="00FA1502">
        <w:rPr>
          <w:rFonts w:ascii="Times New Roman" w:eastAsia="Times New Roman" w:hAnsi="Times New Roman" w:cs="Times New Roman"/>
          <w:b/>
          <w:bCs/>
          <w:sz w:val="24"/>
          <w:szCs w:val="24"/>
          <w:u w:val="single"/>
          <w:lang w:val="en-GB" w:eastAsia="cs-CZ"/>
        </w:rPr>
        <w:t xml:space="preserve"> 487]:</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changes relate to changes in </w:t>
      </w:r>
      <w:r w:rsidRPr="00FA1502" w:rsidR="00DC3E0F">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38 and 39 of ZISIF. The amendment simplifies over-regulation. The </w:t>
      </w:r>
      <w:r w:rsidRPr="00FA1502" w:rsidR="00F10114">
        <w:rPr>
          <w:rFonts w:ascii="Times New Roman" w:eastAsia="Times New Roman" w:hAnsi="Times New Roman" w:cs="Times New Roman"/>
          <w:sz w:val="24"/>
          <w:szCs w:val="24"/>
          <w:lang w:val="en-GB" w:eastAsia="cs-CZ"/>
        </w:rPr>
        <w:t>a</w:t>
      </w:r>
      <w:r w:rsidRPr="00FA1502">
        <w:rPr>
          <w:rFonts w:ascii="Times New Roman" w:eastAsia="Times New Roman" w:hAnsi="Times New Roman" w:cs="Times New Roman"/>
          <w:sz w:val="24"/>
          <w:szCs w:val="24"/>
          <w:lang w:val="en-GB" w:eastAsia="cs-CZ"/>
        </w:rPr>
        <w:t xml:space="preserve">ct does not stipulate different conditions for the performance of administration with respect to the approval of the manager of the investment fund in question (whether he is entitled to exceed the decisive limit or not). At the same time, </w:t>
      </w:r>
      <w:r w:rsidRPr="00FA1502" w:rsidR="00F10114">
        <w:rPr>
          <w:rFonts w:ascii="Times New Roman" w:eastAsia="Times New Roman" w:hAnsi="Times New Roman" w:cs="Times New Roman"/>
          <w:sz w:val="24"/>
          <w:szCs w:val="24"/>
          <w:lang w:val="en-GB" w:eastAsia="cs-CZ"/>
        </w:rPr>
        <w:t xml:space="preserve">the act </w:t>
      </w:r>
      <w:r w:rsidRPr="00FA1502">
        <w:rPr>
          <w:rFonts w:ascii="Times New Roman" w:eastAsia="Times New Roman" w:hAnsi="Times New Roman" w:cs="Times New Roman"/>
          <w:sz w:val="24"/>
          <w:szCs w:val="24"/>
          <w:lang w:val="en-GB" w:eastAsia="cs-CZ"/>
        </w:rPr>
        <w:t xml:space="preserve">does not lay down different requirements in terms of demonstrating the prerequisites for the performance of the administrative activity and there is therefore no reason to differentiate in this respect in the context of the licensing procedure. The special regime of activities pursuant to </w:t>
      </w:r>
      <w:r w:rsidRPr="00FA1502" w:rsidR="00F165AE">
        <w:rPr>
          <w:rFonts w:ascii="Times New Roman" w:eastAsia="Times New Roman" w:hAnsi="Times New Roman" w:cs="Times New Roman"/>
          <w:sz w:val="24"/>
          <w:szCs w:val="24"/>
          <w:lang w:val="en-GB" w:eastAsia="cs-CZ"/>
        </w:rPr>
        <w:t>Section 38 (2) of</w:t>
      </w:r>
      <w:r w:rsidRPr="00FA1502">
        <w:rPr>
          <w:rFonts w:ascii="Times New Roman" w:eastAsia="Times New Roman" w:hAnsi="Times New Roman" w:cs="Times New Roman"/>
          <w:sz w:val="24"/>
          <w:szCs w:val="24"/>
          <w:lang w:val="en-GB" w:eastAsia="cs-CZ"/>
        </w:rPr>
        <w:t xml:space="preserve"> ZISIF is abolished, therefore the wording of letter </w:t>
      </w:r>
      <w:r w:rsidRPr="00FA1502" w:rsidR="00F165AE">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b) in </w:t>
      </w:r>
      <w:r w:rsidRPr="00FA1502" w:rsidR="00F165AE">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487 of </w:t>
      </w:r>
      <w:r w:rsidRPr="00FA1502" w:rsidR="00F165AE">
        <w:rPr>
          <w:rFonts w:ascii="Times New Roman" w:eastAsia="Times New Roman" w:hAnsi="Times New Roman" w:cs="Times New Roman"/>
          <w:sz w:val="24"/>
          <w:szCs w:val="24"/>
          <w:lang w:val="en-GB" w:eastAsia="cs-CZ"/>
        </w:rPr>
        <w:t>ZISIF must be removed.</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points 44 and 45 [Section 506a (1) new letter </w:t>
      </w:r>
      <w:r w:rsidRPr="00FA1502" w:rsidR="000E7BEE">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a) and </w:t>
      </w:r>
      <w:r w:rsidRPr="00FA1502" w:rsidR="000E7BEE">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b)]:</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changes relate to changes in Sections 376 and 467 of ZISIF. In </w:t>
      </w:r>
      <w:r w:rsidRPr="00FA1502" w:rsidR="009830D0">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506a </w:t>
      </w:r>
      <w:r w:rsidRPr="00FA1502" w:rsidR="009830D0">
        <w:rPr>
          <w:rFonts w:ascii="Times New Roman" w:eastAsia="Times New Roman" w:hAnsi="Times New Roman" w:cs="Times New Roman"/>
          <w:sz w:val="24"/>
          <w:szCs w:val="24"/>
          <w:lang w:val="en-GB" w:eastAsia="cs-CZ"/>
        </w:rPr>
        <w:t>(1) (a</w:t>
      </w:r>
      <w:r w:rsidRPr="00FA1502">
        <w:rPr>
          <w:rFonts w:ascii="Times New Roman" w:eastAsia="Times New Roman" w:hAnsi="Times New Roman" w:cs="Times New Roman"/>
          <w:sz w:val="24"/>
          <w:szCs w:val="24"/>
          <w:lang w:val="en-GB" w:eastAsia="cs-CZ"/>
        </w:rPr>
        <w:t xml:space="preserve">) </w:t>
      </w:r>
      <w:r w:rsidRPr="00FA1502" w:rsidR="009830D0">
        <w:rPr>
          <w:rFonts w:ascii="Times New Roman" w:eastAsia="Times New Roman" w:hAnsi="Times New Roman" w:cs="Times New Roman"/>
          <w:sz w:val="24"/>
          <w:szCs w:val="24"/>
          <w:lang w:val="en-GB" w:eastAsia="cs-CZ"/>
        </w:rPr>
        <w:t xml:space="preserve">of </w:t>
      </w:r>
      <w:r w:rsidRPr="00FA1502">
        <w:rPr>
          <w:rFonts w:ascii="Times New Roman" w:eastAsia="Times New Roman" w:hAnsi="Times New Roman" w:cs="Times New Roman"/>
          <w:sz w:val="24"/>
          <w:szCs w:val="24"/>
          <w:lang w:val="en-GB" w:eastAsia="cs-CZ"/>
        </w:rPr>
        <w:t>ZISIF</w:t>
      </w:r>
      <w:r w:rsidRPr="00FA1502" w:rsidR="009830D0">
        <w:rPr>
          <w:rFonts w:ascii="Times New Roman" w:eastAsia="Times New Roman" w:hAnsi="Times New Roman" w:cs="Times New Roman"/>
          <w:sz w:val="24"/>
          <w:szCs w:val="24"/>
          <w:lang w:val="en-GB" w:eastAsia="cs-CZ"/>
        </w:rPr>
        <w:t xml:space="preserve"> it is </w:t>
      </w:r>
      <w:r w:rsidRPr="00FA1502">
        <w:rPr>
          <w:rFonts w:ascii="Times New Roman" w:eastAsia="Times New Roman" w:hAnsi="Times New Roman" w:cs="Times New Roman"/>
          <w:sz w:val="24"/>
          <w:szCs w:val="24"/>
          <w:lang w:val="en-GB" w:eastAsia="cs-CZ"/>
        </w:rPr>
        <w:t>stipulate</w:t>
      </w:r>
      <w:r w:rsidRPr="00FA1502" w:rsidR="009830D0">
        <w:rPr>
          <w:rFonts w:ascii="Times New Roman" w:eastAsia="Times New Roman" w:hAnsi="Times New Roman" w:cs="Times New Roman"/>
          <w:sz w:val="24"/>
          <w:szCs w:val="24"/>
          <w:lang w:val="en-GB" w:eastAsia="cs-CZ"/>
        </w:rPr>
        <w:t>d</w:t>
      </w:r>
      <w:r w:rsidRPr="00FA1502">
        <w:rPr>
          <w:rFonts w:ascii="Times New Roman" w:eastAsia="Times New Roman" w:hAnsi="Times New Roman" w:cs="Times New Roman"/>
          <w:sz w:val="24"/>
          <w:szCs w:val="24"/>
          <w:lang w:val="en-GB" w:eastAsia="cs-CZ"/>
        </w:rPr>
        <w:t xml:space="preserve"> that the CNB shall also decide to remove from the CNB list in the case of an investment fund or a foreign investment fund, if so requested by the administrator or liquidator, if it is an investment fund with legal personality. The </w:t>
      </w:r>
      <w:r w:rsidRPr="00FA1502" w:rsidR="009604D7">
        <w:rPr>
          <w:rFonts w:ascii="Times New Roman" w:eastAsia="Times New Roman" w:hAnsi="Times New Roman" w:cs="Times New Roman"/>
          <w:sz w:val="24"/>
          <w:szCs w:val="24"/>
          <w:lang w:val="en-GB" w:eastAsia="cs-CZ"/>
        </w:rPr>
        <w:t>management c</w:t>
      </w:r>
      <w:r w:rsidRPr="00FA1502">
        <w:rPr>
          <w:rFonts w:ascii="Times New Roman" w:eastAsia="Times New Roman" w:hAnsi="Times New Roman" w:cs="Times New Roman"/>
          <w:sz w:val="24"/>
          <w:szCs w:val="24"/>
          <w:lang w:val="en-GB" w:eastAsia="cs-CZ"/>
        </w:rPr>
        <w:t xml:space="preserve">ompany could also submit this application under the previous legislation. At the same time, </w:t>
      </w:r>
      <w:r w:rsidRPr="00FA1502" w:rsidR="009604D7">
        <w:rPr>
          <w:rFonts w:ascii="Times New Roman" w:eastAsia="Times New Roman" w:hAnsi="Times New Roman" w:cs="Times New Roman"/>
          <w:sz w:val="24"/>
          <w:szCs w:val="24"/>
          <w:lang w:val="en-GB" w:eastAsia="cs-CZ"/>
        </w:rPr>
        <w:t xml:space="preserve">expression </w:t>
      </w:r>
      <w:r w:rsidRPr="00FA1502">
        <w:rPr>
          <w:rFonts w:ascii="Times New Roman" w:eastAsia="Times New Roman" w:hAnsi="Times New Roman" w:cs="Times New Roman"/>
          <w:sz w:val="24"/>
          <w:szCs w:val="24"/>
          <w:lang w:val="en-GB" w:eastAsia="cs-CZ"/>
        </w:rPr>
        <w:t xml:space="preserve">in </w:t>
      </w:r>
      <w:r w:rsidRPr="00FA1502" w:rsidR="009604D7">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506a </w:t>
      </w:r>
      <w:r w:rsidRPr="00FA1502" w:rsidR="009604D7">
        <w:rPr>
          <w:rFonts w:ascii="Times New Roman" w:eastAsia="Times New Roman" w:hAnsi="Times New Roman" w:cs="Times New Roman"/>
          <w:sz w:val="24"/>
          <w:szCs w:val="24"/>
          <w:lang w:val="en-GB" w:eastAsia="cs-CZ"/>
        </w:rPr>
        <w:t>(2)</w:t>
      </w:r>
      <w:r w:rsidRPr="00FA1502">
        <w:rPr>
          <w:rFonts w:ascii="Times New Roman" w:eastAsia="Times New Roman" w:hAnsi="Times New Roman" w:cs="Times New Roman"/>
          <w:sz w:val="24"/>
          <w:szCs w:val="24"/>
          <w:lang w:val="en-GB" w:eastAsia="cs-CZ"/>
        </w:rPr>
        <w:t xml:space="preserve"> </w:t>
      </w:r>
      <w:r w:rsidRPr="00FA1502" w:rsidR="009604D7">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b) </w:t>
      </w:r>
      <w:r w:rsidRPr="00FA1502" w:rsidR="009604D7">
        <w:rPr>
          <w:rFonts w:ascii="Times New Roman" w:eastAsia="Times New Roman" w:hAnsi="Times New Roman" w:cs="Times New Roman"/>
          <w:sz w:val="24"/>
          <w:szCs w:val="24"/>
          <w:lang w:val="en-GB" w:eastAsia="cs-CZ"/>
        </w:rPr>
        <w:t xml:space="preserve">of ZISIF </w:t>
      </w:r>
      <w:r w:rsidRPr="00FA1502">
        <w:rPr>
          <w:rFonts w:ascii="Times New Roman" w:eastAsia="Times New Roman" w:hAnsi="Times New Roman" w:cs="Times New Roman"/>
          <w:sz w:val="24"/>
          <w:szCs w:val="24"/>
          <w:lang w:val="en-GB" w:eastAsia="cs-CZ"/>
        </w:rPr>
        <w:t>“termination of mutual fund or”</w:t>
      </w:r>
      <w:r w:rsidRPr="00FA1502" w:rsidR="009604D7">
        <w:rPr>
          <w:rFonts w:ascii="Times New Roman" w:eastAsia="Times New Roman" w:hAnsi="Times New Roman" w:cs="Times New Roman"/>
          <w:sz w:val="24"/>
          <w:szCs w:val="24"/>
          <w:lang w:val="en-GB" w:eastAsia="cs-CZ"/>
        </w:rPr>
        <w:t xml:space="preserve"> is deleted</w:t>
      </w:r>
      <w:r w:rsidRPr="00FA1502">
        <w:rPr>
          <w:rFonts w:ascii="Times New Roman" w:eastAsia="Times New Roman" w:hAnsi="Times New Roman" w:cs="Times New Roman"/>
          <w:sz w:val="24"/>
          <w:szCs w:val="24"/>
          <w:lang w:val="en-GB" w:eastAsia="cs-CZ"/>
        </w:rPr>
        <w:t xml:space="preserve">, because this provision </w:t>
      </w:r>
      <w:r w:rsidRPr="00FA1502">
        <w:rPr>
          <w:rFonts w:ascii="Times New Roman" w:eastAsia="Times New Roman" w:hAnsi="Times New Roman" w:cs="Times New Roman"/>
          <w:sz w:val="24"/>
          <w:szCs w:val="24"/>
          <w:lang w:val="en-GB" w:eastAsia="cs-CZ"/>
        </w:rPr>
        <w:t>does not</w:t>
      </w:r>
      <w:r w:rsidRPr="00FA1502" w:rsidR="009604D7">
        <w:rPr>
          <w:rFonts w:ascii="Times New Roman" w:eastAsia="Times New Roman" w:hAnsi="Times New Roman" w:cs="Times New Roman"/>
          <w:sz w:val="24"/>
          <w:szCs w:val="24"/>
          <w:lang w:val="en-GB" w:eastAsia="cs-CZ"/>
        </w:rPr>
        <w:t xml:space="preserve"> make sense in connection with Section</w:t>
      </w:r>
      <w:r w:rsidRPr="00FA1502">
        <w:rPr>
          <w:rFonts w:ascii="Times New Roman" w:eastAsia="Times New Roman" w:hAnsi="Times New Roman" w:cs="Times New Roman"/>
          <w:sz w:val="24"/>
          <w:szCs w:val="24"/>
          <w:lang w:val="en-GB" w:eastAsia="cs-CZ"/>
        </w:rPr>
        <w:t xml:space="preserve"> 108 </w:t>
      </w:r>
      <w:r w:rsidRPr="00FA1502" w:rsidR="009604D7">
        <w:rPr>
          <w:rFonts w:ascii="Times New Roman" w:eastAsia="Times New Roman" w:hAnsi="Times New Roman" w:cs="Times New Roman"/>
          <w:sz w:val="24"/>
          <w:szCs w:val="24"/>
          <w:lang w:val="en-GB" w:eastAsia="cs-CZ"/>
        </w:rPr>
        <w:t xml:space="preserve">of </w:t>
      </w:r>
      <w:r w:rsidRPr="00FA1502">
        <w:rPr>
          <w:rFonts w:ascii="Times New Roman" w:eastAsia="Times New Roman" w:hAnsi="Times New Roman" w:cs="Times New Roman"/>
          <w:sz w:val="24"/>
          <w:szCs w:val="24"/>
          <w:lang w:val="en-GB" w:eastAsia="cs-CZ"/>
        </w:rPr>
        <w:t xml:space="preserve">ZISIF, according to which the mutual fund expires on the day of deletion from the CNB list. It is also advisable to enter this information in the CNB list during the liquidation process and thus make it available to all persons </w:t>
      </w:r>
      <w:r w:rsidRPr="00FA1502" w:rsidR="00A20BDB">
        <w:rPr>
          <w:rFonts w:ascii="Times New Roman" w:eastAsia="Times New Roman" w:hAnsi="Times New Roman" w:cs="Times New Roman"/>
          <w:sz w:val="24"/>
          <w:szCs w:val="24"/>
          <w:lang w:val="en-GB" w:eastAsia="cs-CZ"/>
        </w:rPr>
        <w:t>using t</w:t>
      </w:r>
      <w:r w:rsidRPr="00FA1502">
        <w:rPr>
          <w:rFonts w:ascii="Times New Roman" w:eastAsia="Times New Roman" w:hAnsi="Times New Roman" w:cs="Times New Roman"/>
          <w:sz w:val="24"/>
          <w:szCs w:val="24"/>
          <w:lang w:val="en-GB" w:eastAsia="cs-CZ"/>
        </w:rPr>
        <w:t>he CNB list.</w:t>
      </w:r>
      <w:r w:rsidR="00A7116F">
        <w:rPr>
          <w:rFonts w:ascii="Times New Roman" w:eastAsia="Times New Roman" w:hAnsi="Times New Roman" w:cs="Times New Roman"/>
          <w:sz w:val="24"/>
          <w:szCs w:val="24"/>
          <w:lang w:val="en-GB" w:eastAsia="cs-CZ"/>
        </w:rPr>
        <w:t xml:space="preserv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46 (</w:t>
      </w:r>
      <w:r w:rsidRPr="00FA1502" w:rsidR="00D30BC9">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506b new paragraph 3):</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amendment simplifies the procedure for removal from the list of in </w:t>
      </w:r>
      <w:r w:rsidRPr="00FA1502" w:rsidR="00D30BC9">
        <w:rPr>
          <w:rFonts w:ascii="Times New Roman" w:eastAsia="Times New Roman" w:hAnsi="Times New Roman" w:cs="Times New Roman"/>
          <w:sz w:val="24"/>
          <w:szCs w:val="24"/>
          <w:lang w:val="en-GB" w:eastAsia="cs-CZ"/>
        </w:rPr>
        <w:t>pursuant to</w:t>
      </w:r>
      <w:r w:rsidRPr="00FA1502">
        <w:rPr>
          <w:rFonts w:ascii="Times New Roman" w:eastAsia="Times New Roman" w:hAnsi="Times New Roman" w:cs="Times New Roman"/>
          <w:sz w:val="24"/>
          <w:szCs w:val="24"/>
          <w:lang w:val="en-GB" w:eastAsia="cs-CZ"/>
        </w:rPr>
        <w:t xml:space="preserve"> </w:t>
      </w:r>
      <w:r w:rsidRPr="00FA1502" w:rsidR="00D30BC9">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596 or </w:t>
      </w:r>
      <w:r w:rsidRPr="00FA1502" w:rsidR="00D30BC9">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597 </w:t>
      </w:r>
      <w:r w:rsidRPr="00FA1502" w:rsidR="00D30BC9">
        <w:rPr>
          <w:rFonts w:ascii="Times New Roman" w:eastAsia="Times New Roman" w:hAnsi="Times New Roman" w:cs="Times New Roman"/>
          <w:sz w:val="24"/>
          <w:szCs w:val="24"/>
          <w:lang w:val="en-GB" w:eastAsia="cs-CZ"/>
        </w:rPr>
        <w:t xml:space="preserve">of </w:t>
      </w:r>
      <w:r w:rsidRPr="00FA1502">
        <w:rPr>
          <w:rFonts w:ascii="Times New Roman" w:eastAsia="Times New Roman" w:hAnsi="Times New Roman" w:cs="Times New Roman"/>
          <w:sz w:val="24"/>
          <w:szCs w:val="24"/>
          <w:lang w:val="en-GB" w:eastAsia="cs-CZ"/>
        </w:rPr>
        <w:t xml:space="preserve">ZISIF. All situations referred to in Section 506b (2) of </w:t>
      </w:r>
      <w:r w:rsidRPr="00FA1502" w:rsidR="002E55D4">
        <w:rPr>
          <w:rFonts w:ascii="Times New Roman" w:eastAsia="Times New Roman" w:hAnsi="Times New Roman" w:cs="Times New Roman"/>
          <w:sz w:val="24"/>
          <w:szCs w:val="24"/>
          <w:lang w:val="en-GB" w:eastAsia="cs-CZ"/>
        </w:rPr>
        <w:t>ZISIF a</w:t>
      </w:r>
      <w:r w:rsidRPr="00FA1502">
        <w:rPr>
          <w:rFonts w:ascii="Times New Roman" w:eastAsia="Times New Roman" w:hAnsi="Times New Roman" w:cs="Times New Roman"/>
          <w:sz w:val="24"/>
          <w:szCs w:val="24"/>
          <w:lang w:val="en-GB" w:eastAsia="cs-CZ"/>
        </w:rPr>
        <w:t>re similar, i</w:t>
      </w:r>
      <w:r w:rsidRPr="00FA1502" w:rsidR="002E55D4">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e</w:t>
      </w:r>
      <w:r w:rsidRPr="00FA1502" w:rsidR="002E55D4">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there is no review or justification to maintain the possibility of appeal. Where review is required, review outside the appeal procedure or the retrial or judicial protection is still available.</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4</w:t>
      </w:r>
      <w:r w:rsidRPr="00FA1502">
        <w:rPr>
          <w:rFonts w:ascii="Times New Roman" w:eastAsia="Times New Roman" w:hAnsi="Times New Roman" w:cs="Times New Roman"/>
          <w:b/>
          <w:bCs/>
          <w:sz w:val="24"/>
          <w:szCs w:val="24"/>
          <w:u w:val="single"/>
          <w:lang w:val="en-GB" w:eastAsia="cs-CZ"/>
        </w:rPr>
        <w:t>7 (</w:t>
      </w:r>
      <w:r w:rsidRPr="00FA150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510 new paragraph 3):</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change is related to th</w:t>
      </w:r>
      <w:r w:rsidRPr="00FA1502" w:rsidR="00B74292">
        <w:rPr>
          <w:rFonts w:ascii="Times New Roman" w:eastAsia="Times New Roman" w:hAnsi="Times New Roman" w:cs="Times New Roman"/>
          <w:sz w:val="24"/>
          <w:szCs w:val="24"/>
          <w:lang w:val="en-GB" w:eastAsia="cs-CZ"/>
        </w:rPr>
        <w:t>e change in Section</w:t>
      </w:r>
      <w:r w:rsidRPr="00FA1502">
        <w:rPr>
          <w:rFonts w:ascii="Times New Roman" w:eastAsia="Times New Roman" w:hAnsi="Times New Roman" w:cs="Times New Roman"/>
          <w:sz w:val="24"/>
          <w:szCs w:val="24"/>
          <w:lang w:val="en-GB" w:eastAsia="cs-CZ"/>
        </w:rPr>
        <w:t xml:space="preserve"> 483 of ZISIF.</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w:t>
      </w:r>
      <w:r w:rsidRPr="00FA1502">
        <w:rPr>
          <w:rFonts w:ascii="Times New Roman" w:eastAsia="Times New Roman" w:hAnsi="Times New Roman" w:cs="Times New Roman"/>
          <w:b/>
          <w:bCs/>
          <w:sz w:val="24"/>
          <w:szCs w:val="24"/>
          <w:u w:val="single"/>
          <w:lang w:val="en-GB" w:eastAsia="cs-CZ"/>
        </w:rPr>
        <w:t>point 48 (</w:t>
      </w:r>
      <w:r w:rsidRPr="00FA150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532)</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Access to all applications submitted </w:t>
      </w:r>
      <w:r w:rsidRPr="00FA1502" w:rsidR="00717099">
        <w:rPr>
          <w:rFonts w:ascii="Times New Roman" w:eastAsia="Times New Roman" w:hAnsi="Times New Roman" w:cs="Times New Roman"/>
          <w:sz w:val="24"/>
          <w:szCs w:val="24"/>
          <w:lang w:val="en-GB" w:eastAsia="cs-CZ"/>
        </w:rPr>
        <w:t xml:space="preserve">to </w:t>
      </w:r>
      <w:r w:rsidRPr="00FA1502">
        <w:rPr>
          <w:rFonts w:ascii="Times New Roman" w:eastAsia="Times New Roman" w:hAnsi="Times New Roman" w:cs="Times New Roman"/>
          <w:sz w:val="24"/>
          <w:szCs w:val="24"/>
          <w:lang w:val="en-GB" w:eastAsia="cs-CZ"/>
        </w:rPr>
        <w:t xml:space="preserve">the CNB </w:t>
      </w:r>
      <w:r w:rsidRPr="00FA1502" w:rsidR="00717099">
        <w:rPr>
          <w:rFonts w:ascii="Times New Roman" w:eastAsia="Times New Roman" w:hAnsi="Times New Roman" w:cs="Times New Roman"/>
          <w:sz w:val="24"/>
          <w:szCs w:val="24"/>
          <w:lang w:val="en-GB" w:eastAsia="cs-CZ"/>
        </w:rPr>
        <w:t xml:space="preserve">pursuant </w:t>
      </w:r>
      <w:r w:rsidRPr="00FA1502">
        <w:rPr>
          <w:rFonts w:ascii="Times New Roman" w:eastAsia="Times New Roman" w:hAnsi="Times New Roman" w:cs="Times New Roman"/>
          <w:sz w:val="24"/>
          <w:szCs w:val="24"/>
          <w:lang w:val="en-GB" w:eastAsia="cs-CZ"/>
        </w:rPr>
        <w:t>to ZISIF shall be unified.</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points 49 to 51 [Section 597 (d), new </w:t>
      </w:r>
      <w:r w:rsidRPr="00FA1502" w:rsidR="00B37604">
        <w:rPr>
          <w:rFonts w:ascii="Times New Roman" w:eastAsia="Times New Roman" w:hAnsi="Times New Roman" w:cs="Times New Roman"/>
          <w:b/>
          <w:bCs/>
          <w:sz w:val="24"/>
          <w:szCs w:val="24"/>
          <w:u w:val="single"/>
          <w:lang w:val="en-GB" w:eastAsia="cs-CZ"/>
        </w:rPr>
        <w:t xml:space="preserve">letters </w:t>
      </w:r>
      <w:r w:rsidRPr="00FA1502">
        <w:rPr>
          <w:rFonts w:ascii="Times New Roman" w:eastAsia="Times New Roman" w:hAnsi="Times New Roman" w:cs="Times New Roman"/>
          <w:b/>
          <w:bCs/>
          <w:sz w:val="24"/>
          <w:szCs w:val="24"/>
          <w:u w:val="single"/>
          <w:lang w:val="en-GB" w:eastAsia="cs-CZ"/>
        </w:rPr>
        <w:t>(e), (f) and (g)</w:t>
      </w:r>
      <w:r w:rsidRPr="00FA1502" w:rsidR="00B37604">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New lists kept by the CNB are introduced, distinguishing types of investment funds. This division will simplify the traceability of information on the collective investment sector and information on individual investment funds on the CNB website.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 5</w:t>
      </w:r>
      <w:r w:rsidRPr="00FA1502">
        <w:rPr>
          <w:rFonts w:ascii="Times New Roman" w:eastAsia="Times New Roman" w:hAnsi="Times New Roman" w:cs="Times New Roman"/>
          <w:b/>
          <w:bCs/>
          <w:sz w:val="24"/>
          <w:szCs w:val="24"/>
          <w:u w:val="single"/>
          <w:lang w:val="en-GB" w:eastAsia="cs-CZ"/>
        </w:rPr>
        <w:t>2 [</w:t>
      </w:r>
      <w:r w:rsidRPr="00FA150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599 </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1</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 </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h) and </w:t>
      </w:r>
      <w:r w:rsidRPr="00FA150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604 </w:t>
      </w:r>
      <w:r w:rsidRPr="00FA1502">
        <w:rPr>
          <w:rFonts w:ascii="Times New Roman" w:eastAsia="Times New Roman" w:hAnsi="Times New Roman" w:cs="Times New Roman"/>
          <w:b/>
          <w:bCs/>
          <w:sz w:val="24"/>
          <w:szCs w:val="24"/>
          <w:u w:val="single"/>
          <w:lang w:val="en-GB" w:eastAsia="cs-CZ"/>
        </w:rPr>
        <w:t>(1) (</w:t>
      </w:r>
      <w:r w:rsidRPr="00FA1502">
        <w:rPr>
          <w:rFonts w:ascii="Times New Roman" w:eastAsia="Times New Roman" w:hAnsi="Times New Roman" w:cs="Times New Roman"/>
          <w:b/>
          <w:bCs/>
          <w:sz w:val="24"/>
          <w:szCs w:val="24"/>
          <w:u w:val="single"/>
          <w:lang w:val="en-GB" w:eastAsia="cs-CZ"/>
        </w:rPr>
        <w:t>h)]: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The amendment terminologically aligns the term “personnel equipment” with the ZPKT and the Act on Banks to “personnel resources”.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points 5</w:t>
      </w:r>
      <w:r w:rsidRPr="00FA1502">
        <w:rPr>
          <w:rFonts w:ascii="Times New Roman" w:eastAsia="Times New Roman" w:hAnsi="Times New Roman" w:cs="Times New Roman"/>
          <w:b/>
          <w:bCs/>
          <w:sz w:val="24"/>
          <w:szCs w:val="24"/>
          <w:u w:val="single"/>
          <w:lang w:val="en-GB" w:eastAsia="cs-CZ"/>
        </w:rPr>
        <w:t>3 and 54 [</w:t>
      </w:r>
      <w:r w:rsidRPr="00FA150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604 </w:t>
      </w:r>
      <w:r w:rsidRPr="00FA1502">
        <w:rPr>
          <w:rFonts w:ascii="Times New Roman" w:eastAsia="Times New Roman" w:hAnsi="Times New Roman" w:cs="Times New Roman"/>
          <w:b/>
          <w:bCs/>
          <w:sz w:val="24"/>
          <w:szCs w:val="24"/>
          <w:u w:val="single"/>
          <w:lang w:val="en-GB" w:eastAsia="cs-CZ"/>
        </w:rPr>
        <w:t xml:space="preserve">(1) </w:t>
      </w:r>
      <w:r w:rsidRPr="00FA1502">
        <w:rPr>
          <w:rFonts w:ascii="Times New Roman" w:eastAsia="Times New Roman" w:hAnsi="Times New Roman" w:cs="Times New Roman"/>
          <w:b/>
          <w:bCs/>
          <w:sz w:val="24"/>
          <w:szCs w:val="24"/>
          <w:u w:val="single"/>
          <w:lang w:val="en-GB" w:eastAsia="cs-CZ"/>
        </w:rPr>
        <w:t xml:space="preserve">(m) and </w:t>
      </w:r>
      <w:r w:rsidRPr="00FA1502">
        <w:rPr>
          <w:rFonts w:ascii="Times New Roman" w:eastAsia="Times New Roman" w:hAnsi="Times New Roman" w:cs="Times New Roman"/>
          <w:b/>
          <w:bCs/>
          <w:sz w:val="24"/>
          <w:szCs w:val="24"/>
          <w:u w:val="single"/>
          <w:lang w:val="en-GB" w:eastAsia="cs-CZ"/>
        </w:rPr>
        <w:t>(3)</w:t>
      </w:r>
      <w:r w:rsidRPr="00FA1502">
        <w:rPr>
          <w:rFonts w:ascii="Times New Roman" w:eastAsia="Times New Roman" w:hAnsi="Times New Roman" w:cs="Times New Roman"/>
          <w:b/>
          <w:bCs/>
          <w:sz w:val="24"/>
          <w:szCs w:val="24"/>
          <w:u w:val="single"/>
          <w:lang w:val="en-GB" w:eastAsia="cs-CZ"/>
        </w:rPr>
        <w:t xml:space="preserve"> </w:t>
      </w:r>
      <w:r w:rsidRPr="00FA1502">
        <w:rPr>
          <w:rFonts w:ascii="Times New Roman" w:eastAsia="Times New Roman" w:hAnsi="Times New Roman" w:cs="Times New Roman"/>
          <w:b/>
          <w:bCs/>
          <w:sz w:val="24"/>
          <w:szCs w:val="24"/>
          <w:u w:val="single"/>
          <w:lang w:val="en-GB" w:eastAsia="cs-CZ"/>
        </w:rPr>
        <w:t xml:space="preserve">new letter </w:t>
      </w:r>
      <w:r w:rsidRPr="00FA1502">
        <w:rPr>
          <w:rFonts w:ascii="Times New Roman" w:eastAsia="Times New Roman" w:hAnsi="Times New Roman" w:cs="Times New Roman"/>
          <w:b/>
          <w:bCs/>
          <w:sz w:val="24"/>
          <w:szCs w:val="24"/>
          <w:u w:val="single"/>
          <w:lang w:val="en-GB" w:eastAsia="cs-CZ"/>
        </w:rPr>
        <w:t>(e)]:</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In connection with changes in Sections 376 and 467 of ZISIF, new offenses are introduced.</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Re points 5</w:t>
      </w:r>
      <w:r w:rsidRPr="00FA1502">
        <w:rPr>
          <w:rFonts w:ascii="Times New Roman" w:eastAsia="Times New Roman" w:hAnsi="Times New Roman" w:cs="Times New Roman"/>
          <w:b/>
          <w:bCs/>
          <w:sz w:val="24"/>
          <w:szCs w:val="24"/>
          <w:u w:val="single"/>
          <w:lang w:val="en-GB" w:eastAsia="cs-CZ"/>
        </w:rPr>
        <w:t>5 and 5</w:t>
      </w:r>
      <w:r w:rsidRPr="00FA1502">
        <w:rPr>
          <w:rFonts w:ascii="Times New Roman" w:eastAsia="Times New Roman" w:hAnsi="Times New Roman" w:cs="Times New Roman"/>
          <w:b/>
          <w:bCs/>
          <w:sz w:val="24"/>
          <w:szCs w:val="24"/>
          <w:u w:val="single"/>
          <w:lang w:val="en-GB" w:eastAsia="cs-CZ"/>
        </w:rPr>
        <w:t>6 [Section</w:t>
      </w:r>
      <w:r w:rsidRPr="00FA1502">
        <w:rPr>
          <w:rFonts w:ascii="Times New Roman" w:eastAsia="Times New Roman" w:hAnsi="Times New Roman" w:cs="Times New Roman"/>
          <w:b/>
          <w:bCs/>
          <w:sz w:val="24"/>
          <w:szCs w:val="24"/>
          <w:u w:val="single"/>
          <w:lang w:val="en-GB" w:eastAsia="cs-CZ"/>
        </w:rPr>
        <w:t xml:space="preserve"> 611 new paragraphs </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5</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 and </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6</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 and paragraph </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8)</w:t>
      </w:r>
      <w:r w:rsidRPr="00FA1502">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In connection with the changes in Section 467 of ZISIF, an offense is added to the obligation to inform the CNB of changes in the facts on the basis of which a license to operate under the </w:t>
      </w:r>
      <w:r w:rsidRPr="00FA1502" w:rsidR="00982A7B">
        <w:rPr>
          <w:rFonts w:ascii="Times New Roman" w:eastAsia="Times New Roman" w:hAnsi="Times New Roman" w:cs="Times New Roman"/>
          <w:sz w:val="24"/>
          <w:szCs w:val="24"/>
          <w:lang w:val="en-GB" w:eastAsia="cs-CZ"/>
        </w:rPr>
        <w:t>ZISIF has been granted</w:t>
      </w:r>
      <w:r w:rsidRPr="00FA1502">
        <w:rPr>
          <w:rFonts w:ascii="Times New Roman" w:eastAsia="Times New Roman" w:hAnsi="Times New Roman" w:cs="Times New Roman"/>
          <w:sz w:val="24"/>
          <w:szCs w:val="24"/>
          <w:lang w:val="en-GB" w:eastAsia="cs-CZ"/>
        </w:rPr>
        <w:t>. </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 57 </w:t>
      </w:r>
      <w:r w:rsidRPr="00FA1502">
        <w:rPr>
          <w:rFonts w:ascii="Times New Roman" w:hAnsi="Times New Roman" w:cs="Times New Roman"/>
          <w:b/>
          <w:sz w:val="24"/>
          <w:szCs w:val="24"/>
          <w:u w:val="single"/>
        </w:rPr>
        <w:t>[</w:t>
      </w:r>
      <w:r w:rsidRPr="00FA1502">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625 (2)</w:t>
      </w:r>
      <w:r w:rsidRPr="00FA1502">
        <w:rPr>
          <w:rFonts w:ascii="Times New Roman" w:hAnsi="Times New Roman" w:cs="Times New Roman"/>
          <w:b/>
          <w:sz w:val="24"/>
          <w:szCs w:val="24"/>
          <w:u w:val="single"/>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provision is adapted to the amendments in </w:t>
      </w:r>
      <w:r w:rsidRPr="00FA1502" w:rsidR="00030A2B">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38 of ZISIF.</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 xml:space="preserve">Re points 58 and 59 </w:t>
      </w:r>
      <w:r w:rsidRPr="00FA1502" w:rsidR="00E20B96">
        <w:rPr>
          <w:rFonts w:ascii="Times New Roman" w:hAnsi="Times New Roman" w:cs="Times New Roman"/>
          <w:b/>
          <w:sz w:val="24"/>
          <w:szCs w:val="24"/>
          <w:u w:val="single"/>
        </w:rPr>
        <w:t>[</w:t>
      </w:r>
      <w:r w:rsidRPr="00FA1502" w:rsidR="00E20B96">
        <w:rPr>
          <w:rFonts w:ascii="Times New Roman" w:eastAsia="Times New Roman" w:hAnsi="Times New Roman" w:cs="Times New Roman"/>
          <w:b/>
          <w:bCs/>
          <w:sz w:val="24"/>
          <w:szCs w:val="24"/>
          <w:u w:val="single"/>
          <w:lang w:val="en-GB" w:eastAsia="cs-CZ"/>
        </w:rPr>
        <w:t>Section</w:t>
      </w:r>
      <w:r w:rsidRPr="00FA1502">
        <w:rPr>
          <w:rFonts w:ascii="Times New Roman" w:eastAsia="Times New Roman" w:hAnsi="Times New Roman" w:cs="Times New Roman"/>
          <w:b/>
          <w:bCs/>
          <w:sz w:val="24"/>
          <w:szCs w:val="24"/>
          <w:u w:val="single"/>
          <w:lang w:val="en-GB" w:eastAsia="cs-CZ"/>
        </w:rPr>
        <w:t xml:space="preserve"> 633 (1</w:t>
      </w:r>
      <w:r w:rsidRPr="00FA1502" w:rsidR="00E20B96">
        <w:rPr>
          <w:rFonts w:ascii="Times New Roman" w:eastAsia="Times New Roman" w:hAnsi="Times New Roman" w:cs="Times New Roman"/>
          <w:b/>
          <w:bCs/>
          <w:sz w:val="24"/>
          <w:szCs w:val="24"/>
          <w:u w:val="single"/>
          <w:lang w:val="en-GB" w:eastAsia="cs-CZ"/>
        </w:rPr>
        <w:t>)</w:t>
      </w:r>
      <w:r w:rsidRPr="00FA1502" w:rsidR="00E20B96">
        <w:rPr>
          <w:rFonts w:ascii="Times New Roman" w:hAnsi="Times New Roman" w:cs="Times New Roman"/>
          <w:b/>
          <w:sz w:val="24"/>
          <w:szCs w:val="24"/>
          <w:u w:val="single"/>
        </w:rPr>
        <w:t>]</w:t>
      </w:r>
      <w:r w:rsidRPr="00FA1502">
        <w:rPr>
          <w:rFonts w:ascii="Times New Roman" w:eastAsia="Times New Roman" w:hAnsi="Times New Roman" w:cs="Times New Roman"/>
          <w:b/>
          <w:bCs/>
          <w:sz w:val="24"/>
          <w:szCs w:val="24"/>
          <w:u w:val="single"/>
          <w:lang w:val="en-GB" w:eastAsia="cs-CZ"/>
        </w:rPr>
        <w:t>:</w:t>
      </w:r>
    </w:p>
    <w:p w:rsidR="00176359" w:rsidRPr="00FA1502" w:rsidP="00A7116F">
      <w:pPr>
        <w:keepNext/>
        <w:widowControl w:val="0"/>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w:t>
      </w:r>
      <w:r w:rsidRPr="00FA1502" w:rsidR="00E20B96">
        <w:rPr>
          <w:rFonts w:ascii="Times New Roman" w:eastAsia="Times New Roman" w:hAnsi="Times New Roman" w:cs="Times New Roman"/>
          <w:sz w:val="24"/>
          <w:szCs w:val="24"/>
          <w:lang w:val="en-GB" w:eastAsia="cs-CZ"/>
        </w:rPr>
        <w:t>amendment</w:t>
      </w:r>
      <w:r w:rsidRPr="00FA1502">
        <w:rPr>
          <w:rFonts w:ascii="Times New Roman" w:eastAsia="Times New Roman" w:hAnsi="Times New Roman" w:cs="Times New Roman"/>
          <w:sz w:val="24"/>
          <w:szCs w:val="24"/>
          <w:lang w:val="en-GB" w:eastAsia="cs-CZ"/>
        </w:rPr>
        <w:t xml:space="preserve"> point expan</w:t>
      </w:r>
      <w:r w:rsidRPr="00FA1502" w:rsidR="00E20B96">
        <w:rPr>
          <w:rFonts w:ascii="Times New Roman" w:eastAsia="Times New Roman" w:hAnsi="Times New Roman" w:cs="Times New Roman"/>
          <w:sz w:val="24"/>
          <w:szCs w:val="24"/>
          <w:lang w:val="en-GB" w:eastAsia="cs-CZ"/>
        </w:rPr>
        <w:t>ds</w:t>
      </w:r>
      <w:r w:rsidRPr="00FA1502">
        <w:rPr>
          <w:rFonts w:ascii="Times New Roman" w:eastAsia="Times New Roman" w:hAnsi="Times New Roman" w:cs="Times New Roman"/>
          <w:sz w:val="24"/>
          <w:szCs w:val="24"/>
          <w:lang w:val="en-GB" w:eastAsia="cs-CZ"/>
        </w:rPr>
        <w:t xml:space="preserve"> </w:t>
      </w:r>
      <w:r w:rsidRPr="00FA1502" w:rsidR="00E20B96">
        <w:rPr>
          <w:rFonts w:ascii="Times New Roman" w:eastAsia="Times New Roman" w:hAnsi="Times New Roman" w:cs="Times New Roman"/>
          <w:sz w:val="24"/>
          <w:szCs w:val="24"/>
          <w:lang w:val="en-GB" w:eastAsia="cs-CZ"/>
        </w:rPr>
        <w:t>term “</w:t>
      </w:r>
      <w:r w:rsidRPr="00FA1502" w:rsidR="003D3A30">
        <w:rPr>
          <w:rFonts w:ascii="Times New Roman" w:eastAsia="Times New Roman" w:hAnsi="Times New Roman" w:cs="Times New Roman"/>
          <w:sz w:val="24"/>
          <w:szCs w:val="24"/>
          <w:lang w:val="en-GB" w:eastAsia="cs-CZ"/>
        </w:rPr>
        <w:t xml:space="preserve">investment </w:t>
      </w:r>
      <w:r w:rsidRPr="00FA1502">
        <w:rPr>
          <w:rFonts w:ascii="Times New Roman" w:eastAsia="Times New Roman" w:hAnsi="Times New Roman" w:cs="Times New Roman"/>
          <w:sz w:val="24"/>
          <w:szCs w:val="24"/>
          <w:lang w:val="en-GB" w:eastAsia="cs-CZ"/>
        </w:rPr>
        <w:t>fund</w:t>
      </w:r>
      <w:r w:rsidRPr="00FA1502" w:rsidR="00E20B96">
        <w:rPr>
          <w:rFonts w:ascii="Times New Roman" w:eastAsia="Times New Roman" w:hAnsi="Times New Roman" w:cs="Times New Roman"/>
          <w:sz w:val="24"/>
          <w:szCs w:val="24"/>
          <w:lang w:val="en-GB" w:eastAsia="cs-CZ"/>
        </w:rPr>
        <w:t xml:space="preserve"> </w:t>
      </w:r>
      <w:r w:rsidRPr="00FA1502" w:rsidR="003D3A30">
        <w:rPr>
          <w:rFonts w:ascii="Times New Roman" w:eastAsia="Times New Roman" w:hAnsi="Times New Roman" w:cs="Times New Roman"/>
          <w:sz w:val="24"/>
          <w:szCs w:val="24"/>
          <w:lang w:val="en-GB" w:eastAsia="cs-CZ"/>
        </w:rPr>
        <w:t>property</w:t>
      </w:r>
      <w:r w:rsidRPr="00FA1502" w:rsidR="00E20B96">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in ZISIF so that </w:t>
      </w:r>
      <w:r w:rsidRPr="00FA1502" w:rsidR="00E20B96">
        <w:rPr>
          <w:rFonts w:ascii="Times New Roman" w:eastAsia="Times New Roman" w:hAnsi="Times New Roman" w:cs="Times New Roman"/>
          <w:sz w:val="24"/>
          <w:szCs w:val="24"/>
          <w:lang w:val="en-GB" w:eastAsia="cs-CZ"/>
        </w:rPr>
        <w:t>it corresponds more</w:t>
      </w:r>
      <w:r w:rsidRPr="00FA1502">
        <w:rPr>
          <w:rFonts w:ascii="Times New Roman" w:eastAsia="Times New Roman" w:hAnsi="Times New Roman" w:cs="Times New Roman"/>
          <w:sz w:val="24"/>
          <w:szCs w:val="24"/>
          <w:lang w:val="en-GB" w:eastAsia="cs-CZ"/>
        </w:rPr>
        <w:t xml:space="preserve"> to EU law. </w:t>
      </w:r>
      <w:r w:rsidRPr="00FA1502" w:rsidR="001611CD">
        <w:rPr>
          <w:rFonts w:ascii="Times New Roman" w:eastAsia="Times New Roman" w:hAnsi="Times New Roman" w:cs="Times New Roman"/>
          <w:sz w:val="24"/>
          <w:szCs w:val="24"/>
          <w:lang w:val="en-GB" w:eastAsia="cs-CZ"/>
        </w:rPr>
        <w:t>I</w:t>
      </w:r>
      <w:r w:rsidRPr="00FA1502">
        <w:rPr>
          <w:rFonts w:ascii="Times New Roman" w:eastAsia="Times New Roman" w:hAnsi="Times New Roman" w:cs="Times New Roman"/>
          <w:sz w:val="24"/>
          <w:szCs w:val="24"/>
          <w:lang w:val="en-GB" w:eastAsia="cs-CZ"/>
        </w:rPr>
        <w:t xml:space="preserve">t </w:t>
      </w:r>
      <w:r w:rsidRPr="00FA1502" w:rsidR="001611CD">
        <w:rPr>
          <w:rFonts w:ascii="Times New Roman" w:eastAsia="Times New Roman" w:hAnsi="Times New Roman" w:cs="Times New Roman"/>
          <w:sz w:val="24"/>
          <w:szCs w:val="24"/>
          <w:lang w:val="en-GB" w:eastAsia="cs-CZ"/>
        </w:rPr>
        <w:t xml:space="preserve">newly means </w:t>
      </w:r>
      <w:r w:rsidRPr="00FA1502" w:rsidR="003D3A30">
        <w:rPr>
          <w:rFonts w:ascii="Times New Roman" w:eastAsia="Times New Roman" w:hAnsi="Times New Roman" w:cs="Times New Roman"/>
          <w:sz w:val="24"/>
          <w:szCs w:val="24"/>
          <w:lang w:val="en-GB" w:eastAsia="cs-CZ"/>
        </w:rPr>
        <w:t xml:space="preserve">property </w:t>
      </w:r>
      <w:r w:rsidRPr="00FA1502" w:rsidR="001611CD">
        <w:rPr>
          <w:rFonts w:ascii="Times New Roman" w:eastAsia="Times New Roman" w:hAnsi="Times New Roman" w:cs="Times New Roman"/>
          <w:sz w:val="24"/>
          <w:szCs w:val="24"/>
          <w:lang w:val="en-GB" w:eastAsia="cs-CZ"/>
        </w:rPr>
        <w:t>in such</w:t>
      </w:r>
      <w:r w:rsidRPr="00FA1502">
        <w:rPr>
          <w:rFonts w:ascii="Times New Roman" w:eastAsia="Times New Roman" w:hAnsi="Times New Roman" w:cs="Times New Roman"/>
          <w:sz w:val="24"/>
          <w:szCs w:val="24"/>
          <w:lang w:val="en-GB" w:eastAsia="cs-CZ"/>
        </w:rPr>
        <w:t xml:space="preserve"> mutual fund. The problem is that the concept of </w:t>
      </w:r>
      <w:r w:rsidRPr="00FA1502" w:rsidR="003D3A30">
        <w:rPr>
          <w:rFonts w:ascii="Times New Roman" w:eastAsia="Times New Roman" w:hAnsi="Times New Roman" w:cs="Times New Roman"/>
          <w:sz w:val="24"/>
          <w:szCs w:val="24"/>
          <w:lang w:val="en-GB" w:eastAsia="cs-CZ"/>
        </w:rPr>
        <w:t xml:space="preserve">property </w:t>
      </w:r>
      <w:r w:rsidRPr="00FA1502">
        <w:rPr>
          <w:rFonts w:ascii="Times New Roman" w:eastAsia="Times New Roman" w:hAnsi="Times New Roman" w:cs="Times New Roman"/>
          <w:sz w:val="24"/>
          <w:szCs w:val="24"/>
          <w:lang w:val="en-GB" w:eastAsia="cs-CZ"/>
        </w:rPr>
        <w:t xml:space="preserve">is broader than </w:t>
      </w:r>
      <w:r w:rsidRPr="00FA1502" w:rsidR="003D3A30">
        <w:rPr>
          <w:rFonts w:ascii="Times New Roman" w:eastAsia="Times New Roman" w:hAnsi="Times New Roman" w:cs="Times New Roman"/>
          <w:sz w:val="24"/>
          <w:szCs w:val="24"/>
          <w:lang w:val="en-GB" w:eastAsia="cs-CZ"/>
        </w:rPr>
        <w:t xml:space="preserve">property </w:t>
      </w:r>
      <w:r w:rsidRPr="00FA1502">
        <w:rPr>
          <w:rFonts w:ascii="Times New Roman" w:eastAsia="Times New Roman" w:hAnsi="Times New Roman" w:cs="Times New Roman"/>
          <w:sz w:val="24"/>
          <w:szCs w:val="24"/>
          <w:lang w:val="en-GB" w:eastAsia="cs-CZ"/>
        </w:rPr>
        <w:t xml:space="preserve">under the Civil Code. This problem exists not only with regard to </w:t>
      </w:r>
      <w:r w:rsidRPr="00FA1502" w:rsidR="00D963B9">
        <w:rPr>
          <w:rFonts w:ascii="Times New Roman" w:eastAsia="Times New Roman" w:hAnsi="Times New Roman" w:cs="Times New Roman"/>
          <w:sz w:val="24"/>
          <w:szCs w:val="24"/>
          <w:lang w:val="en-GB" w:eastAsia="cs-CZ"/>
        </w:rPr>
        <w:t xml:space="preserve">the </w:t>
      </w:r>
      <w:r w:rsidRPr="00FA1502">
        <w:rPr>
          <w:rFonts w:ascii="Times New Roman" w:eastAsia="Times New Roman" w:hAnsi="Times New Roman" w:cs="Times New Roman"/>
          <w:sz w:val="24"/>
          <w:szCs w:val="24"/>
          <w:lang w:val="en-GB" w:eastAsia="cs-CZ"/>
        </w:rPr>
        <w:t xml:space="preserve">European legislation, but also, for example, with the Accounting Act, which explicitly states in several places </w:t>
      </w:r>
      <w:r w:rsidRPr="00FA1502" w:rsidR="00D963B9">
        <w:rPr>
          <w:rFonts w:ascii="Times New Roman" w:eastAsia="Times New Roman" w:hAnsi="Times New Roman" w:cs="Times New Roman"/>
          <w:sz w:val="24"/>
          <w:szCs w:val="24"/>
          <w:lang w:val="en-GB" w:eastAsia="cs-CZ"/>
        </w:rPr>
        <w:t>“</w:t>
      </w:r>
      <w:r w:rsidRPr="00FA1502" w:rsidR="003D3A30">
        <w:rPr>
          <w:rFonts w:ascii="Times New Roman" w:eastAsia="Times New Roman" w:hAnsi="Times New Roman" w:cs="Times New Roman"/>
          <w:sz w:val="24"/>
          <w:szCs w:val="24"/>
          <w:lang w:val="en-GB" w:eastAsia="cs-CZ"/>
        </w:rPr>
        <w:t xml:space="preserve">property </w:t>
      </w:r>
      <w:r w:rsidRPr="00FA1502">
        <w:rPr>
          <w:rFonts w:ascii="Times New Roman" w:eastAsia="Times New Roman" w:hAnsi="Times New Roman" w:cs="Times New Roman"/>
          <w:sz w:val="24"/>
          <w:szCs w:val="24"/>
          <w:lang w:val="en-GB" w:eastAsia="cs-CZ"/>
        </w:rPr>
        <w:t>and other assets</w:t>
      </w:r>
      <w:r w:rsidRPr="00FA1502" w:rsidR="00D963B9">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At the same time, in practice, investment funds calculate NAV based on </w:t>
      </w:r>
      <w:r w:rsidRPr="00FA1502" w:rsidR="003D3A30">
        <w:rPr>
          <w:rFonts w:ascii="Times New Roman" w:eastAsia="Times New Roman" w:hAnsi="Times New Roman" w:cs="Times New Roman"/>
          <w:sz w:val="24"/>
          <w:szCs w:val="24"/>
          <w:lang w:val="en-GB" w:eastAsia="cs-CZ"/>
        </w:rPr>
        <w:t xml:space="preserve">assets </w:t>
      </w:r>
      <w:r w:rsidRPr="00FA1502">
        <w:rPr>
          <w:rFonts w:ascii="Times New Roman" w:eastAsia="Times New Roman" w:hAnsi="Times New Roman" w:cs="Times New Roman"/>
          <w:sz w:val="24"/>
          <w:szCs w:val="24"/>
          <w:lang w:val="en-GB" w:eastAsia="cs-CZ"/>
        </w:rPr>
        <w:t xml:space="preserve">and not </w:t>
      </w:r>
      <w:r w:rsidRPr="00FA1502" w:rsidR="003D3A30">
        <w:rPr>
          <w:rFonts w:ascii="Times New Roman" w:eastAsia="Times New Roman" w:hAnsi="Times New Roman" w:cs="Times New Roman"/>
          <w:sz w:val="24"/>
          <w:szCs w:val="24"/>
          <w:lang w:val="en-GB" w:eastAsia="cs-CZ"/>
        </w:rPr>
        <w:t>property</w:t>
      </w:r>
      <w:r w:rsidRPr="00FA1502">
        <w:rPr>
          <w:rFonts w:ascii="Times New Roman" w:eastAsia="Times New Roman" w:hAnsi="Times New Roman" w:cs="Times New Roman"/>
          <w:sz w:val="24"/>
          <w:szCs w:val="24"/>
          <w:lang w:val="en-GB" w:eastAsia="cs-CZ"/>
        </w:rPr>
        <w:t xml:space="preserve">, as this is a way of giving a </w:t>
      </w:r>
      <w:r w:rsidRPr="00FA1502">
        <w:rPr>
          <w:rFonts w:ascii="Times New Roman" w:eastAsia="Times New Roman" w:hAnsi="Times New Roman" w:cs="Times New Roman"/>
          <w:sz w:val="24"/>
          <w:szCs w:val="24"/>
          <w:lang w:val="en-GB" w:eastAsia="cs-CZ"/>
        </w:rPr>
        <w:t>true picture of their situation.</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 </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The eleventh part, Article XII </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Amendment to the Act on Administrative Fees</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u w:val="single"/>
          <w:lang w:val="en-GB" w:eastAsia="cs-CZ"/>
        </w:rPr>
        <w:t>To point 1 until 7 [</w:t>
      </w:r>
      <w:r w:rsidRPr="00FA1502" w:rsidR="00F35ABF">
        <w:rPr>
          <w:rFonts w:ascii="Times New Roman" w:eastAsia="Times New Roman" w:hAnsi="Times New Roman" w:cs="Times New Roman"/>
          <w:b/>
          <w:bCs/>
          <w:sz w:val="24"/>
          <w:szCs w:val="24"/>
          <w:u w:val="single"/>
          <w:lang w:val="en-GB" w:eastAsia="cs-CZ"/>
        </w:rPr>
        <w:t>item</w:t>
      </w:r>
      <w:r w:rsidRPr="00FA1502">
        <w:rPr>
          <w:rFonts w:ascii="Times New Roman" w:eastAsia="Times New Roman" w:hAnsi="Times New Roman" w:cs="Times New Roman"/>
          <w:b/>
          <w:bCs/>
          <w:sz w:val="24"/>
          <w:szCs w:val="24"/>
          <w:u w:val="single"/>
          <w:lang w:val="en-GB" w:eastAsia="cs-CZ"/>
        </w:rPr>
        <w:t xml:space="preserve"> 65 point 9</w:t>
      </w:r>
      <w:r w:rsidRPr="00FA1502" w:rsidR="00F35ABF">
        <w:rPr>
          <w:rFonts w:ascii="Times New Roman" w:eastAsia="Times New Roman" w:hAnsi="Times New Roman" w:cs="Times New Roman"/>
          <w:b/>
          <w:bCs/>
          <w:sz w:val="24"/>
          <w:szCs w:val="24"/>
          <w:u w:val="single"/>
          <w:lang w:val="en-GB" w:eastAsia="cs-CZ"/>
        </w:rPr>
        <w:t xml:space="preserve"> (</w:t>
      </w:r>
      <w:r w:rsidRPr="00FA1502">
        <w:rPr>
          <w:rFonts w:ascii="Times New Roman" w:eastAsia="Times New Roman" w:hAnsi="Times New Roman" w:cs="Times New Roman"/>
          <w:b/>
          <w:bCs/>
          <w:sz w:val="24"/>
          <w:szCs w:val="24"/>
          <w:u w:val="single"/>
          <w:lang w:val="en-GB" w:eastAsia="cs-CZ"/>
        </w:rPr>
        <w:t xml:space="preserve">d) and </w:t>
      </w:r>
      <w:r w:rsidRPr="00FA1502" w:rsidR="00F35ABF">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f) and </w:t>
      </w:r>
      <w:r w:rsidRPr="00FA1502" w:rsidR="00F35ABF">
        <w:rPr>
          <w:rFonts w:ascii="Times New Roman" w:eastAsia="Times New Roman" w:hAnsi="Times New Roman" w:cs="Times New Roman"/>
          <w:b/>
          <w:bCs/>
          <w:sz w:val="24"/>
          <w:szCs w:val="24"/>
          <w:u w:val="single"/>
          <w:lang w:val="en-GB" w:eastAsia="cs-CZ"/>
        </w:rPr>
        <w:t>new letters (</w:t>
      </w:r>
      <w:r w:rsidRPr="00FA1502">
        <w:rPr>
          <w:rFonts w:ascii="Times New Roman" w:eastAsia="Times New Roman" w:hAnsi="Times New Roman" w:cs="Times New Roman"/>
          <w:b/>
          <w:bCs/>
          <w:sz w:val="24"/>
          <w:szCs w:val="24"/>
          <w:u w:val="single"/>
          <w:lang w:val="en-GB" w:eastAsia="cs-CZ"/>
        </w:rPr>
        <w:t xml:space="preserve">t) and </w:t>
      </w:r>
      <w:r w:rsidRPr="00FA1502" w:rsidR="00F35ABF">
        <w:rPr>
          <w:rFonts w:ascii="Times New Roman" w:eastAsia="Times New Roman" w:hAnsi="Times New Roman" w:cs="Times New Roman"/>
          <w:b/>
          <w:bCs/>
          <w:sz w:val="24"/>
          <w:szCs w:val="24"/>
          <w:u w:val="single"/>
          <w:lang w:val="en-GB" w:eastAsia="cs-CZ"/>
        </w:rPr>
        <w:t>(</w:t>
      </w:r>
      <w:r w:rsidRPr="00FA1502">
        <w:rPr>
          <w:rFonts w:ascii="Times New Roman" w:eastAsia="Times New Roman" w:hAnsi="Times New Roman" w:cs="Times New Roman"/>
          <w:b/>
          <w:bCs/>
          <w:sz w:val="24"/>
          <w:szCs w:val="24"/>
          <w:u w:val="single"/>
          <w:lang w:val="en-GB" w:eastAsia="cs-CZ"/>
        </w:rPr>
        <w:t xml:space="preserve">u), item 65 point 11 </w:t>
      </w:r>
      <w:r w:rsidRPr="00FA1502" w:rsidR="00F35ABF">
        <w:rPr>
          <w:rFonts w:ascii="Times New Roman" w:eastAsia="Times New Roman" w:hAnsi="Times New Roman" w:cs="Times New Roman"/>
          <w:b/>
          <w:bCs/>
          <w:sz w:val="24"/>
          <w:szCs w:val="24"/>
          <w:u w:val="single"/>
          <w:lang w:val="en-GB" w:eastAsia="cs-CZ"/>
        </w:rPr>
        <w:t>new letter (</w:t>
      </w:r>
      <w:r w:rsidRPr="00FA1502">
        <w:rPr>
          <w:rFonts w:ascii="Times New Roman" w:eastAsia="Times New Roman" w:hAnsi="Times New Roman" w:cs="Times New Roman"/>
          <w:b/>
          <w:bCs/>
          <w:sz w:val="24"/>
          <w:szCs w:val="24"/>
          <w:u w:val="single"/>
          <w:lang w:val="en-GB" w:eastAsia="cs-CZ"/>
        </w:rPr>
        <w:t xml:space="preserve">l), the new note item 65 and </w:t>
      </w:r>
      <w:r w:rsidRPr="00FA1502" w:rsidR="00F35ABF">
        <w:rPr>
          <w:rFonts w:ascii="Times New Roman" w:eastAsia="Times New Roman" w:hAnsi="Times New Roman" w:cs="Times New Roman"/>
          <w:b/>
          <w:bCs/>
          <w:sz w:val="24"/>
          <w:szCs w:val="24"/>
          <w:u w:val="single"/>
          <w:lang w:val="en-GB" w:eastAsia="cs-CZ"/>
        </w:rPr>
        <w:t xml:space="preserve">item </w:t>
      </w:r>
      <w:r w:rsidRPr="00FA1502">
        <w:rPr>
          <w:rFonts w:ascii="Times New Roman" w:eastAsia="Times New Roman" w:hAnsi="Times New Roman" w:cs="Times New Roman"/>
          <w:b/>
          <w:bCs/>
          <w:sz w:val="24"/>
          <w:szCs w:val="24"/>
          <w:u w:val="single"/>
          <w:lang w:val="en-GB" w:eastAsia="cs-CZ"/>
        </w:rPr>
        <w:t>66 point 9</w:t>
      </w:r>
      <w:r w:rsidRPr="00FA1502" w:rsidR="00F35ABF">
        <w:rPr>
          <w:rFonts w:ascii="Times New Roman" w:eastAsia="Times New Roman" w:hAnsi="Times New Roman" w:cs="Times New Roman"/>
          <w:b/>
          <w:bCs/>
          <w:sz w:val="24"/>
          <w:szCs w:val="24"/>
          <w:u w:val="single"/>
          <w:lang w:val="en-GB" w:eastAsia="cs-CZ"/>
        </w:rPr>
        <w:t xml:space="preserve"> (</w:t>
      </w:r>
      <w:r w:rsidRPr="00FA1502">
        <w:rPr>
          <w:rFonts w:ascii="Times New Roman" w:eastAsia="Times New Roman" w:hAnsi="Times New Roman" w:cs="Times New Roman"/>
          <w:b/>
          <w:bCs/>
          <w:sz w:val="24"/>
          <w:szCs w:val="24"/>
          <w:u w:val="single"/>
          <w:lang w:val="en-GB" w:eastAsia="cs-CZ"/>
        </w:rPr>
        <w:t>q)]</w:t>
      </w:r>
      <w:r w:rsidRPr="00FA1502" w:rsidR="004754CE">
        <w:rPr>
          <w:rFonts w:ascii="Times New Roman" w:eastAsia="Times New Roman" w:hAnsi="Times New Roman" w:cs="Times New Roman"/>
          <w:b/>
          <w:bCs/>
          <w:sz w:val="24"/>
          <w:szCs w:val="24"/>
          <w:u w:val="single"/>
          <w:lang w:val="en-GB" w:eastAsia="cs-CZ"/>
        </w:rPr>
        <w:t>:</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adjustment of administrative fees related to operations in the collective investment sector is being revised. In particular, the new regulation reflects the real cost and complexity of the individual licensing or registration procedures. An administrative fee for the renewal of a registration shall be paid by a legal person pursuant to paragraph 1 of Section 15 of ZISIF </w:t>
      </w:r>
      <w:r w:rsidRPr="00FA1502" w:rsidR="004754CE">
        <w:rPr>
          <w:rFonts w:ascii="Times New Roman" w:eastAsia="Times New Roman" w:hAnsi="Times New Roman" w:cs="Times New Roman"/>
          <w:sz w:val="24"/>
          <w:szCs w:val="24"/>
          <w:lang w:val="en-GB" w:eastAsia="cs-CZ"/>
        </w:rPr>
        <w:t xml:space="preserve">within </w:t>
      </w:r>
      <w:r w:rsidRPr="00FA1502">
        <w:rPr>
          <w:rFonts w:ascii="Times New Roman" w:eastAsia="Times New Roman" w:hAnsi="Times New Roman" w:cs="Times New Roman"/>
          <w:sz w:val="24"/>
          <w:szCs w:val="24"/>
          <w:lang w:val="en-GB" w:eastAsia="cs-CZ"/>
        </w:rPr>
        <w:t xml:space="preserve">no later than 30 days before the registration expires. This time limit shall be set in the light of the experience of the supervisory authority, which may have difficulty in administering the </w:t>
      </w:r>
      <w:r w:rsidRPr="00FA1502" w:rsidR="004754CE">
        <w:rPr>
          <w:rFonts w:ascii="Times New Roman" w:eastAsia="Times New Roman" w:hAnsi="Times New Roman" w:cs="Times New Roman"/>
          <w:sz w:val="24"/>
          <w:szCs w:val="24"/>
          <w:lang w:val="en-GB" w:eastAsia="cs-CZ"/>
        </w:rPr>
        <w:t>application</w:t>
      </w:r>
      <w:r w:rsidRPr="00FA1502">
        <w:rPr>
          <w:rFonts w:ascii="Times New Roman" w:eastAsia="Times New Roman" w:hAnsi="Times New Roman" w:cs="Times New Roman"/>
          <w:sz w:val="24"/>
          <w:szCs w:val="24"/>
          <w:lang w:val="en-GB" w:eastAsia="cs-CZ"/>
        </w:rPr>
        <w:t xml:space="preserve"> in the event of a period shorter than 30 days before the expiry of the </w:t>
      </w:r>
      <w:r w:rsidRPr="00FA1502" w:rsidR="004754CE">
        <w:rPr>
          <w:rFonts w:ascii="Times New Roman" w:eastAsia="Times New Roman" w:hAnsi="Times New Roman" w:cs="Times New Roman"/>
          <w:sz w:val="24"/>
          <w:szCs w:val="24"/>
          <w:lang w:val="en-GB" w:eastAsia="cs-CZ"/>
        </w:rPr>
        <w:t>registration</w:t>
      </w:r>
      <w:r w:rsidRPr="00FA1502">
        <w:rPr>
          <w:rFonts w:ascii="Times New Roman" w:eastAsia="Times New Roman" w:hAnsi="Times New Roman" w:cs="Times New Roman"/>
          <w:sz w:val="24"/>
          <w:szCs w:val="24"/>
          <w:lang w:val="en-GB" w:eastAsia="cs-CZ"/>
        </w:rPr>
        <w:t xml:space="preserve">. The proposed provision limits the duration of the registration to a fixed period and at the same time allows the registration to be extended by paying </w:t>
      </w:r>
      <w:r w:rsidRPr="00FA1502" w:rsidR="004754CE">
        <w:rPr>
          <w:rFonts w:ascii="Times New Roman" w:eastAsia="Times New Roman" w:hAnsi="Times New Roman" w:cs="Times New Roman"/>
          <w:sz w:val="24"/>
          <w:szCs w:val="24"/>
          <w:lang w:val="en-GB" w:eastAsia="cs-CZ"/>
        </w:rPr>
        <w:t xml:space="preserve">of the </w:t>
      </w:r>
      <w:r w:rsidRPr="00FA1502">
        <w:rPr>
          <w:rFonts w:ascii="Times New Roman" w:eastAsia="Times New Roman" w:hAnsi="Times New Roman" w:cs="Times New Roman"/>
          <w:sz w:val="24"/>
          <w:szCs w:val="24"/>
          <w:lang w:val="en-GB" w:eastAsia="cs-CZ"/>
        </w:rPr>
        <w:t xml:space="preserve">administrative fee. The maturity of the administrative fee for the renewal of the registration is regulated in the subsequent amendment to the Act on Administrative Fees in the note to item 65 of the </w:t>
      </w:r>
      <w:r w:rsidRPr="00FA1502" w:rsidR="00856845">
        <w:rPr>
          <w:rFonts w:ascii="Times New Roman" w:eastAsia="Times New Roman" w:hAnsi="Times New Roman" w:cs="Times New Roman"/>
          <w:sz w:val="24"/>
          <w:szCs w:val="24"/>
          <w:lang w:val="en-GB" w:eastAsia="cs-CZ"/>
        </w:rPr>
        <w:t>l</w:t>
      </w:r>
      <w:r w:rsidRPr="00FA1502">
        <w:rPr>
          <w:rFonts w:ascii="Times New Roman" w:eastAsia="Times New Roman" w:hAnsi="Times New Roman" w:cs="Times New Roman"/>
          <w:sz w:val="24"/>
          <w:szCs w:val="24"/>
          <w:lang w:val="en-GB" w:eastAsia="cs-CZ"/>
        </w:rPr>
        <w:t>ist of</w:t>
      </w:r>
      <w:r w:rsidRPr="00FA1502" w:rsidR="00856845">
        <w:rPr>
          <w:rFonts w:ascii="Times New Roman" w:eastAsia="Times New Roman" w:hAnsi="Times New Roman" w:cs="Times New Roman"/>
          <w:sz w:val="24"/>
          <w:szCs w:val="24"/>
          <w:lang w:val="en-GB" w:eastAsia="cs-CZ"/>
        </w:rPr>
        <w:t xml:space="preserve"> a</w:t>
      </w:r>
      <w:r w:rsidRPr="00FA1502">
        <w:rPr>
          <w:rFonts w:ascii="Times New Roman" w:eastAsia="Times New Roman" w:hAnsi="Times New Roman" w:cs="Times New Roman"/>
          <w:sz w:val="24"/>
          <w:szCs w:val="24"/>
          <w:lang w:val="en-GB" w:eastAsia="cs-CZ"/>
        </w:rPr>
        <w:t xml:space="preserve">dministrative </w:t>
      </w:r>
      <w:r w:rsidRPr="00FA1502" w:rsidR="00856845">
        <w:rPr>
          <w:rFonts w:ascii="Times New Roman" w:eastAsia="Times New Roman" w:hAnsi="Times New Roman" w:cs="Times New Roman"/>
          <w:sz w:val="24"/>
          <w:szCs w:val="24"/>
          <w:lang w:val="en-GB" w:eastAsia="cs-CZ"/>
        </w:rPr>
        <w:t>f</w:t>
      </w:r>
      <w:r w:rsidRPr="00FA1502">
        <w:rPr>
          <w:rFonts w:ascii="Times New Roman" w:eastAsia="Times New Roman" w:hAnsi="Times New Roman" w:cs="Times New Roman"/>
          <w:sz w:val="24"/>
          <w:szCs w:val="24"/>
          <w:lang w:val="en-GB" w:eastAsia="cs-CZ"/>
        </w:rPr>
        <w:t xml:space="preserve">ees. Otherwise, the procedure of the administrative body and the taxpayer in collecting and paying the administrative fee is governed by the general regulation in the Act on Administrative Fees (see in particular </w:t>
      </w:r>
      <w:r w:rsidRPr="00FA1502" w:rsidR="00422EF6">
        <w:rPr>
          <w:rFonts w:ascii="Times New Roman" w:eastAsia="Times New Roman" w:hAnsi="Times New Roman" w:cs="Times New Roman"/>
          <w:sz w:val="24"/>
          <w:szCs w:val="24"/>
          <w:lang w:val="en-GB" w:eastAsia="cs-CZ"/>
        </w:rPr>
        <w:t>Section</w:t>
      </w:r>
      <w:r w:rsidRPr="00FA1502">
        <w:rPr>
          <w:rFonts w:ascii="Times New Roman" w:eastAsia="Times New Roman" w:hAnsi="Times New Roman" w:cs="Times New Roman"/>
          <w:sz w:val="24"/>
          <w:szCs w:val="24"/>
          <w:lang w:val="en-GB" w:eastAsia="cs-CZ"/>
        </w:rPr>
        <w:t xml:space="preserve"> 5 of the </w:t>
      </w:r>
      <w:r w:rsidRPr="00FA1502" w:rsidR="00422EF6">
        <w:rPr>
          <w:rFonts w:ascii="Times New Roman" w:eastAsia="Times New Roman" w:hAnsi="Times New Roman" w:cs="Times New Roman"/>
          <w:sz w:val="24"/>
          <w:szCs w:val="24"/>
          <w:lang w:val="en-GB" w:eastAsia="cs-CZ"/>
        </w:rPr>
        <w:t>ZoSP</w:t>
      </w:r>
      <w:r w:rsidRPr="00FA1502">
        <w:rPr>
          <w:rFonts w:ascii="Times New Roman" w:eastAsia="Times New Roman" w:hAnsi="Times New Roman" w:cs="Times New Roman"/>
          <w:sz w:val="24"/>
          <w:szCs w:val="24"/>
          <w:lang w:val="en-GB" w:eastAsia="cs-CZ"/>
        </w:rPr>
        <w:t>).</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With the same optics, a fee is also introduced for the notification of </w:t>
      </w:r>
      <w:r w:rsidRPr="00FA1502" w:rsidR="00505A9B">
        <w:rPr>
          <w:rFonts w:ascii="Times New Roman" w:eastAsia="Times New Roman" w:hAnsi="Times New Roman" w:cs="Times New Roman"/>
          <w:sz w:val="24"/>
          <w:szCs w:val="24"/>
          <w:lang w:val="en-GB" w:eastAsia="cs-CZ"/>
        </w:rPr>
        <w:t>foreign</w:t>
      </w:r>
      <w:r w:rsidRPr="00FA1502">
        <w:rPr>
          <w:rFonts w:ascii="Times New Roman" w:eastAsia="Times New Roman" w:hAnsi="Times New Roman" w:cs="Times New Roman"/>
          <w:sz w:val="24"/>
          <w:szCs w:val="24"/>
          <w:lang w:val="en-GB" w:eastAsia="cs-CZ"/>
        </w:rPr>
        <w:t xml:space="preserve"> investment funds to be offered in the Czech Republic and for the registration of a person referred to in Section 15 (1) of ZISIF</w:t>
      </w:r>
      <w:r w:rsidRPr="00FA1502" w:rsidR="0070378C">
        <w:rPr>
          <w:rFonts w:ascii="Times New Roman" w:eastAsia="Times New Roman" w:hAnsi="Times New Roman" w:cs="Times New Roman"/>
          <w:sz w:val="24"/>
          <w:szCs w:val="24"/>
          <w:lang w:val="en-GB" w:eastAsia="cs-CZ"/>
        </w:rPr>
        <w:t>.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The European legislation does not specifically regulate charges levied by </w:t>
      </w:r>
      <w:r w:rsidRPr="00FA1502" w:rsidR="00BE2F7B">
        <w:rPr>
          <w:rFonts w:ascii="Times New Roman" w:eastAsia="Times New Roman" w:hAnsi="Times New Roman" w:cs="Times New Roman"/>
          <w:sz w:val="24"/>
          <w:szCs w:val="24"/>
          <w:lang w:val="en-GB" w:eastAsia="cs-CZ"/>
        </w:rPr>
        <w:t>m</w:t>
      </w:r>
      <w:r w:rsidRPr="00FA1502">
        <w:rPr>
          <w:rFonts w:ascii="Times New Roman" w:eastAsia="Times New Roman" w:hAnsi="Times New Roman" w:cs="Times New Roman"/>
          <w:sz w:val="24"/>
          <w:szCs w:val="24"/>
          <w:lang w:val="en-GB" w:eastAsia="cs-CZ"/>
        </w:rPr>
        <w:t xml:space="preserve">ember </w:t>
      </w:r>
      <w:r w:rsidRPr="00FA1502" w:rsidR="00BE2F7B">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tates</w:t>
      </w:r>
      <w:bookmarkStart w:id="24" w:name="_ftnref26"/>
      <w:bookmarkEnd w:id="24"/>
      <w:r>
        <w:rPr>
          <w:rStyle w:val="FootnoteReference"/>
          <w:rFonts w:ascii="Times New Roman" w:eastAsia="Times New Roman" w:hAnsi="Times New Roman" w:cs="Times New Roman"/>
          <w:sz w:val="24"/>
          <w:szCs w:val="24"/>
          <w:lang w:val="en-GB" w:eastAsia="cs-CZ"/>
        </w:rPr>
        <w:footnoteReference w:id="27"/>
      </w:r>
      <w:r w:rsidRPr="00FA1502" w:rsidR="0070378C">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(wit</w:t>
      </w:r>
      <w:r w:rsidRPr="00FA1502" w:rsidR="00BE2F7B">
        <w:rPr>
          <w:rFonts w:ascii="Times New Roman" w:eastAsia="Times New Roman" w:hAnsi="Times New Roman" w:cs="Times New Roman"/>
          <w:sz w:val="24"/>
          <w:szCs w:val="24"/>
          <w:lang w:val="en-GB" w:eastAsia="cs-CZ"/>
        </w:rPr>
        <w:t>h no</w:t>
      </w:r>
      <w:r w:rsidRPr="00FA1502">
        <w:rPr>
          <w:rFonts w:ascii="Times New Roman" w:eastAsia="Times New Roman" w:hAnsi="Times New Roman" w:cs="Times New Roman"/>
          <w:sz w:val="24"/>
          <w:szCs w:val="24"/>
          <w:lang w:val="en-GB" w:eastAsia="cs-CZ"/>
        </w:rPr>
        <w:t xml:space="preserve"> regard to domestic funds, or in the case of cross-border </w:t>
      </w:r>
      <w:r w:rsidRPr="00FA1502" w:rsidR="00BE2F7B">
        <w:rPr>
          <w:rFonts w:ascii="Times New Roman" w:eastAsia="Times New Roman" w:hAnsi="Times New Roman" w:cs="Times New Roman"/>
          <w:sz w:val="24"/>
          <w:szCs w:val="24"/>
          <w:lang w:val="en-GB" w:eastAsia="cs-CZ"/>
        </w:rPr>
        <w:t xml:space="preserve">offering </w:t>
      </w:r>
      <w:r w:rsidRPr="00FA1502">
        <w:rPr>
          <w:rFonts w:ascii="Times New Roman" w:eastAsia="Times New Roman" w:hAnsi="Times New Roman" w:cs="Times New Roman"/>
          <w:sz w:val="24"/>
          <w:szCs w:val="24"/>
          <w:lang w:val="en-GB" w:eastAsia="cs-CZ"/>
        </w:rPr>
        <w:t xml:space="preserve">of investment funds from another </w:t>
      </w:r>
      <w:r w:rsidRPr="00FA1502" w:rsidR="00BE2F7B">
        <w:rPr>
          <w:rFonts w:ascii="Times New Roman" w:eastAsia="Times New Roman" w:hAnsi="Times New Roman" w:cs="Times New Roman"/>
          <w:sz w:val="24"/>
          <w:szCs w:val="24"/>
          <w:lang w:val="en-GB" w:eastAsia="cs-CZ"/>
        </w:rPr>
        <w:t>member s</w:t>
      </w:r>
      <w:r w:rsidRPr="00FA1502">
        <w:rPr>
          <w:rFonts w:ascii="Times New Roman" w:eastAsia="Times New Roman" w:hAnsi="Times New Roman" w:cs="Times New Roman"/>
          <w:sz w:val="24"/>
          <w:szCs w:val="24"/>
          <w:lang w:val="en-GB" w:eastAsia="cs-CZ"/>
        </w:rPr>
        <w:t>tate). Directive AIFMD (2011/61/EU) a</w:t>
      </w:r>
      <w:r w:rsidRPr="00FA1502" w:rsidR="00BE2F7B">
        <w:rPr>
          <w:rFonts w:ascii="Times New Roman" w:eastAsia="Times New Roman" w:hAnsi="Times New Roman" w:cs="Times New Roman"/>
          <w:sz w:val="24"/>
          <w:szCs w:val="24"/>
          <w:lang w:val="en-GB" w:eastAsia="cs-CZ"/>
        </w:rPr>
        <w:t>nd the UCITS Directive (2009/65</w:t>
      </w:r>
      <w:r w:rsidRPr="00FA1502">
        <w:rPr>
          <w:rFonts w:ascii="Times New Roman" w:eastAsia="Times New Roman" w:hAnsi="Times New Roman" w:cs="Times New Roman"/>
          <w:sz w:val="24"/>
          <w:szCs w:val="24"/>
          <w:lang w:val="en-GB" w:eastAsia="cs-CZ"/>
        </w:rPr>
        <w:t xml:space="preserve">/EU) provides that in the case of </w:t>
      </w:r>
      <w:r w:rsidRPr="00FA1502" w:rsidR="00BE2F7B">
        <w:rPr>
          <w:rFonts w:ascii="Times New Roman" w:eastAsia="Times New Roman" w:hAnsi="Times New Roman" w:cs="Times New Roman"/>
          <w:sz w:val="24"/>
          <w:szCs w:val="24"/>
          <w:lang w:val="en-GB" w:eastAsia="cs-CZ"/>
        </w:rPr>
        <w:t xml:space="preserve">cross-border offering of </w:t>
      </w:r>
      <w:r w:rsidRPr="00FA1502">
        <w:rPr>
          <w:rFonts w:ascii="Times New Roman" w:eastAsia="Times New Roman" w:hAnsi="Times New Roman" w:cs="Times New Roman"/>
          <w:sz w:val="24"/>
          <w:szCs w:val="24"/>
          <w:lang w:val="en-GB" w:eastAsia="cs-CZ"/>
        </w:rPr>
        <w:t>investment fund</w:t>
      </w:r>
      <w:r w:rsidRPr="00FA1502" w:rsidR="00BE2F7B">
        <w:rPr>
          <w:rFonts w:ascii="Times New Roman" w:eastAsia="Times New Roman" w:hAnsi="Times New Roman" w:cs="Times New Roman"/>
          <w:sz w:val="24"/>
          <w:szCs w:val="24"/>
          <w:lang w:val="en-GB" w:eastAsia="cs-CZ"/>
        </w:rPr>
        <w:t>s b</w:t>
      </w:r>
      <w:r w:rsidRPr="00FA1502">
        <w:rPr>
          <w:rFonts w:ascii="Times New Roman" w:eastAsia="Times New Roman" w:hAnsi="Times New Roman" w:cs="Times New Roman"/>
          <w:sz w:val="24"/>
          <w:szCs w:val="24"/>
          <w:lang w:val="en-GB" w:eastAsia="cs-CZ"/>
        </w:rPr>
        <w:t>ased on so-called</w:t>
      </w:r>
      <w:r w:rsidRPr="00FA1502" w:rsidR="00BE2F7B">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European passport</w:t>
      </w:r>
      <w:r w:rsidRPr="00FA1502" w:rsidR="00BE2F7B">
        <w:rPr>
          <w:rFonts w:ascii="Times New Roman" w:eastAsia="Times New Roman" w:hAnsi="Times New Roman" w:cs="Times New Roman"/>
          <w:sz w:val="24"/>
          <w:szCs w:val="24"/>
          <w:lang w:val="en-GB" w:eastAsia="cs-CZ"/>
        </w:rPr>
        <w:t xml:space="preserve">, administrators </w:t>
      </w:r>
      <w:r w:rsidRPr="00FA1502">
        <w:rPr>
          <w:rFonts w:ascii="Times New Roman" w:eastAsia="Times New Roman" w:hAnsi="Times New Roman" w:cs="Times New Roman"/>
          <w:sz w:val="24"/>
          <w:szCs w:val="24"/>
          <w:lang w:val="en-GB" w:eastAsia="cs-CZ"/>
        </w:rPr>
        <w:t xml:space="preserve">comply </w:t>
      </w:r>
      <w:r w:rsidRPr="00FA1502" w:rsidR="00BE2F7B">
        <w:rPr>
          <w:rFonts w:ascii="Times New Roman" w:eastAsia="Times New Roman" w:hAnsi="Times New Roman" w:cs="Times New Roman"/>
          <w:sz w:val="24"/>
          <w:szCs w:val="24"/>
          <w:lang w:val="en-GB" w:eastAsia="cs-CZ"/>
        </w:rPr>
        <w:t xml:space="preserve">with </w:t>
      </w:r>
      <w:r w:rsidRPr="00FA1502">
        <w:rPr>
          <w:rFonts w:ascii="Times New Roman" w:eastAsia="Times New Roman" w:hAnsi="Times New Roman" w:cs="Times New Roman"/>
          <w:sz w:val="24"/>
          <w:szCs w:val="24"/>
          <w:lang w:val="en-GB" w:eastAsia="cs-CZ"/>
        </w:rPr>
        <w:t xml:space="preserve">legislation governing the </w:t>
      </w:r>
      <w:r w:rsidRPr="00FA1502" w:rsidR="00BE2F7B">
        <w:rPr>
          <w:rFonts w:ascii="Times New Roman" w:eastAsia="Times New Roman" w:hAnsi="Times New Roman" w:cs="Times New Roman"/>
          <w:sz w:val="24"/>
          <w:szCs w:val="24"/>
          <w:lang w:val="en-GB" w:eastAsia="cs-CZ"/>
        </w:rPr>
        <w:t xml:space="preserve">offering </w:t>
      </w:r>
      <w:r w:rsidRPr="00FA1502">
        <w:rPr>
          <w:rFonts w:ascii="Times New Roman" w:eastAsia="Times New Roman" w:hAnsi="Times New Roman" w:cs="Times New Roman"/>
          <w:sz w:val="24"/>
          <w:szCs w:val="24"/>
          <w:lang w:val="en-GB" w:eastAsia="cs-CZ"/>
        </w:rPr>
        <w:t>of investment</w:t>
      </w:r>
      <w:r w:rsidRPr="00FA1502" w:rsidR="00BE2F7B">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 xml:space="preserve"> host</w:t>
      </w:r>
      <w:r w:rsidRPr="00FA1502" w:rsidR="00BE2F7B">
        <w:rPr>
          <w:rFonts w:ascii="Times New Roman" w:eastAsia="Times New Roman" w:hAnsi="Times New Roman" w:cs="Times New Roman"/>
          <w:sz w:val="24"/>
          <w:szCs w:val="24"/>
          <w:lang w:val="en-GB" w:eastAsia="cs-CZ"/>
        </w:rPr>
        <w:t xml:space="preserve"> m</w:t>
      </w:r>
      <w:r w:rsidRPr="00FA1502">
        <w:rPr>
          <w:rFonts w:ascii="Times New Roman" w:eastAsia="Times New Roman" w:hAnsi="Times New Roman" w:cs="Times New Roman"/>
          <w:sz w:val="24"/>
          <w:szCs w:val="24"/>
          <w:lang w:val="en-GB" w:eastAsia="cs-CZ"/>
        </w:rPr>
        <w:t>ember</w:t>
      </w:r>
      <w:r w:rsidRPr="00FA1502" w:rsidR="00BE2F7B">
        <w:rPr>
          <w:rFonts w:ascii="Times New Roman" w:eastAsia="Times New Roman" w:hAnsi="Times New Roman" w:cs="Times New Roman"/>
          <w:sz w:val="24"/>
          <w:szCs w:val="24"/>
          <w:lang w:val="en-GB" w:eastAsia="cs-CZ"/>
        </w:rPr>
        <w:t xml:space="preserve"> s</w:t>
      </w:r>
      <w:r w:rsidRPr="00FA1502">
        <w:rPr>
          <w:rFonts w:ascii="Times New Roman" w:eastAsia="Times New Roman" w:hAnsi="Times New Roman" w:cs="Times New Roman"/>
          <w:sz w:val="24"/>
          <w:szCs w:val="24"/>
          <w:lang w:val="en-GB" w:eastAsia="cs-CZ"/>
        </w:rPr>
        <w:t>tate (Art</w:t>
      </w:r>
      <w:r w:rsidRPr="00FA1502" w:rsidR="00BE2F7B">
        <w:rPr>
          <w:rFonts w:ascii="Times New Roman" w:eastAsia="Times New Roman" w:hAnsi="Times New Roman" w:cs="Times New Roman"/>
          <w:sz w:val="24"/>
          <w:szCs w:val="24"/>
          <w:lang w:val="en-GB" w:eastAsia="cs-CZ"/>
        </w:rPr>
        <w:t>.</w:t>
      </w:r>
      <w:r w:rsidRPr="00FA1502">
        <w:rPr>
          <w:rFonts w:ascii="Times New Roman" w:eastAsia="Times New Roman" w:hAnsi="Times New Roman" w:cs="Times New Roman"/>
          <w:sz w:val="24"/>
          <w:szCs w:val="24"/>
          <w:lang w:val="en-GB" w:eastAsia="cs-CZ"/>
        </w:rPr>
        <w:t xml:space="preserve"> 32 (5) of th</w:t>
      </w:r>
      <w:r w:rsidRPr="00FA1502" w:rsidR="00BE2F7B">
        <w:rPr>
          <w:rFonts w:ascii="Times New Roman" w:eastAsia="Times New Roman" w:hAnsi="Times New Roman" w:cs="Times New Roman"/>
          <w:sz w:val="24"/>
          <w:szCs w:val="24"/>
          <w:lang w:val="en-GB" w:eastAsia="cs-CZ"/>
        </w:rPr>
        <w:t>e AIFMD and Article 91 et seq. o</w:t>
      </w:r>
      <w:r w:rsidRPr="00FA1502">
        <w:rPr>
          <w:rFonts w:ascii="Times New Roman" w:eastAsia="Times New Roman" w:hAnsi="Times New Roman" w:cs="Times New Roman"/>
          <w:sz w:val="24"/>
          <w:szCs w:val="24"/>
          <w:lang w:val="en-GB" w:eastAsia="cs-CZ"/>
        </w:rPr>
        <w:t xml:space="preserve">f the UCITS). At the same time, however, both directives state in those provisions that the host </w:t>
      </w:r>
      <w:r w:rsidRPr="00FA1502" w:rsidR="009E0F2C">
        <w:rPr>
          <w:rFonts w:ascii="Times New Roman" w:eastAsia="Times New Roman" w:hAnsi="Times New Roman" w:cs="Times New Roman"/>
          <w:sz w:val="24"/>
          <w:szCs w:val="24"/>
          <w:lang w:val="en-GB" w:eastAsia="cs-CZ"/>
        </w:rPr>
        <w:t>m</w:t>
      </w:r>
      <w:r w:rsidRPr="00FA1502">
        <w:rPr>
          <w:rFonts w:ascii="Times New Roman" w:eastAsia="Times New Roman" w:hAnsi="Times New Roman" w:cs="Times New Roman"/>
          <w:sz w:val="24"/>
          <w:szCs w:val="24"/>
          <w:lang w:val="en-GB" w:eastAsia="cs-CZ"/>
        </w:rPr>
        <w:t xml:space="preserve">ember </w:t>
      </w:r>
      <w:r w:rsidRPr="00FA1502" w:rsidR="009E0F2C">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 xml:space="preserve">tate may not impose additional requirements or conditions on the cross-border </w:t>
      </w:r>
      <w:r w:rsidRPr="00FA1502" w:rsidR="009E0F2C">
        <w:rPr>
          <w:rFonts w:ascii="Times New Roman" w:eastAsia="Times New Roman" w:hAnsi="Times New Roman" w:cs="Times New Roman"/>
          <w:sz w:val="24"/>
          <w:szCs w:val="24"/>
          <w:lang w:val="en-GB" w:eastAsia="cs-CZ"/>
        </w:rPr>
        <w:t>offering</w:t>
      </w:r>
      <w:r w:rsidRPr="00FA1502">
        <w:rPr>
          <w:rFonts w:ascii="Times New Roman" w:eastAsia="Times New Roman" w:hAnsi="Times New Roman" w:cs="Times New Roman"/>
          <w:sz w:val="24"/>
          <w:szCs w:val="24"/>
          <w:lang w:val="en-GB" w:eastAsia="cs-CZ"/>
        </w:rPr>
        <w:t xml:space="preserve"> of investment funds other than those resulting from those directives. It was also on 12 July 2019 published in the </w:t>
      </w:r>
      <w:r w:rsidRPr="00FA1502" w:rsidR="009E0F2C">
        <w:rPr>
          <w:rFonts w:ascii="Times New Roman" w:eastAsia="Times New Roman" w:hAnsi="Times New Roman" w:cs="Times New Roman"/>
          <w:sz w:val="24"/>
          <w:szCs w:val="24"/>
          <w:lang w:val="en-GB" w:eastAsia="cs-CZ"/>
        </w:rPr>
        <w:t>Official Journal of the EU a r</w:t>
      </w:r>
      <w:r w:rsidRPr="00FA1502">
        <w:rPr>
          <w:rFonts w:ascii="Times New Roman" w:eastAsia="Times New Roman" w:hAnsi="Times New Roman" w:cs="Times New Roman"/>
          <w:sz w:val="24"/>
          <w:szCs w:val="24"/>
          <w:lang w:val="en-GB" w:eastAsia="cs-CZ"/>
        </w:rPr>
        <w:t>egulation on cross-border distribution of investment funds</w:t>
      </w:r>
      <w:bookmarkStart w:id="25" w:name="_ftnref27"/>
      <w:bookmarkEnd w:id="25"/>
      <w:r>
        <w:rPr>
          <w:rStyle w:val="FootnoteReference"/>
          <w:rFonts w:ascii="Times New Roman" w:eastAsia="Times New Roman" w:hAnsi="Times New Roman" w:cs="Times New Roman"/>
          <w:sz w:val="24"/>
          <w:szCs w:val="24"/>
          <w:lang w:val="en-GB" w:eastAsia="cs-CZ"/>
        </w:rPr>
        <w:footnoteReference w:id="28"/>
      </w:r>
      <w:r w:rsidRPr="00FA1502">
        <w:rPr>
          <w:rFonts w:ascii="Times New Roman" w:eastAsia="Times New Roman" w:hAnsi="Times New Roman" w:cs="Times New Roman"/>
          <w:sz w:val="24"/>
          <w:szCs w:val="24"/>
          <w:lang w:val="en-GB" w:eastAsia="cs-CZ"/>
        </w:rPr>
        <w:t xml:space="preserve">, which explicitly </w:t>
      </w:r>
      <w:r w:rsidRPr="00FA1502" w:rsidR="005C4992">
        <w:rPr>
          <w:rFonts w:ascii="Times New Roman" w:eastAsia="Times New Roman" w:hAnsi="Times New Roman" w:cs="Times New Roman"/>
          <w:sz w:val="24"/>
          <w:szCs w:val="24"/>
          <w:lang w:val="en-GB" w:eastAsia="cs-CZ"/>
        </w:rPr>
        <w:t>anticipates</w:t>
      </w:r>
      <w:r w:rsidRPr="00FA1502">
        <w:rPr>
          <w:rFonts w:ascii="Times New Roman" w:eastAsia="Times New Roman" w:hAnsi="Times New Roman" w:cs="Times New Roman"/>
          <w:sz w:val="24"/>
          <w:szCs w:val="24"/>
          <w:lang w:val="en-GB" w:eastAsia="cs-CZ"/>
        </w:rPr>
        <w:t xml:space="preserve"> the possible existence of fees for the </w:t>
      </w:r>
      <w:r w:rsidRPr="00FA1502" w:rsidR="005C4992">
        <w:rPr>
          <w:rFonts w:ascii="Times New Roman" w:eastAsia="Times New Roman" w:hAnsi="Times New Roman" w:cs="Times New Roman"/>
          <w:sz w:val="24"/>
          <w:szCs w:val="24"/>
          <w:lang w:val="en-GB" w:eastAsia="cs-CZ"/>
        </w:rPr>
        <w:t xml:space="preserve">cross-border offering of </w:t>
      </w:r>
      <w:r w:rsidRPr="00FA1502">
        <w:rPr>
          <w:rFonts w:ascii="Times New Roman" w:eastAsia="Times New Roman" w:hAnsi="Times New Roman" w:cs="Times New Roman"/>
          <w:sz w:val="24"/>
          <w:szCs w:val="24"/>
          <w:lang w:val="en-GB" w:eastAsia="cs-CZ"/>
        </w:rPr>
        <w:t xml:space="preserve">investment funds and </w:t>
      </w:r>
      <w:r w:rsidRPr="00FA1502" w:rsidR="005C4992">
        <w:rPr>
          <w:rFonts w:ascii="Times New Roman" w:eastAsia="Times New Roman" w:hAnsi="Times New Roman" w:cs="Times New Roman"/>
          <w:sz w:val="24"/>
          <w:szCs w:val="24"/>
          <w:lang w:val="en-GB" w:eastAsia="cs-CZ"/>
        </w:rPr>
        <w:t xml:space="preserve">sets </w:t>
      </w:r>
      <w:r w:rsidRPr="00FA1502">
        <w:rPr>
          <w:rFonts w:ascii="Times New Roman" w:eastAsia="Times New Roman" w:hAnsi="Times New Roman" w:cs="Times New Roman"/>
          <w:sz w:val="24"/>
          <w:szCs w:val="24"/>
          <w:lang w:val="en-GB" w:eastAsia="cs-CZ"/>
        </w:rPr>
        <w:t xml:space="preserve">basic principles in this respect (fees must be </w:t>
      </w:r>
      <w:r w:rsidRPr="00FA1502">
        <w:rPr>
          <w:rFonts w:ascii="Times New Roman" w:eastAsia="Times New Roman" w:hAnsi="Times New Roman" w:cs="Times New Roman"/>
          <w:sz w:val="24"/>
          <w:szCs w:val="24"/>
          <w:lang w:val="en-GB" w:eastAsia="cs-CZ"/>
        </w:rPr>
        <w:t>proportionate to the actual costs of the supervisory authority for overseeing cross-border investment fund offers</w:t>
      </w:r>
      <w:r w:rsidRPr="00FA1502" w:rsidR="005C4992">
        <w:rPr>
          <w:rFonts w:ascii="Times New Roman" w:eastAsia="Times New Roman" w:hAnsi="Times New Roman" w:cs="Times New Roman"/>
          <w:sz w:val="24"/>
          <w:szCs w:val="24"/>
          <w:lang w:val="en-GB" w:eastAsia="cs-CZ"/>
        </w:rPr>
        <w:t>, the supervisory authorities must ensure their transparency, etc.</w:t>
      </w:r>
      <w:r w:rsidRPr="00FA1502">
        <w:rPr>
          <w:rFonts w:ascii="Times New Roman" w:eastAsia="Times New Roman" w:hAnsi="Times New Roman" w:cs="Times New Roman"/>
          <w:sz w:val="24"/>
          <w:szCs w:val="24"/>
          <w:lang w:val="en-GB" w:eastAsia="cs-CZ"/>
        </w:rPr>
        <w:t>).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Currently</w:t>
      </w: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 xml:space="preserve">the </w:t>
      </w:r>
      <w:r w:rsidRPr="00FA1502">
        <w:rPr>
          <w:rFonts w:ascii="Times New Roman" w:eastAsia="Times New Roman" w:hAnsi="Times New Roman" w:cs="Times New Roman"/>
          <w:sz w:val="24"/>
          <w:szCs w:val="24"/>
          <w:lang w:val="en-GB" w:eastAsia="cs-CZ"/>
        </w:rPr>
        <w:t xml:space="preserve">Czech legislation requires a fee </w:t>
      </w:r>
      <w:r w:rsidRPr="00FA1502" w:rsidR="00F83014">
        <w:rPr>
          <w:rFonts w:ascii="Times New Roman" w:eastAsia="Times New Roman" w:hAnsi="Times New Roman" w:cs="Times New Roman"/>
          <w:sz w:val="24"/>
          <w:szCs w:val="24"/>
          <w:lang w:val="en-GB" w:eastAsia="cs-CZ"/>
        </w:rPr>
        <w:t xml:space="preserve">to be paid by </w:t>
      </w:r>
      <w:r w:rsidRPr="00FA1502">
        <w:rPr>
          <w:rFonts w:ascii="Times New Roman" w:eastAsia="Times New Roman" w:hAnsi="Times New Roman" w:cs="Times New Roman"/>
          <w:sz w:val="24"/>
          <w:szCs w:val="24"/>
          <w:lang w:val="en-GB" w:eastAsia="cs-CZ"/>
        </w:rPr>
        <w:t>Czech and foreign investment funds in the following situations:</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after="0" w:line="240" w:lineRule="auto"/>
        <w:jc w:val="both"/>
        <w:rPr>
          <w:rFonts w:ascii="Times New Roman" w:eastAsia="Times New Roman" w:hAnsi="Times New Roman" w:cs="Times New Roman"/>
          <w:sz w:val="24"/>
          <w:szCs w:val="24"/>
          <w:lang w:val="en-GB" w:eastAsia="cs-CZ"/>
        </w:rPr>
      </w:pPr>
    </w:p>
    <w:tbl>
      <w:tblPr>
        <w:tblW w:w="5000" w:type="pct"/>
        <w:tblCellMar>
          <w:left w:w="0" w:type="dxa"/>
          <w:right w:w="0" w:type="dxa"/>
        </w:tblCellMar>
        <w:tblLook w:val="04A0"/>
      </w:tblPr>
      <w:tblGrid>
        <w:gridCol w:w="4524"/>
        <w:gridCol w:w="3123"/>
        <w:gridCol w:w="1409"/>
      </w:tblGrid>
      <w:tr w:rsidTr="00D54BD0">
        <w:tblPrEx>
          <w:tblW w:w="5000" w:type="pct"/>
          <w:tblCellMar>
            <w:left w:w="0" w:type="dxa"/>
            <w:right w:w="0" w:type="dxa"/>
          </w:tblCellMar>
          <w:tblLook w:val="04A0"/>
        </w:tblPrEx>
        <w:tc>
          <w:tcPr>
            <w:tcW w:w="2498" w:type="pc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176359" w:rsidRPr="00FA1502" w:rsidP="00A7116F">
            <w:pPr>
              <w:keepNext/>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Matter</w:t>
            </w:r>
          </w:p>
        </w:tc>
        <w:tc>
          <w:tcPr>
            <w:tcW w:w="1724" w:type="pc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176359" w:rsidRPr="00FA1502" w:rsidP="00A7116F">
            <w:pPr>
              <w:keepNext/>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Provision</w:t>
            </w:r>
          </w:p>
        </w:tc>
        <w:tc>
          <w:tcPr>
            <w:tcW w:w="778" w:type="pc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176359" w:rsidRPr="00FA1502" w:rsidP="00A7116F">
            <w:pPr>
              <w:keepNext/>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Fee</w:t>
            </w:r>
          </w:p>
        </w:tc>
      </w:tr>
      <w:tr w:rsidTr="00D54BD0">
        <w:tblPrEx>
          <w:tblW w:w="5000" w:type="pct"/>
          <w:tblCellMar>
            <w:left w:w="0" w:type="dxa"/>
            <w:right w:w="0" w:type="dxa"/>
          </w:tblCellMar>
          <w:tblLook w:val="04A0"/>
        </w:tblPrEx>
        <w:tc>
          <w:tcPr>
            <w:tcW w:w="24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A7116F">
            <w:pPr>
              <w:keepNext/>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Acceptance of an application for authorization of a self-governing collective investment fund</w:t>
            </w:r>
          </w:p>
        </w:tc>
        <w:tc>
          <w:tcPr>
            <w:tcW w:w="17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A7116F">
            <w:pPr>
              <w:keepNext/>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 xml:space="preserve">Item 65, point 2 (j) </w:t>
            </w:r>
            <w:r w:rsidRPr="00FA1502" w:rsidR="00CA01FA">
              <w:rPr>
                <w:rFonts w:ascii="Times New Roman" w:eastAsia="Times New Roman" w:hAnsi="Times New Roman" w:cs="Times New Roman"/>
                <w:sz w:val="20"/>
                <w:szCs w:val="20"/>
                <w:lang w:val="en-GB" w:eastAsia="cs-CZ"/>
              </w:rPr>
              <w:t xml:space="preserve">of </w:t>
            </w:r>
            <w:r w:rsidRPr="00FA1502">
              <w:rPr>
                <w:rFonts w:ascii="Times New Roman" w:eastAsia="Times New Roman" w:hAnsi="Times New Roman" w:cs="Times New Roman"/>
                <w:sz w:val="20"/>
                <w:szCs w:val="20"/>
                <w:lang w:val="en-GB" w:eastAsia="cs-CZ"/>
              </w:rPr>
              <w:t xml:space="preserve">Annex to </w:t>
            </w:r>
            <w:r w:rsidRPr="00FA1502" w:rsidR="00CA01FA">
              <w:rPr>
                <w:rFonts w:ascii="Times New Roman" w:eastAsia="Times New Roman" w:hAnsi="Times New Roman" w:cs="Times New Roman"/>
                <w:sz w:val="20"/>
                <w:szCs w:val="20"/>
                <w:lang w:val="en-GB" w:eastAsia="cs-CZ"/>
              </w:rPr>
              <w:t>ZoSP</w:t>
            </w:r>
          </w:p>
        </w:tc>
        <w:tc>
          <w:tcPr>
            <w:tcW w:w="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A7116F">
            <w:pPr>
              <w:keepNext/>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CZK 100,</w:t>
            </w:r>
            <w:r w:rsidRPr="00FA1502">
              <w:rPr>
                <w:rFonts w:ascii="Times New Roman" w:eastAsia="Times New Roman" w:hAnsi="Times New Roman" w:cs="Times New Roman"/>
                <w:sz w:val="20"/>
                <w:szCs w:val="20"/>
                <w:lang w:val="en-GB" w:eastAsia="cs-CZ"/>
              </w:rPr>
              <w:t xml:space="preserve">000 </w:t>
            </w:r>
          </w:p>
        </w:tc>
      </w:tr>
      <w:tr w:rsidTr="00D54BD0">
        <w:tblPrEx>
          <w:tblW w:w="5000" w:type="pct"/>
          <w:tblCellMar>
            <w:left w:w="0" w:type="dxa"/>
            <w:right w:w="0" w:type="dxa"/>
          </w:tblCellMar>
          <w:tblLook w:val="04A0"/>
        </w:tblPrEx>
        <w:tc>
          <w:tcPr>
            <w:tcW w:w="24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A7116F">
            <w:pPr>
              <w:keepNext/>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Acceptance of an application for authorization of a self-governing investment fund of qualified investors</w:t>
            </w:r>
          </w:p>
        </w:tc>
        <w:tc>
          <w:tcPr>
            <w:tcW w:w="17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A7116F">
            <w:pPr>
              <w:keepNext/>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Item 65, point 2</w:t>
            </w:r>
            <w:r w:rsidRPr="00FA1502">
              <w:rPr>
                <w:rFonts w:ascii="Times New Roman" w:eastAsia="Times New Roman" w:hAnsi="Times New Roman" w:cs="Times New Roman"/>
                <w:sz w:val="20"/>
                <w:szCs w:val="20"/>
                <w:lang w:val="en-GB" w:eastAsia="cs-CZ"/>
              </w:rPr>
              <w:t xml:space="preserve"> (v) </w:t>
            </w:r>
            <w:r w:rsidRPr="00FA1502">
              <w:rPr>
                <w:rFonts w:ascii="Times New Roman" w:eastAsia="Times New Roman" w:hAnsi="Times New Roman" w:cs="Times New Roman"/>
                <w:sz w:val="20"/>
                <w:szCs w:val="20"/>
                <w:lang w:val="en-GB" w:eastAsia="cs-CZ"/>
              </w:rPr>
              <w:t xml:space="preserve">of Annex to </w:t>
            </w:r>
            <w:r w:rsidRPr="00FA1502">
              <w:rPr>
                <w:rFonts w:ascii="Times New Roman" w:eastAsia="Times New Roman" w:hAnsi="Times New Roman" w:cs="Times New Roman"/>
                <w:sz w:val="20"/>
                <w:szCs w:val="20"/>
                <w:lang w:val="en-GB" w:eastAsia="cs-CZ"/>
              </w:rPr>
              <w:t>ZoSP</w:t>
            </w:r>
          </w:p>
        </w:tc>
        <w:tc>
          <w:tcPr>
            <w:tcW w:w="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A7116F">
            <w:pPr>
              <w:keepNext/>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CZK </w:t>
            </w:r>
            <w:r w:rsidRPr="00FA1502">
              <w:rPr>
                <w:rFonts w:ascii="Times New Roman" w:eastAsia="Times New Roman" w:hAnsi="Times New Roman" w:cs="Times New Roman"/>
                <w:sz w:val="20"/>
                <w:szCs w:val="20"/>
                <w:lang w:val="en-GB" w:eastAsia="cs-CZ"/>
              </w:rPr>
              <w:t>50</w:t>
            </w:r>
            <w:r w:rsidRPr="00FA1502">
              <w:rPr>
                <w:rFonts w:ascii="Times New Roman" w:eastAsia="Times New Roman" w:hAnsi="Times New Roman" w:cs="Times New Roman"/>
                <w:sz w:val="20"/>
                <w:szCs w:val="20"/>
                <w:lang w:val="en-GB" w:eastAsia="cs-CZ"/>
              </w:rPr>
              <w:t>,000</w:t>
            </w:r>
          </w:p>
        </w:tc>
      </w:tr>
      <w:tr w:rsidTr="00D54BD0">
        <w:tblPrEx>
          <w:tblW w:w="5000" w:type="pct"/>
          <w:tblCellMar>
            <w:left w:w="0" w:type="dxa"/>
            <w:right w:w="0" w:type="dxa"/>
          </w:tblCellMar>
          <w:tblLook w:val="04A0"/>
        </w:tblPrEx>
        <w:tc>
          <w:tcPr>
            <w:tcW w:w="24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A7116F">
            <w:pPr>
              <w:keepNext/>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 xml:space="preserve">Acceptance of an application for a change in the authorization of a self-governing investment fund </w:t>
            </w:r>
          </w:p>
        </w:tc>
        <w:tc>
          <w:tcPr>
            <w:tcW w:w="17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A7116F">
            <w:pPr>
              <w:keepNext/>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Item 65, point 7 (c)</w:t>
            </w:r>
            <w:r w:rsidRPr="00FA1502" w:rsidR="00CA01FA">
              <w:rPr>
                <w:rFonts w:ascii="Times New Roman" w:eastAsia="Times New Roman" w:hAnsi="Times New Roman" w:cs="Times New Roman"/>
                <w:sz w:val="20"/>
                <w:szCs w:val="20"/>
                <w:lang w:val="en-GB" w:eastAsia="cs-CZ"/>
              </w:rPr>
              <w:t xml:space="preserve"> of</w:t>
            </w:r>
            <w:r w:rsidRPr="00FA1502">
              <w:rPr>
                <w:rFonts w:ascii="Times New Roman" w:eastAsia="Times New Roman" w:hAnsi="Times New Roman" w:cs="Times New Roman"/>
                <w:sz w:val="20"/>
                <w:szCs w:val="20"/>
                <w:lang w:val="en-GB" w:eastAsia="cs-CZ"/>
              </w:rPr>
              <w:t xml:space="preserve"> </w:t>
            </w:r>
            <w:r w:rsidRPr="00FA1502" w:rsidR="00CA01FA">
              <w:rPr>
                <w:rFonts w:ascii="Times New Roman" w:eastAsia="Times New Roman" w:hAnsi="Times New Roman" w:cs="Times New Roman"/>
                <w:sz w:val="20"/>
                <w:szCs w:val="20"/>
                <w:lang w:val="en-GB" w:eastAsia="cs-CZ"/>
              </w:rPr>
              <w:t xml:space="preserve">Annex to </w:t>
            </w:r>
            <w:r w:rsidRPr="00FA1502" w:rsidR="00CA01FA">
              <w:rPr>
                <w:rFonts w:ascii="Times New Roman" w:eastAsia="Times New Roman" w:hAnsi="Times New Roman" w:cs="Times New Roman"/>
                <w:sz w:val="20"/>
                <w:szCs w:val="20"/>
                <w:lang w:val="en-GB" w:eastAsia="cs-CZ"/>
              </w:rPr>
              <w:t>ZoSP</w:t>
            </w:r>
          </w:p>
        </w:tc>
        <w:tc>
          <w:tcPr>
            <w:tcW w:w="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A7116F">
            <w:pPr>
              <w:keepNext/>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CZK </w:t>
            </w:r>
            <w:r w:rsidRPr="00FA1502">
              <w:rPr>
                <w:rFonts w:ascii="Times New Roman" w:eastAsia="Times New Roman" w:hAnsi="Times New Roman" w:cs="Times New Roman"/>
                <w:sz w:val="20"/>
                <w:szCs w:val="20"/>
                <w:lang w:val="en-GB" w:eastAsia="cs-CZ"/>
              </w:rPr>
              <w:t>35</w:t>
            </w:r>
            <w:r w:rsidRPr="00FA1502">
              <w:rPr>
                <w:rFonts w:ascii="Times New Roman" w:eastAsia="Times New Roman" w:hAnsi="Times New Roman" w:cs="Times New Roman"/>
                <w:sz w:val="20"/>
                <w:szCs w:val="20"/>
                <w:lang w:val="en-GB" w:eastAsia="cs-CZ"/>
              </w:rPr>
              <w:t>,000</w:t>
            </w:r>
          </w:p>
        </w:tc>
      </w:tr>
      <w:tr w:rsidTr="00D54BD0">
        <w:tblPrEx>
          <w:tblW w:w="5000" w:type="pct"/>
          <w:tblCellMar>
            <w:left w:w="0" w:type="dxa"/>
            <w:right w:w="0" w:type="dxa"/>
          </w:tblCellMar>
          <w:tblLook w:val="04A0"/>
        </w:tblPrEx>
        <w:tc>
          <w:tcPr>
            <w:tcW w:w="24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A7116F">
            <w:pPr>
              <w:keepNext/>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Acceptance of an application for entry of a standard fund or sub-fund details into the CNB list</w:t>
            </w:r>
          </w:p>
        </w:tc>
        <w:tc>
          <w:tcPr>
            <w:tcW w:w="17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A7116F">
            <w:pPr>
              <w:keepNext/>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 xml:space="preserve">Item 65, point 9 (h) </w:t>
            </w:r>
            <w:r w:rsidRPr="00FA1502" w:rsidR="00CA01FA">
              <w:rPr>
                <w:rFonts w:ascii="Times New Roman" w:eastAsia="Times New Roman" w:hAnsi="Times New Roman" w:cs="Times New Roman"/>
                <w:sz w:val="20"/>
                <w:szCs w:val="20"/>
                <w:lang w:val="en-GB" w:eastAsia="cs-CZ"/>
              </w:rPr>
              <w:t xml:space="preserve">of Annex to </w:t>
            </w:r>
            <w:r w:rsidRPr="00FA1502" w:rsidR="00CA01FA">
              <w:rPr>
                <w:rFonts w:ascii="Times New Roman" w:eastAsia="Times New Roman" w:hAnsi="Times New Roman" w:cs="Times New Roman"/>
                <w:sz w:val="20"/>
                <w:szCs w:val="20"/>
                <w:lang w:val="en-GB" w:eastAsia="cs-CZ"/>
              </w:rPr>
              <w:t>ZoSP</w:t>
            </w:r>
          </w:p>
        </w:tc>
        <w:tc>
          <w:tcPr>
            <w:tcW w:w="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A7116F">
            <w:pPr>
              <w:keepNext/>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CZK </w:t>
            </w:r>
            <w:r w:rsidRPr="00FA1502">
              <w:rPr>
                <w:rFonts w:ascii="Times New Roman" w:eastAsia="Times New Roman" w:hAnsi="Times New Roman" w:cs="Times New Roman"/>
                <w:sz w:val="20"/>
                <w:szCs w:val="20"/>
                <w:lang w:val="en-GB" w:eastAsia="cs-CZ"/>
              </w:rPr>
              <w:t>2</w:t>
            </w:r>
            <w:r w:rsidRPr="00FA1502">
              <w:rPr>
                <w:rFonts w:ascii="Times New Roman" w:eastAsia="Times New Roman" w:hAnsi="Times New Roman" w:cs="Times New Roman"/>
                <w:sz w:val="20"/>
                <w:szCs w:val="20"/>
                <w:lang w:val="en-GB" w:eastAsia="cs-CZ"/>
              </w:rPr>
              <w:t>0,000</w:t>
            </w:r>
          </w:p>
        </w:tc>
      </w:tr>
      <w:tr w:rsidTr="00D54BD0">
        <w:tblPrEx>
          <w:tblW w:w="5000" w:type="pct"/>
          <w:tblCellMar>
            <w:left w:w="0" w:type="dxa"/>
            <w:right w:w="0" w:type="dxa"/>
          </w:tblCellMar>
          <w:tblLook w:val="04A0"/>
        </w:tblPrEx>
        <w:tc>
          <w:tcPr>
            <w:tcW w:w="24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A7116F">
            <w:pPr>
              <w:keepNext/>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Acceptance of an application for registration of an investment fund with a legal person that is not a self-governing investment fund on the list maintained by the CNB </w:t>
            </w:r>
          </w:p>
        </w:tc>
        <w:tc>
          <w:tcPr>
            <w:tcW w:w="17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A7116F">
            <w:pPr>
              <w:keepNext/>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Item 65, point 9</w:t>
            </w:r>
            <w:r w:rsidRPr="00FA1502" w:rsidR="00CA01FA">
              <w:rPr>
                <w:rFonts w:ascii="Times New Roman" w:eastAsia="Times New Roman" w:hAnsi="Times New Roman" w:cs="Times New Roman"/>
                <w:sz w:val="20"/>
                <w:szCs w:val="20"/>
                <w:lang w:val="en-GB" w:eastAsia="cs-CZ"/>
              </w:rPr>
              <w:t xml:space="preserve"> </w:t>
            </w:r>
            <w:r w:rsidRPr="00FA1502">
              <w:rPr>
                <w:rFonts w:ascii="Times New Roman" w:eastAsia="Times New Roman" w:hAnsi="Times New Roman" w:cs="Times New Roman"/>
                <w:sz w:val="20"/>
                <w:szCs w:val="20"/>
                <w:lang w:val="en-GB" w:eastAsia="cs-CZ"/>
              </w:rPr>
              <w:t xml:space="preserve">(g) </w:t>
            </w:r>
            <w:r w:rsidRPr="00FA1502" w:rsidR="00CA01FA">
              <w:rPr>
                <w:rFonts w:ascii="Times New Roman" w:eastAsia="Times New Roman" w:hAnsi="Times New Roman" w:cs="Times New Roman"/>
                <w:sz w:val="20"/>
                <w:szCs w:val="20"/>
                <w:lang w:val="en-GB" w:eastAsia="cs-CZ"/>
              </w:rPr>
              <w:t xml:space="preserve">of Annex to </w:t>
            </w:r>
            <w:r w:rsidRPr="00FA1502" w:rsidR="00CA01FA">
              <w:rPr>
                <w:rFonts w:ascii="Times New Roman" w:eastAsia="Times New Roman" w:hAnsi="Times New Roman" w:cs="Times New Roman"/>
                <w:sz w:val="20"/>
                <w:szCs w:val="20"/>
                <w:lang w:val="en-GB" w:eastAsia="cs-CZ"/>
              </w:rPr>
              <w:t>ZoSP</w:t>
            </w:r>
          </w:p>
        </w:tc>
        <w:tc>
          <w:tcPr>
            <w:tcW w:w="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A7116F">
            <w:pPr>
              <w:keepNext/>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CZK </w:t>
            </w:r>
            <w:r w:rsidRPr="00FA1502">
              <w:rPr>
                <w:rFonts w:ascii="Times New Roman" w:eastAsia="Times New Roman" w:hAnsi="Times New Roman" w:cs="Times New Roman"/>
                <w:sz w:val="20"/>
                <w:szCs w:val="20"/>
                <w:lang w:val="en-GB" w:eastAsia="cs-CZ"/>
              </w:rPr>
              <w:t>2</w:t>
            </w:r>
            <w:r w:rsidRPr="00FA1502">
              <w:rPr>
                <w:rFonts w:ascii="Times New Roman" w:eastAsia="Times New Roman" w:hAnsi="Times New Roman" w:cs="Times New Roman"/>
                <w:sz w:val="20"/>
                <w:szCs w:val="20"/>
                <w:lang w:val="en-GB" w:eastAsia="cs-CZ"/>
              </w:rPr>
              <w:t>,000</w:t>
            </w:r>
          </w:p>
        </w:tc>
      </w:tr>
      <w:tr w:rsidTr="00D54BD0">
        <w:tblPrEx>
          <w:tblW w:w="5000" w:type="pct"/>
          <w:tblCellMar>
            <w:left w:w="0" w:type="dxa"/>
            <w:right w:w="0" w:type="dxa"/>
          </w:tblCellMar>
          <w:tblLook w:val="04A0"/>
        </w:tblPrEx>
        <w:tc>
          <w:tcPr>
            <w:tcW w:w="24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A7116F">
            <w:pPr>
              <w:keepNext/>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Receipt of application for assessment of comparability of foreign investment fund with special fund</w:t>
            </w:r>
          </w:p>
        </w:tc>
        <w:tc>
          <w:tcPr>
            <w:tcW w:w="17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A7116F">
            <w:pPr>
              <w:keepNext/>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Item 66</w:t>
            </w:r>
            <w:r w:rsidRPr="00FA1502" w:rsidR="00D54BD0">
              <w:rPr>
                <w:rFonts w:ascii="Times New Roman" w:eastAsia="Times New Roman" w:hAnsi="Times New Roman" w:cs="Times New Roman"/>
                <w:sz w:val="20"/>
                <w:szCs w:val="20"/>
                <w:lang w:val="en-GB" w:eastAsia="cs-CZ"/>
              </w:rPr>
              <w:t>, point</w:t>
            </w:r>
            <w:r w:rsidRPr="00FA1502">
              <w:rPr>
                <w:rFonts w:ascii="Times New Roman" w:eastAsia="Times New Roman" w:hAnsi="Times New Roman" w:cs="Times New Roman"/>
                <w:sz w:val="20"/>
                <w:szCs w:val="20"/>
                <w:lang w:val="en-GB" w:eastAsia="cs-CZ"/>
              </w:rPr>
              <w:t xml:space="preserve"> (9) (q) </w:t>
            </w:r>
            <w:r w:rsidRPr="00FA1502" w:rsidR="00CA01FA">
              <w:rPr>
                <w:rFonts w:ascii="Times New Roman" w:eastAsia="Times New Roman" w:hAnsi="Times New Roman" w:cs="Times New Roman"/>
                <w:sz w:val="20"/>
                <w:szCs w:val="20"/>
                <w:lang w:val="en-GB" w:eastAsia="cs-CZ"/>
              </w:rPr>
              <w:t xml:space="preserve">of Annex to </w:t>
            </w:r>
            <w:r w:rsidRPr="00FA1502" w:rsidR="00CA01FA">
              <w:rPr>
                <w:rFonts w:ascii="Times New Roman" w:eastAsia="Times New Roman" w:hAnsi="Times New Roman" w:cs="Times New Roman"/>
                <w:sz w:val="20"/>
                <w:szCs w:val="20"/>
                <w:lang w:val="en-GB" w:eastAsia="cs-CZ"/>
              </w:rPr>
              <w:t>ZoSP</w:t>
            </w:r>
          </w:p>
        </w:tc>
        <w:tc>
          <w:tcPr>
            <w:tcW w:w="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A7116F">
            <w:pPr>
              <w:keepNext/>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CZK </w:t>
            </w:r>
            <w:r w:rsidRPr="00FA1502">
              <w:rPr>
                <w:rFonts w:ascii="Times New Roman" w:eastAsia="Times New Roman" w:hAnsi="Times New Roman" w:cs="Times New Roman"/>
                <w:sz w:val="20"/>
                <w:szCs w:val="20"/>
                <w:lang w:val="en-GB" w:eastAsia="cs-CZ"/>
              </w:rPr>
              <w:t>5</w:t>
            </w:r>
            <w:r w:rsidRPr="00FA1502">
              <w:rPr>
                <w:rFonts w:ascii="Times New Roman" w:eastAsia="Times New Roman" w:hAnsi="Times New Roman" w:cs="Times New Roman"/>
                <w:sz w:val="20"/>
                <w:szCs w:val="20"/>
                <w:lang w:val="en-GB" w:eastAsia="cs-CZ"/>
              </w:rPr>
              <w:t>,000</w:t>
            </w:r>
            <w:r w:rsidRPr="00FA1502">
              <w:rPr>
                <w:rFonts w:ascii="Times New Roman" w:eastAsia="Times New Roman" w:hAnsi="Times New Roman" w:cs="Times New Roman"/>
                <w:sz w:val="20"/>
                <w:szCs w:val="20"/>
                <w:lang w:val="en-GB" w:eastAsia="cs-CZ"/>
              </w:rPr>
              <w:t> </w:t>
            </w:r>
          </w:p>
        </w:tc>
      </w:tr>
    </w:tbl>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With regard to the requirements in other EU </w:t>
      </w:r>
      <w:r w:rsidRPr="00FA1502" w:rsidR="00200959">
        <w:rPr>
          <w:rFonts w:ascii="Times New Roman" w:eastAsia="Times New Roman" w:hAnsi="Times New Roman" w:cs="Times New Roman"/>
          <w:sz w:val="24"/>
          <w:szCs w:val="24"/>
          <w:lang w:val="en-GB" w:eastAsia="cs-CZ"/>
        </w:rPr>
        <w:t>m</w:t>
      </w:r>
      <w:r w:rsidRPr="00FA1502">
        <w:rPr>
          <w:rFonts w:ascii="Times New Roman" w:eastAsia="Times New Roman" w:hAnsi="Times New Roman" w:cs="Times New Roman"/>
          <w:sz w:val="24"/>
          <w:szCs w:val="24"/>
          <w:lang w:val="en-GB" w:eastAsia="cs-CZ"/>
        </w:rPr>
        <w:t xml:space="preserve">ember </w:t>
      </w:r>
      <w:r w:rsidRPr="00FA1502" w:rsidR="00200959">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tates, we state that it is almost impossible to trace information on notification fees on the websites of indivi</w:t>
      </w:r>
      <w:r w:rsidRPr="00FA1502" w:rsidR="00200959">
        <w:rPr>
          <w:rFonts w:ascii="Times New Roman" w:eastAsia="Times New Roman" w:hAnsi="Times New Roman" w:cs="Times New Roman"/>
          <w:sz w:val="24"/>
          <w:szCs w:val="24"/>
          <w:lang w:val="en-GB" w:eastAsia="cs-CZ"/>
        </w:rPr>
        <w:t>dual supervisory authorities. B</w:t>
      </w:r>
      <w:r w:rsidRPr="00FA1502">
        <w:rPr>
          <w:rFonts w:ascii="Times New Roman" w:eastAsia="Times New Roman" w:hAnsi="Times New Roman" w:cs="Times New Roman"/>
          <w:sz w:val="24"/>
          <w:szCs w:val="24"/>
          <w:lang w:val="en-GB" w:eastAsia="cs-CZ"/>
        </w:rPr>
        <w:t xml:space="preserve">elow is </w:t>
      </w:r>
      <w:r w:rsidRPr="00FA1502" w:rsidR="00200959">
        <w:rPr>
          <w:rFonts w:ascii="Times New Roman" w:eastAsia="Times New Roman" w:hAnsi="Times New Roman" w:cs="Times New Roman"/>
          <w:sz w:val="24"/>
          <w:szCs w:val="24"/>
          <w:lang w:val="en-GB" w:eastAsia="cs-CZ"/>
        </w:rPr>
        <w:t xml:space="preserve">therefore </w:t>
      </w:r>
      <w:r w:rsidRPr="00FA1502">
        <w:rPr>
          <w:rFonts w:ascii="Times New Roman" w:eastAsia="Times New Roman" w:hAnsi="Times New Roman" w:cs="Times New Roman"/>
          <w:sz w:val="24"/>
          <w:szCs w:val="24"/>
          <w:lang w:val="en-GB" w:eastAsia="cs-CZ"/>
        </w:rPr>
        <w:t xml:space="preserve">the information from Germany, which is described in the </w:t>
      </w:r>
      <w:r w:rsidRPr="00FA1502">
        <w:rPr>
          <w:rFonts w:ascii="Times New Roman" w:eastAsia="Times New Roman" w:hAnsi="Times New Roman" w:cs="Times New Roman"/>
          <w:i/>
          <w:iCs/>
          <w:sz w:val="24"/>
          <w:szCs w:val="24"/>
          <w:lang w:val="en-GB" w:eastAsia="cs-CZ"/>
        </w:rPr>
        <w:t>guidances</w:t>
      </w:r>
      <w:r w:rsidRPr="00FA1502">
        <w:rPr>
          <w:rFonts w:ascii="Times New Roman" w:eastAsia="Times New Roman" w:hAnsi="Times New Roman" w:cs="Times New Roman"/>
          <w:i/>
          <w:iCs/>
          <w:sz w:val="24"/>
          <w:szCs w:val="24"/>
          <w:lang w:val="en-GB" w:eastAsia="cs-CZ"/>
        </w:rPr>
        <w:t xml:space="preserve"> of </w:t>
      </w:r>
      <w:r w:rsidRPr="00FA1502">
        <w:rPr>
          <w:rFonts w:ascii="Times New Roman" w:eastAsia="Times New Roman" w:hAnsi="Times New Roman" w:cs="Times New Roman"/>
          <w:sz w:val="24"/>
          <w:szCs w:val="24"/>
          <w:lang w:val="en-GB" w:eastAsia="cs-CZ"/>
        </w:rPr>
        <w:t>BaFIN</w:t>
      </w:r>
      <w:bookmarkStart w:id="26" w:name="_ftnref28"/>
      <w:bookmarkEnd w:id="26"/>
      <w:r>
        <w:rPr>
          <w:rStyle w:val="FootnoteReference"/>
          <w:rFonts w:ascii="Times New Roman" w:eastAsia="Times New Roman" w:hAnsi="Times New Roman" w:cs="Times New Roman"/>
          <w:sz w:val="24"/>
          <w:szCs w:val="24"/>
          <w:lang w:val="en-GB" w:eastAsia="cs-CZ"/>
        </w:rPr>
        <w:footnoteReference w:id="29"/>
      </w:r>
      <w:r w:rsidRPr="00FA1502" w:rsidR="00200959">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 xml:space="preserve">(the fee structure is relatively complex, at least a presentation of the types of relevant fees is </w:t>
      </w:r>
      <w:r w:rsidRPr="00FA1502" w:rsidR="00200959">
        <w:rPr>
          <w:rFonts w:ascii="Times New Roman" w:eastAsia="Times New Roman" w:hAnsi="Times New Roman" w:cs="Times New Roman"/>
          <w:sz w:val="24"/>
          <w:szCs w:val="24"/>
          <w:lang w:val="en-GB" w:eastAsia="cs-CZ"/>
        </w:rPr>
        <w:t>stated</w:t>
      </w:r>
      <w:r w:rsidRPr="00FA1502">
        <w:rPr>
          <w:rFonts w:ascii="Times New Roman" w:eastAsia="Times New Roman" w:hAnsi="Times New Roman" w:cs="Times New Roman"/>
          <w:sz w:val="24"/>
          <w:szCs w:val="24"/>
          <w:lang w:val="en-GB" w:eastAsia="cs-CZ"/>
        </w:rPr>
        <w:t xml:space="preserve"> below):</w:t>
      </w:r>
    </w:p>
    <w:p w:rsidR="00176359" w:rsidRPr="00FA1502" w:rsidP="00A7116F">
      <w:pPr>
        <w:keepNext/>
        <w:spacing w:before="120" w:after="120" w:line="240" w:lineRule="auto"/>
        <w:ind w:left="720" w:hanging="36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notification</w:t>
      </w:r>
      <w:r w:rsidRPr="00FA1502">
        <w:rPr>
          <w:rFonts w:ascii="Times New Roman" w:eastAsia="Times New Roman" w:hAnsi="Times New Roman" w:cs="Times New Roman"/>
          <w:sz w:val="24"/>
          <w:szCs w:val="24"/>
          <w:lang w:val="en-GB" w:eastAsia="cs-CZ"/>
        </w:rPr>
        <w:t xml:space="preserve"> of foreign UCITS (UCITS sub-fund) - EUR 380</w:t>
      </w:r>
      <w:r w:rsidR="00A7116F">
        <w:rPr>
          <w:rFonts w:ascii="Times New Roman" w:eastAsia="Times New Roman" w:hAnsi="Times New Roman" w:cs="Times New Roman"/>
          <w:sz w:val="14"/>
          <w:szCs w:val="14"/>
          <w:lang w:val="en-GB" w:eastAsia="cs-CZ"/>
        </w:rPr>
        <w:t xml:space="preserve"> </w:t>
      </w:r>
    </w:p>
    <w:p w:rsidR="00176359" w:rsidRPr="00FA1502" w:rsidP="00A7116F">
      <w:pPr>
        <w:keepNext/>
        <w:spacing w:before="120" w:after="120" w:line="240" w:lineRule="auto"/>
        <w:ind w:left="720" w:hanging="36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denotification</w:t>
      </w:r>
      <w:r w:rsidRPr="00FA1502">
        <w:rPr>
          <w:rFonts w:ascii="Times New Roman" w:eastAsia="Times New Roman" w:hAnsi="Times New Roman" w:cs="Times New Roman"/>
          <w:sz w:val="24"/>
          <w:szCs w:val="24"/>
          <w:lang w:val="en-GB" w:eastAsia="cs-CZ"/>
        </w:rPr>
        <w:t xml:space="preserve"> of foreign UCITS (UCITS sub-fund) - EUR 280</w:t>
      </w:r>
      <w:r w:rsidR="00A7116F">
        <w:rPr>
          <w:rFonts w:ascii="Times New Roman" w:eastAsia="Times New Roman" w:hAnsi="Times New Roman" w:cs="Times New Roman"/>
          <w:sz w:val="14"/>
          <w:szCs w:val="14"/>
          <w:lang w:val="en-GB" w:eastAsia="cs-CZ"/>
        </w:rPr>
        <w:t xml:space="preserve"> </w:t>
      </w:r>
    </w:p>
    <w:p w:rsidR="00176359" w:rsidRPr="00FA1502" w:rsidP="00A7116F">
      <w:pPr>
        <w:keepNext/>
        <w:spacing w:before="120" w:after="120" w:line="240" w:lineRule="auto"/>
        <w:ind w:left="720" w:hanging="36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 </w:t>
      </w:r>
      <w:r w:rsidRPr="00FA1502" w:rsidR="00272ADD">
        <w:rPr>
          <w:rFonts w:ascii="Times New Roman" w:eastAsia="Times New Roman" w:hAnsi="Times New Roman" w:cs="Times New Roman"/>
          <w:sz w:val="24"/>
          <w:szCs w:val="24"/>
          <w:lang w:val="en-GB" w:eastAsia="cs-CZ"/>
        </w:rPr>
        <w:t>n</w:t>
      </w:r>
      <w:r w:rsidRPr="00FA1502">
        <w:rPr>
          <w:rFonts w:ascii="Times New Roman" w:eastAsia="Times New Roman" w:hAnsi="Times New Roman" w:cs="Times New Roman"/>
          <w:sz w:val="24"/>
          <w:szCs w:val="24"/>
          <w:lang w:val="en-GB" w:eastAsia="cs-CZ"/>
        </w:rPr>
        <w:t>otification</w:t>
      </w:r>
      <w:r w:rsidRPr="00FA1502">
        <w:rPr>
          <w:rFonts w:ascii="Times New Roman" w:eastAsia="Times New Roman" w:hAnsi="Times New Roman" w:cs="Times New Roman"/>
          <w:sz w:val="24"/>
          <w:szCs w:val="24"/>
          <w:lang w:val="en-GB" w:eastAsia="cs-CZ"/>
        </w:rPr>
        <w:t xml:space="preserve"> of foreign AIF (AIF sub-fund) for offering to qualified investors - EUR 435</w:t>
      </w:r>
      <w:r w:rsidR="00A7116F">
        <w:rPr>
          <w:rFonts w:ascii="Times New Roman" w:eastAsia="Times New Roman" w:hAnsi="Times New Roman" w:cs="Times New Roman"/>
          <w:sz w:val="14"/>
          <w:szCs w:val="14"/>
          <w:lang w:val="en-GB" w:eastAsia="cs-CZ"/>
        </w:rPr>
        <w:t xml:space="preserve"> </w:t>
      </w:r>
    </w:p>
    <w:p w:rsidR="00176359" w:rsidRPr="00FA1502" w:rsidP="00A7116F">
      <w:pPr>
        <w:keepNext/>
        <w:spacing w:before="120" w:after="120" w:line="240" w:lineRule="auto"/>
        <w:ind w:left="720" w:hanging="360"/>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 </w:t>
      </w:r>
      <w:r w:rsidRPr="00FA1502" w:rsidR="00272ADD">
        <w:rPr>
          <w:rFonts w:ascii="Times New Roman" w:eastAsia="Times New Roman" w:hAnsi="Times New Roman" w:cs="Times New Roman"/>
          <w:sz w:val="24"/>
          <w:szCs w:val="24"/>
          <w:lang w:val="en-GB" w:eastAsia="cs-CZ"/>
        </w:rPr>
        <w:t>n</w:t>
      </w:r>
      <w:r w:rsidRPr="00FA1502">
        <w:rPr>
          <w:rFonts w:ascii="Times New Roman" w:eastAsia="Times New Roman" w:hAnsi="Times New Roman" w:cs="Times New Roman"/>
          <w:sz w:val="24"/>
          <w:szCs w:val="24"/>
          <w:lang w:val="en-GB" w:eastAsia="cs-CZ"/>
        </w:rPr>
        <w:t>otification</w:t>
      </w:r>
      <w:r w:rsidRPr="00FA1502">
        <w:rPr>
          <w:rFonts w:ascii="Times New Roman" w:eastAsia="Times New Roman" w:hAnsi="Times New Roman" w:cs="Times New Roman"/>
          <w:sz w:val="24"/>
          <w:szCs w:val="24"/>
          <w:lang w:val="en-GB" w:eastAsia="cs-CZ"/>
        </w:rPr>
        <w:t xml:space="preserve"> of foreign AIF (AIF sub-fund) for public offering - EUR 1 545</w:t>
      </w:r>
      <w:r w:rsidR="00A7116F">
        <w:rPr>
          <w:rFonts w:ascii="Times New Roman" w:eastAsia="Times New Roman" w:hAnsi="Times New Roman" w:cs="Times New Roman"/>
          <w:sz w:val="14"/>
          <w:szCs w:val="1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As f</w:t>
      </w:r>
      <w:r w:rsidRPr="00FA1502">
        <w:rPr>
          <w:rFonts w:ascii="Times New Roman" w:eastAsia="Times New Roman" w:hAnsi="Times New Roman" w:cs="Times New Roman"/>
          <w:sz w:val="24"/>
          <w:szCs w:val="24"/>
          <w:lang w:val="en-GB" w:eastAsia="cs-CZ"/>
        </w:rPr>
        <w:t xml:space="preserve">or the other </w:t>
      </w:r>
      <w:r w:rsidRPr="00FA1502">
        <w:rPr>
          <w:rFonts w:ascii="Times New Roman" w:eastAsia="Times New Roman" w:hAnsi="Times New Roman" w:cs="Times New Roman"/>
          <w:sz w:val="24"/>
          <w:szCs w:val="24"/>
          <w:lang w:val="en-GB" w:eastAsia="cs-CZ"/>
        </w:rPr>
        <w:t>m</w:t>
      </w:r>
      <w:r w:rsidRPr="00FA1502">
        <w:rPr>
          <w:rFonts w:ascii="Times New Roman" w:eastAsia="Times New Roman" w:hAnsi="Times New Roman" w:cs="Times New Roman"/>
          <w:sz w:val="24"/>
          <w:szCs w:val="24"/>
          <w:lang w:val="en-GB" w:eastAsia="cs-CZ"/>
        </w:rPr>
        <w:t xml:space="preserve">ember </w:t>
      </w:r>
      <w:r w:rsidRPr="00FA1502">
        <w:rPr>
          <w:rFonts w:ascii="Times New Roman" w:eastAsia="Times New Roman" w:hAnsi="Times New Roman" w:cs="Times New Roman"/>
          <w:sz w:val="24"/>
          <w:szCs w:val="24"/>
          <w:lang w:val="en-GB" w:eastAsia="cs-CZ"/>
        </w:rPr>
        <w:t>s</w:t>
      </w:r>
      <w:r w:rsidRPr="00FA1502">
        <w:rPr>
          <w:rFonts w:ascii="Times New Roman" w:eastAsia="Times New Roman" w:hAnsi="Times New Roman" w:cs="Times New Roman"/>
          <w:sz w:val="24"/>
          <w:szCs w:val="24"/>
          <w:lang w:val="en-GB" w:eastAsia="cs-CZ"/>
        </w:rPr>
        <w:t xml:space="preserve">tates, we refer to the </w:t>
      </w:r>
      <w:r w:rsidRPr="00FA1502">
        <w:rPr>
          <w:rFonts w:ascii="Times New Roman" w:eastAsia="Times New Roman" w:hAnsi="Times New Roman" w:cs="Times New Roman"/>
          <w:sz w:val="24"/>
          <w:szCs w:val="24"/>
          <w:lang w:val="en-GB" w:eastAsia="cs-CZ"/>
        </w:rPr>
        <w:t>well-arranged</w:t>
      </w:r>
      <w:r w:rsidRPr="00FA1502">
        <w:rPr>
          <w:rFonts w:ascii="Times New Roman" w:eastAsia="Times New Roman" w:hAnsi="Times New Roman" w:cs="Times New Roman"/>
          <w:sz w:val="24"/>
          <w:szCs w:val="24"/>
          <w:lang w:val="en-GB" w:eastAsia="cs-CZ"/>
        </w:rPr>
        <w:t xml:space="preserve"> and exhaustive material of the 2018 European Financial Market Supervision System, which deals only with UCITS funds. The following are examples </w:t>
      </w:r>
      <w:r w:rsidRPr="00FA1502" w:rsidR="00684F5C">
        <w:rPr>
          <w:rFonts w:ascii="Times New Roman" w:eastAsia="Times New Roman" w:hAnsi="Times New Roman" w:cs="Times New Roman"/>
          <w:sz w:val="24"/>
          <w:szCs w:val="24"/>
          <w:lang w:val="en-GB" w:eastAsia="cs-CZ"/>
        </w:rPr>
        <w:t xml:space="preserve">from such material </w:t>
      </w:r>
      <w:r w:rsidRPr="00FA1502">
        <w:rPr>
          <w:rFonts w:ascii="Times New Roman" w:eastAsia="Times New Roman" w:hAnsi="Times New Roman" w:cs="Times New Roman"/>
          <w:sz w:val="24"/>
          <w:szCs w:val="24"/>
          <w:lang w:val="en-GB" w:eastAsia="cs-CZ"/>
        </w:rPr>
        <w:t>to illustrate it. The European Financial Market Supervision System has published similar material with regard to AIFM</w:t>
      </w:r>
      <w:r w:rsidRPr="00FA1502" w:rsidR="00684F5C">
        <w:rPr>
          <w:rFonts w:ascii="Times New Roman" w:eastAsia="Times New Roman" w:hAnsi="Times New Roman" w:cs="Times New Roman"/>
          <w:sz w:val="24"/>
          <w:szCs w:val="24"/>
          <w:lang w:val="en-GB" w:eastAsia="cs-CZ"/>
        </w:rPr>
        <w:t>D</w:t>
      </w:r>
      <w:r w:rsidRPr="00FA1502">
        <w:rPr>
          <w:rFonts w:ascii="Times New Roman" w:eastAsia="Times New Roman" w:hAnsi="Times New Roman" w:cs="Times New Roman"/>
          <w:sz w:val="24"/>
          <w:szCs w:val="24"/>
          <w:lang w:val="en-GB" w:eastAsia="cs-CZ"/>
        </w:rPr>
        <w:t xml:space="preserve">. The information about these </w:t>
      </w:r>
      <w:r w:rsidRPr="00FA1502" w:rsidR="00684F5C">
        <w:rPr>
          <w:rFonts w:ascii="Times New Roman" w:eastAsia="Times New Roman" w:hAnsi="Times New Roman" w:cs="Times New Roman"/>
          <w:sz w:val="24"/>
          <w:szCs w:val="24"/>
          <w:lang w:val="en-GB" w:eastAsia="cs-CZ"/>
        </w:rPr>
        <w:t>fees</w:t>
      </w:r>
      <w:r w:rsidRPr="00FA1502">
        <w:rPr>
          <w:rFonts w:ascii="Times New Roman" w:eastAsia="Times New Roman" w:hAnsi="Times New Roman" w:cs="Times New Roman"/>
          <w:sz w:val="24"/>
          <w:szCs w:val="24"/>
          <w:lang w:val="en-GB" w:eastAsia="cs-CZ"/>
        </w:rPr>
        <w:t xml:space="preserve"> is </w:t>
      </w:r>
      <w:r w:rsidRPr="00FA1502" w:rsidR="00684F5C">
        <w:rPr>
          <w:rFonts w:ascii="Times New Roman" w:eastAsia="Times New Roman" w:hAnsi="Times New Roman" w:cs="Times New Roman"/>
          <w:sz w:val="24"/>
          <w:szCs w:val="24"/>
          <w:lang w:val="en-GB" w:eastAsia="cs-CZ"/>
        </w:rPr>
        <w:t>stated i</w:t>
      </w:r>
      <w:r w:rsidRPr="00FA1502">
        <w:rPr>
          <w:rFonts w:ascii="Times New Roman" w:eastAsia="Times New Roman" w:hAnsi="Times New Roman" w:cs="Times New Roman"/>
          <w:sz w:val="24"/>
          <w:szCs w:val="24"/>
          <w:lang w:val="en-GB" w:eastAsia="cs-CZ"/>
        </w:rPr>
        <w:t>n the table below in the last column on the right.</w:t>
      </w:r>
      <w:r w:rsidR="00A7116F">
        <w:rPr>
          <w:rFonts w:ascii="Times New Roman" w:eastAsia="Times New Roman" w:hAnsi="Times New Roman" w:cs="Times New Roman"/>
          <w:sz w:val="24"/>
          <w:szCs w:val="24"/>
          <w:lang w:val="en-GB" w:eastAsia="cs-CZ"/>
        </w:rPr>
        <w:t xml:space="preserve"> </w:t>
      </w:r>
    </w:p>
    <w:tbl>
      <w:tblPr>
        <w:tblW w:w="5000" w:type="pct"/>
        <w:tblCellMar>
          <w:left w:w="0" w:type="dxa"/>
          <w:right w:w="0" w:type="dxa"/>
        </w:tblCellMar>
        <w:tblLook w:val="04A0"/>
      </w:tblPr>
      <w:tblGrid>
        <w:gridCol w:w="1214"/>
        <w:gridCol w:w="2347"/>
        <w:gridCol w:w="2628"/>
        <w:gridCol w:w="2867"/>
      </w:tblGrid>
      <w:tr w:rsidTr="00176359">
        <w:tblPrEx>
          <w:tblW w:w="5000" w:type="pct"/>
          <w:tblCellMar>
            <w:left w:w="0" w:type="dxa"/>
            <w:right w:w="0" w:type="dxa"/>
          </w:tblCellMar>
          <w:tblLook w:val="04A0"/>
        </w:tblPrEx>
        <w:tc>
          <w:tcPr>
            <w:tcW w:w="670" w:type="pct"/>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176359" w:rsidRPr="00FA1502" w:rsidP="00B85E59">
            <w:pPr>
              <w:widowControl w:val="0"/>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Member state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176359" w:rsidRPr="00FA1502" w:rsidP="00B85E59">
            <w:pPr>
              <w:widowControl w:val="0"/>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UCITS</w:t>
            </w:r>
          </w:p>
        </w:tc>
        <w:tc>
          <w:tcPr>
            <w:tcW w:w="1583" w:type="pct"/>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176359" w:rsidRPr="00FA1502" w:rsidP="00B85E59">
            <w:pPr>
              <w:widowControl w:val="0"/>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AIF</w:t>
            </w:r>
          </w:p>
        </w:tc>
      </w:tr>
      <w:tr w:rsidTr="00176359">
        <w:tblPrEx>
          <w:tblW w:w="5000" w:type="pct"/>
          <w:tblCellMar>
            <w:left w:w="0" w:type="dxa"/>
            <w:right w:w="0" w:type="dxa"/>
          </w:tblCellMar>
          <w:tblLook w:val="04A0"/>
        </w:tblPrEx>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76359" w:rsidRPr="00FA1502" w:rsidP="00B85E59">
            <w:pPr>
              <w:spacing w:after="0" w:line="240" w:lineRule="auto"/>
              <w:rPr>
                <w:rFonts w:ascii="Times New Roman" w:eastAsia="Times New Roman" w:hAnsi="Times New Roman" w:cs="Times New Roman"/>
                <w:sz w:val="24"/>
                <w:szCs w:val="24"/>
                <w:lang w:val="en-GB" w:eastAsia="cs-CZ"/>
              </w:rPr>
            </w:pPr>
          </w:p>
        </w:tc>
        <w:tc>
          <w:tcPr>
            <w:tcW w:w="1296" w:type="pc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Notification fee</w:t>
            </w:r>
          </w:p>
        </w:tc>
        <w:tc>
          <w:tcPr>
            <w:tcW w:w="1451" w:type="pc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Continuous fee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76359" w:rsidRPr="00FA1502" w:rsidP="00B85E59">
            <w:pPr>
              <w:spacing w:after="0" w:line="240" w:lineRule="auto"/>
              <w:rPr>
                <w:rFonts w:ascii="Times New Roman" w:eastAsia="Times New Roman" w:hAnsi="Times New Roman" w:cs="Times New Roman"/>
                <w:sz w:val="24"/>
                <w:szCs w:val="24"/>
                <w:lang w:val="en-GB" w:eastAsia="cs-CZ"/>
              </w:rPr>
            </w:pP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widowControl w:val="0"/>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AT</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widowControl w:val="0"/>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EUR 1,</w:t>
            </w:r>
            <w:r w:rsidRPr="00FA1502">
              <w:rPr>
                <w:rFonts w:ascii="Times New Roman" w:eastAsia="Times New Roman" w:hAnsi="Times New Roman" w:cs="Times New Roman"/>
                <w:sz w:val="20"/>
                <w:szCs w:val="20"/>
                <w:lang w:val="en-GB" w:eastAsia="cs-CZ"/>
              </w:rPr>
              <w:t>100 (</w:t>
            </w:r>
            <w:r w:rsidRPr="00FA1502">
              <w:rPr>
                <w:rFonts w:ascii="Times New Roman" w:eastAsia="Times New Roman" w:hAnsi="Times New Roman" w:cs="Times New Roman"/>
                <w:sz w:val="20"/>
                <w:szCs w:val="20"/>
                <w:lang w:val="en-GB" w:eastAsia="cs-CZ"/>
              </w:rPr>
              <w:t xml:space="preserve">+ </w:t>
            </w:r>
            <w:r w:rsidRPr="00FA1502">
              <w:rPr>
                <w:rFonts w:ascii="Times New Roman" w:eastAsia="Times New Roman" w:hAnsi="Times New Roman" w:cs="Times New Roman"/>
                <w:sz w:val="20"/>
                <w:szCs w:val="20"/>
                <w:lang w:val="en-GB" w:eastAsia="cs-CZ"/>
              </w:rPr>
              <w:t xml:space="preserve">EUR </w:t>
            </w:r>
            <w:r w:rsidRPr="00FA1502">
              <w:rPr>
                <w:rFonts w:ascii="Times New Roman" w:eastAsia="Times New Roman" w:hAnsi="Times New Roman" w:cs="Times New Roman"/>
                <w:sz w:val="20"/>
                <w:szCs w:val="20"/>
                <w:lang w:val="en-GB" w:eastAsia="cs-CZ"/>
              </w:rPr>
              <w:t>2</w:t>
            </w:r>
            <w:r w:rsidRPr="00FA1502">
              <w:rPr>
                <w:rFonts w:ascii="Times New Roman" w:eastAsia="Times New Roman" w:hAnsi="Times New Roman" w:cs="Times New Roman"/>
                <w:sz w:val="20"/>
                <w:szCs w:val="20"/>
                <w:lang w:val="en-GB" w:eastAsia="cs-CZ"/>
              </w:rPr>
              <w:t xml:space="preserve">20 per second and each </w:t>
            </w:r>
            <w:r w:rsidRPr="00FA1502">
              <w:rPr>
                <w:rFonts w:ascii="Times New Roman" w:eastAsia="Times New Roman" w:hAnsi="Times New Roman" w:cs="Times New Roman"/>
                <w:sz w:val="20"/>
                <w:szCs w:val="20"/>
                <w:lang w:val="en-GB" w:eastAsia="cs-CZ"/>
              </w:rPr>
              <w:t>additional</w:t>
            </w:r>
            <w:r w:rsidRPr="00FA1502">
              <w:rPr>
                <w:rFonts w:ascii="Times New Roman" w:eastAsia="Times New Roman" w:hAnsi="Times New Roman" w:cs="Times New Roman"/>
                <w:sz w:val="20"/>
                <w:szCs w:val="20"/>
                <w:lang w:val="en-GB" w:eastAsia="cs-CZ"/>
              </w:rPr>
              <w:t xml:space="preserve"> sub</w:t>
            </w:r>
            <w:r w:rsidRPr="00FA1502">
              <w:rPr>
                <w:rFonts w:ascii="Times New Roman" w:eastAsia="Times New Roman" w:hAnsi="Times New Roman" w:cs="Times New Roman"/>
                <w:sz w:val="20"/>
                <w:szCs w:val="20"/>
                <w:lang w:val="en-GB" w:eastAsia="cs-CZ"/>
              </w:rPr>
              <w:t>-fund</w:t>
            </w:r>
            <w:r w:rsidRPr="00FA1502">
              <w:rPr>
                <w:rFonts w:ascii="Times New Roman" w:eastAsia="Times New Roman" w:hAnsi="Times New Roman" w:cs="Times New Roman"/>
                <w:sz w:val="20"/>
                <w:szCs w:val="20"/>
                <w:lang w:val="en-GB" w:eastAsia="cs-CZ"/>
              </w:rPr>
              <w:t>)</w:t>
            </w:r>
            <w:r w:rsidR="00A7116F">
              <w:rPr>
                <w:rFonts w:ascii="Times New Roman" w:eastAsia="Times New Roman" w:hAnsi="Times New Roman" w:cs="Times New Roman"/>
                <w:sz w:val="20"/>
                <w:szCs w:val="20"/>
                <w:lang w:val="en-GB" w:eastAsia="cs-CZ"/>
              </w:rPr>
              <w:t xml:space="preserve"> </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widowControl w:val="0"/>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 xml:space="preserve">EUR 600 per year (+ </w:t>
            </w:r>
            <w:r w:rsidRPr="00FA1502" w:rsidR="002119DF">
              <w:rPr>
                <w:rFonts w:ascii="Times New Roman" w:eastAsia="Times New Roman" w:hAnsi="Times New Roman" w:cs="Times New Roman"/>
                <w:sz w:val="20"/>
                <w:szCs w:val="20"/>
                <w:lang w:val="en-GB" w:eastAsia="cs-CZ"/>
              </w:rPr>
              <w:t xml:space="preserve">EUR </w:t>
            </w:r>
            <w:r w:rsidRPr="00FA1502">
              <w:rPr>
                <w:rFonts w:ascii="Times New Roman" w:eastAsia="Times New Roman" w:hAnsi="Times New Roman" w:cs="Times New Roman"/>
                <w:sz w:val="20"/>
                <w:szCs w:val="20"/>
                <w:lang w:val="en-GB" w:eastAsia="cs-CZ"/>
              </w:rPr>
              <w:t>200 for the second and each additional sub-fund) </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widowControl w:val="0"/>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Same as UCITS</w:t>
            </w: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BE</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EUR 2,</w:t>
            </w:r>
            <w:r w:rsidRPr="00FA1502">
              <w:rPr>
                <w:rFonts w:ascii="Times New Roman" w:eastAsia="Times New Roman" w:hAnsi="Times New Roman" w:cs="Times New Roman"/>
                <w:sz w:val="20"/>
                <w:szCs w:val="20"/>
                <w:lang w:val="en-GB" w:eastAsia="cs-CZ"/>
              </w:rPr>
              <w:t>055 for each (sub)fund per year </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 xml:space="preserve">Variable annual fee </w:t>
            </w:r>
            <w:r w:rsidRPr="00FA1502" w:rsidR="00AC1F85">
              <w:rPr>
                <w:rFonts w:ascii="Times New Roman" w:eastAsia="Times New Roman" w:hAnsi="Times New Roman" w:cs="Times New Roman"/>
                <w:sz w:val="20"/>
                <w:szCs w:val="20"/>
                <w:lang w:val="en-GB" w:eastAsia="cs-CZ"/>
              </w:rPr>
              <w:t xml:space="preserve">EUR </w:t>
            </w:r>
            <w:r w:rsidRPr="00FA1502">
              <w:rPr>
                <w:rFonts w:ascii="Times New Roman" w:eastAsia="Times New Roman" w:hAnsi="Times New Roman" w:cs="Times New Roman"/>
                <w:sz w:val="20"/>
                <w:szCs w:val="20"/>
                <w:lang w:val="en-GB" w:eastAsia="cs-CZ"/>
              </w:rPr>
              <w:t>375 to</w:t>
            </w:r>
            <w:r w:rsidRPr="00FA1502" w:rsidR="00AC1F85">
              <w:rPr>
                <w:rFonts w:ascii="Times New Roman" w:eastAsia="Times New Roman" w:hAnsi="Times New Roman" w:cs="Times New Roman"/>
                <w:sz w:val="20"/>
                <w:szCs w:val="20"/>
                <w:lang w:val="en-GB" w:eastAsia="cs-CZ"/>
              </w:rPr>
              <w:t xml:space="preserve"> EUR </w:t>
            </w:r>
            <w:r w:rsidRPr="00FA1502">
              <w:rPr>
                <w:rFonts w:ascii="Times New Roman" w:eastAsia="Times New Roman" w:hAnsi="Times New Roman" w:cs="Times New Roman"/>
                <w:sz w:val="20"/>
                <w:szCs w:val="20"/>
                <w:lang w:val="en-GB" w:eastAsia="cs-CZ"/>
              </w:rPr>
              <w:t>3</w:t>
            </w:r>
            <w:r w:rsidRPr="00FA1502" w:rsidR="00AC1F85">
              <w:rPr>
                <w:rFonts w:ascii="Times New Roman" w:eastAsia="Times New Roman" w:hAnsi="Times New Roman" w:cs="Times New Roman"/>
                <w:sz w:val="20"/>
                <w:szCs w:val="20"/>
                <w:lang w:val="en-GB" w:eastAsia="cs-CZ"/>
              </w:rPr>
              <w:t>,</w:t>
            </w:r>
            <w:r w:rsidRPr="00FA1502">
              <w:rPr>
                <w:rFonts w:ascii="Times New Roman" w:eastAsia="Times New Roman" w:hAnsi="Times New Roman" w:cs="Times New Roman"/>
                <w:sz w:val="20"/>
                <w:szCs w:val="20"/>
                <w:lang w:val="en-GB" w:eastAsia="cs-CZ"/>
              </w:rPr>
              <w:t xml:space="preserve">000 </w:t>
            </w:r>
            <w:r w:rsidRPr="00FA1502" w:rsidR="00D03024">
              <w:rPr>
                <w:rFonts w:ascii="Times New Roman" w:eastAsia="Times New Roman" w:hAnsi="Times New Roman" w:cs="Times New Roman"/>
                <w:sz w:val="20"/>
                <w:szCs w:val="20"/>
                <w:lang w:val="en-GB" w:eastAsia="cs-CZ"/>
              </w:rPr>
              <w:t>p</w:t>
            </w:r>
            <w:r w:rsidRPr="00FA1502">
              <w:rPr>
                <w:rFonts w:ascii="Times New Roman" w:eastAsia="Times New Roman" w:hAnsi="Times New Roman" w:cs="Times New Roman"/>
                <w:sz w:val="20"/>
                <w:szCs w:val="20"/>
                <w:lang w:val="en-GB" w:eastAsia="cs-CZ"/>
              </w:rPr>
              <w:t>er year </w:t>
            </w: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BU</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EUR 225 per fund per year</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HR</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 xml:space="preserve">EUR </w:t>
            </w:r>
            <w:r w:rsidRPr="00FA1502">
              <w:rPr>
                <w:rFonts w:ascii="Times New Roman" w:eastAsia="Times New Roman" w:hAnsi="Times New Roman" w:cs="Times New Roman"/>
                <w:sz w:val="20"/>
                <w:szCs w:val="20"/>
                <w:lang w:val="en-GB" w:eastAsia="cs-CZ"/>
              </w:rPr>
              <w:t>1</w:t>
            </w:r>
            <w:r w:rsidRPr="00FA1502">
              <w:rPr>
                <w:rFonts w:ascii="Times New Roman" w:eastAsia="Times New Roman" w:hAnsi="Times New Roman" w:cs="Times New Roman"/>
                <w:sz w:val="20"/>
                <w:szCs w:val="20"/>
                <w:lang w:val="en-GB" w:eastAsia="cs-CZ"/>
              </w:rPr>
              <w:t>,</w:t>
            </w:r>
            <w:r w:rsidRPr="00FA1502">
              <w:rPr>
                <w:rFonts w:ascii="Times New Roman" w:eastAsia="Times New Roman" w:hAnsi="Times New Roman" w:cs="Times New Roman"/>
                <w:sz w:val="20"/>
                <w:szCs w:val="20"/>
                <w:lang w:val="en-GB" w:eastAsia="cs-CZ"/>
              </w:rPr>
              <w:t xml:space="preserve">860 per year (+ </w:t>
            </w:r>
            <w:r w:rsidRPr="00FA1502">
              <w:rPr>
                <w:rFonts w:ascii="Times New Roman" w:eastAsia="Times New Roman" w:hAnsi="Times New Roman" w:cs="Times New Roman"/>
                <w:sz w:val="20"/>
                <w:szCs w:val="20"/>
                <w:lang w:val="en-GB" w:eastAsia="cs-CZ"/>
              </w:rPr>
              <w:t xml:space="preserve">EUR </w:t>
            </w:r>
            <w:r w:rsidRPr="00FA1502">
              <w:rPr>
                <w:rFonts w:ascii="Times New Roman" w:eastAsia="Times New Roman" w:hAnsi="Times New Roman" w:cs="Times New Roman"/>
                <w:sz w:val="20"/>
                <w:szCs w:val="20"/>
                <w:lang w:val="en-GB" w:eastAsia="cs-CZ"/>
              </w:rPr>
              <w:t xml:space="preserve">660 for the second and each additional </w:t>
            </w:r>
            <w:r w:rsidRPr="00FA1502">
              <w:rPr>
                <w:rFonts w:ascii="Times New Roman" w:eastAsia="Times New Roman" w:hAnsi="Times New Roman" w:cs="Times New Roman"/>
                <w:sz w:val="20"/>
                <w:szCs w:val="20"/>
                <w:lang w:val="en-GB" w:eastAsia="cs-CZ"/>
              </w:rPr>
              <w:t>s</w:t>
            </w:r>
            <w:r w:rsidRPr="00FA1502">
              <w:rPr>
                <w:rFonts w:ascii="Times New Roman" w:eastAsia="Times New Roman" w:hAnsi="Times New Roman" w:cs="Times New Roman"/>
                <w:sz w:val="20"/>
                <w:szCs w:val="20"/>
                <w:lang w:val="en-GB" w:eastAsia="cs-CZ"/>
              </w:rPr>
              <w:t>ub-</w:t>
            </w:r>
            <w:r w:rsidRPr="00FA1502">
              <w:rPr>
                <w:rFonts w:ascii="Times New Roman" w:eastAsia="Times New Roman" w:hAnsi="Times New Roman" w:cs="Times New Roman"/>
                <w:sz w:val="20"/>
                <w:szCs w:val="20"/>
                <w:lang w:val="en-GB" w:eastAsia="cs-CZ"/>
              </w:rPr>
              <w:t>f</w:t>
            </w:r>
            <w:r w:rsidRPr="00FA1502">
              <w:rPr>
                <w:rFonts w:ascii="Times New Roman" w:eastAsia="Times New Roman" w:hAnsi="Times New Roman" w:cs="Times New Roman"/>
                <w:sz w:val="20"/>
                <w:szCs w:val="20"/>
                <w:lang w:val="en-GB" w:eastAsia="cs-CZ"/>
              </w:rPr>
              <w:t>und) </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CY</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 xml:space="preserve">EUR </w:t>
            </w:r>
            <w:r w:rsidRPr="00FA1502">
              <w:rPr>
                <w:rFonts w:ascii="Times New Roman" w:eastAsia="Times New Roman" w:hAnsi="Times New Roman" w:cs="Times New Roman"/>
                <w:sz w:val="20"/>
                <w:szCs w:val="20"/>
                <w:lang w:val="en-GB" w:eastAsia="cs-CZ"/>
              </w:rPr>
              <w:t xml:space="preserve">800 </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 xml:space="preserve">EUR </w:t>
            </w:r>
            <w:r w:rsidRPr="00FA1502">
              <w:rPr>
                <w:rFonts w:ascii="Times New Roman" w:eastAsia="Times New Roman" w:hAnsi="Times New Roman" w:cs="Times New Roman"/>
                <w:sz w:val="20"/>
                <w:szCs w:val="20"/>
                <w:lang w:val="en-GB" w:eastAsia="cs-CZ"/>
              </w:rPr>
              <w:t>1</w:t>
            </w:r>
            <w:r w:rsidRPr="00FA1502">
              <w:rPr>
                <w:rFonts w:ascii="Times New Roman" w:eastAsia="Times New Roman" w:hAnsi="Times New Roman" w:cs="Times New Roman"/>
                <w:sz w:val="20"/>
                <w:szCs w:val="20"/>
                <w:lang w:val="en-GB" w:eastAsia="cs-CZ"/>
              </w:rPr>
              <w:t>,</w:t>
            </w:r>
            <w:r w:rsidRPr="00FA1502">
              <w:rPr>
                <w:rFonts w:ascii="Times New Roman" w:eastAsia="Times New Roman" w:hAnsi="Times New Roman" w:cs="Times New Roman"/>
                <w:sz w:val="20"/>
                <w:szCs w:val="20"/>
                <w:lang w:val="en-GB" w:eastAsia="cs-CZ"/>
              </w:rPr>
              <w:t xml:space="preserve">000 per year / </w:t>
            </w:r>
            <w:r w:rsidRPr="00FA1502">
              <w:rPr>
                <w:rFonts w:ascii="Times New Roman" w:eastAsia="Times New Roman" w:hAnsi="Times New Roman" w:cs="Times New Roman"/>
                <w:sz w:val="20"/>
                <w:szCs w:val="20"/>
                <w:lang w:val="en-GB" w:eastAsia="cs-CZ"/>
              </w:rPr>
              <w:t xml:space="preserve">EUR </w:t>
            </w:r>
            <w:r w:rsidRPr="00FA1502">
              <w:rPr>
                <w:rFonts w:ascii="Times New Roman" w:eastAsia="Times New Roman" w:hAnsi="Times New Roman" w:cs="Times New Roman"/>
                <w:sz w:val="20"/>
                <w:szCs w:val="20"/>
                <w:lang w:val="en-GB" w:eastAsia="cs-CZ"/>
              </w:rPr>
              <w:t>2</w:t>
            </w:r>
            <w:r w:rsidRPr="00FA1502">
              <w:rPr>
                <w:rFonts w:ascii="Times New Roman" w:eastAsia="Times New Roman" w:hAnsi="Times New Roman" w:cs="Times New Roman"/>
                <w:sz w:val="20"/>
                <w:szCs w:val="20"/>
                <w:lang w:val="en-GB" w:eastAsia="cs-CZ"/>
              </w:rPr>
              <w:t>,</w:t>
            </w:r>
            <w:r w:rsidRPr="00FA1502">
              <w:rPr>
                <w:rFonts w:ascii="Times New Roman" w:eastAsia="Times New Roman" w:hAnsi="Times New Roman" w:cs="Times New Roman"/>
                <w:sz w:val="20"/>
                <w:szCs w:val="20"/>
                <w:lang w:val="en-GB" w:eastAsia="cs-CZ"/>
              </w:rPr>
              <w:t>000 per year in the case of a fund with sub-funds</w:t>
            </w:r>
            <w:r w:rsidR="00A7116F">
              <w:rPr>
                <w:rFonts w:ascii="Times New Roman" w:eastAsia="Times New Roman" w:hAnsi="Times New Roman" w:cs="Times New Roman"/>
                <w:sz w:val="20"/>
                <w:szCs w:val="20"/>
                <w:lang w:val="en-GB" w:eastAsia="cs-CZ"/>
              </w:rPr>
              <w:t xml:space="preserve"> </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DK</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 xml:space="preserve">EUR </w:t>
            </w:r>
            <w:r w:rsidRPr="00FA1502">
              <w:rPr>
                <w:rFonts w:ascii="Times New Roman" w:eastAsia="Times New Roman" w:hAnsi="Times New Roman" w:cs="Times New Roman"/>
                <w:sz w:val="20"/>
                <w:szCs w:val="20"/>
                <w:lang w:val="en-GB" w:eastAsia="cs-CZ"/>
              </w:rPr>
              <w:t>750 (for bidding notification, but also for other changes notification)</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E</w:t>
            </w:r>
            <w:r w:rsidRPr="00FA1502" w:rsidR="0065376E">
              <w:rPr>
                <w:rFonts w:ascii="Times New Roman" w:eastAsia="Times New Roman" w:hAnsi="Times New Roman" w:cs="Times New Roman"/>
                <w:sz w:val="20"/>
                <w:szCs w:val="20"/>
                <w:lang w:val="en-GB" w:eastAsia="cs-CZ"/>
              </w:rPr>
              <w:t>UR 2,</w:t>
            </w:r>
            <w:r w:rsidRPr="00FA1502">
              <w:rPr>
                <w:rFonts w:ascii="Times New Roman" w:eastAsia="Times New Roman" w:hAnsi="Times New Roman" w:cs="Times New Roman"/>
                <w:sz w:val="20"/>
                <w:szCs w:val="20"/>
                <w:lang w:val="en-GB" w:eastAsia="cs-CZ"/>
              </w:rPr>
              <w:t>400 per year </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EUR 670 per year for the (sub)</w:t>
            </w:r>
            <w:r w:rsidRPr="00FA1502" w:rsidR="0065376E">
              <w:rPr>
                <w:rFonts w:ascii="Times New Roman" w:eastAsia="Times New Roman" w:hAnsi="Times New Roman" w:cs="Times New Roman"/>
                <w:sz w:val="20"/>
                <w:szCs w:val="20"/>
                <w:lang w:val="en-GB" w:eastAsia="cs-CZ"/>
              </w:rPr>
              <w:t>f</w:t>
            </w:r>
            <w:r w:rsidRPr="00FA1502">
              <w:rPr>
                <w:rFonts w:ascii="Times New Roman" w:eastAsia="Times New Roman" w:hAnsi="Times New Roman" w:cs="Times New Roman"/>
                <w:sz w:val="20"/>
                <w:szCs w:val="20"/>
                <w:lang w:val="en-GB" w:eastAsia="cs-CZ"/>
              </w:rPr>
              <w:t>und</w:t>
            </w: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EE</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FI</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 xml:space="preserve">EUR </w:t>
            </w:r>
            <w:r w:rsidRPr="00FA1502">
              <w:rPr>
                <w:rFonts w:ascii="Times New Roman" w:eastAsia="Times New Roman" w:hAnsi="Times New Roman" w:cs="Times New Roman"/>
                <w:sz w:val="20"/>
                <w:szCs w:val="20"/>
                <w:lang w:val="en-GB" w:eastAsia="cs-CZ"/>
              </w:rPr>
              <w:t>1</w:t>
            </w:r>
            <w:r w:rsidRPr="00FA1502">
              <w:rPr>
                <w:rFonts w:ascii="Times New Roman" w:eastAsia="Times New Roman" w:hAnsi="Times New Roman" w:cs="Times New Roman"/>
                <w:sz w:val="20"/>
                <w:szCs w:val="20"/>
                <w:lang w:val="en-GB" w:eastAsia="cs-CZ"/>
              </w:rPr>
              <w:t>,</w:t>
            </w:r>
            <w:r w:rsidRPr="00FA1502">
              <w:rPr>
                <w:rFonts w:ascii="Times New Roman" w:eastAsia="Times New Roman" w:hAnsi="Times New Roman" w:cs="Times New Roman"/>
                <w:sz w:val="20"/>
                <w:szCs w:val="20"/>
                <w:lang w:val="en-GB" w:eastAsia="cs-CZ"/>
              </w:rPr>
              <w:t xml:space="preserve">600 </w:t>
            </w:r>
            <w:r w:rsidRPr="00FA1502">
              <w:rPr>
                <w:rFonts w:ascii="Times New Roman" w:eastAsia="Times New Roman" w:hAnsi="Times New Roman" w:cs="Times New Roman"/>
                <w:sz w:val="20"/>
                <w:szCs w:val="20"/>
                <w:lang w:val="en-GB" w:eastAsia="cs-CZ"/>
              </w:rPr>
              <w:t>(+ EUR</w:t>
            </w:r>
            <w:r w:rsidRPr="00FA1502">
              <w:rPr>
                <w:rFonts w:ascii="Times New Roman" w:eastAsia="Times New Roman" w:hAnsi="Times New Roman" w:cs="Times New Roman"/>
                <w:sz w:val="20"/>
                <w:szCs w:val="20"/>
                <w:lang w:val="en-GB" w:eastAsia="cs-CZ"/>
              </w:rPr>
              <w:t xml:space="preserve"> 200 for each additional </w:t>
            </w:r>
            <w:r w:rsidRPr="00FA1502" w:rsidR="009259AA">
              <w:rPr>
                <w:rFonts w:ascii="Times New Roman" w:eastAsia="Times New Roman" w:hAnsi="Times New Roman" w:cs="Times New Roman"/>
                <w:sz w:val="20"/>
                <w:szCs w:val="20"/>
                <w:lang w:val="en-GB" w:eastAsia="cs-CZ"/>
              </w:rPr>
              <w:t xml:space="preserve">fund with the </w:t>
            </w:r>
            <w:r w:rsidRPr="00FA1502">
              <w:rPr>
                <w:rFonts w:ascii="Times New Roman" w:eastAsia="Times New Roman" w:hAnsi="Times New Roman" w:cs="Times New Roman"/>
                <w:sz w:val="20"/>
                <w:szCs w:val="20"/>
                <w:lang w:val="en-GB" w:eastAsia="cs-CZ"/>
              </w:rPr>
              <w:t>same manager)</w:t>
            </w:r>
            <w:r w:rsidR="00A7116F">
              <w:rPr>
                <w:rFonts w:ascii="Times New Roman" w:eastAsia="Times New Roman" w:hAnsi="Times New Roman" w:cs="Times New Roman"/>
                <w:sz w:val="20"/>
                <w:szCs w:val="20"/>
                <w:lang w:val="en-GB" w:eastAsia="cs-CZ"/>
              </w:rPr>
              <w:t xml:space="preserve"> </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Variable one-time fee</w:t>
            </w: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FR</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EUR 2</w:t>
            </w:r>
            <w:r w:rsidRPr="00FA1502" w:rsidR="009E22E1">
              <w:rPr>
                <w:rFonts w:ascii="Times New Roman" w:eastAsia="Times New Roman" w:hAnsi="Times New Roman" w:cs="Times New Roman"/>
                <w:sz w:val="20"/>
                <w:szCs w:val="20"/>
                <w:lang w:val="en-GB" w:eastAsia="cs-CZ"/>
              </w:rPr>
              <w:t>,</w:t>
            </w:r>
            <w:r w:rsidRPr="00FA1502">
              <w:rPr>
                <w:rFonts w:ascii="Times New Roman" w:eastAsia="Times New Roman" w:hAnsi="Times New Roman" w:cs="Times New Roman"/>
                <w:sz w:val="20"/>
                <w:szCs w:val="20"/>
                <w:lang w:val="en-GB" w:eastAsia="cs-CZ"/>
              </w:rPr>
              <w:t>000 for each (sub)fund </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EUR 2</w:t>
            </w:r>
            <w:r w:rsidRPr="00FA1502" w:rsidR="009E22E1">
              <w:rPr>
                <w:rFonts w:ascii="Times New Roman" w:eastAsia="Times New Roman" w:hAnsi="Times New Roman" w:cs="Times New Roman"/>
                <w:sz w:val="20"/>
                <w:szCs w:val="20"/>
                <w:lang w:val="en-GB" w:eastAsia="cs-CZ"/>
              </w:rPr>
              <w:t>,</w:t>
            </w:r>
            <w:r w:rsidRPr="00FA1502">
              <w:rPr>
                <w:rFonts w:ascii="Times New Roman" w:eastAsia="Times New Roman" w:hAnsi="Times New Roman" w:cs="Times New Roman"/>
                <w:sz w:val="20"/>
                <w:szCs w:val="20"/>
                <w:lang w:val="en-GB" w:eastAsia="cs-CZ"/>
              </w:rPr>
              <w:t>000 per year </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Same as UCITS</w:t>
            </w: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EL</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EUR 1</w:t>
            </w:r>
            <w:r w:rsidRPr="00FA1502" w:rsidR="00032533">
              <w:rPr>
                <w:rFonts w:ascii="Times New Roman" w:eastAsia="Times New Roman" w:hAnsi="Times New Roman" w:cs="Times New Roman"/>
                <w:sz w:val="20"/>
                <w:szCs w:val="20"/>
                <w:lang w:val="en-GB" w:eastAsia="cs-CZ"/>
              </w:rPr>
              <w:t>,</w:t>
            </w:r>
            <w:r w:rsidRPr="00FA1502">
              <w:rPr>
                <w:rFonts w:ascii="Times New Roman" w:eastAsia="Times New Roman" w:hAnsi="Times New Roman" w:cs="Times New Roman"/>
                <w:sz w:val="20"/>
                <w:szCs w:val="20"/>
                <w:lang w:val="en-GB" w:eastAsia="cs-CZ"/>
              </w:rPr>
              <w:t>024 for each (sub)fund </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Calculation by asset</w:t>
            </w:r>
            <w:r w:rsidRPr="00FA1502" w:rsidR="00032533">
              <w:rPr>
                <w:rFonts w:ascii="Times New Roman" w:eastAsia="Times New Roman" w:hAnsi="Times New Roman" w:cs="Times New Roman"/>
                <w:sz w:val="20"/>
                <w:szCs w:val="20"/>
                <w:lang w:val="en-GB" w:eastAsia="cs-CZ"/>
              </w:rPr>
              <w:t>s</w:t>
            </w:r>
            <w:r w:rsidRPr="00FA1502">
              <w:rPr>
                <w:rFonts w:ascii="Times New Roman" w:eastAsia="Times New Roman" w:hAnsi="Times New Roman" w:cs="Times New Roman"/>
                <w:sz w:val="20"/>
                <w:szCs w:val="20"/>
                <w:lang w:val="en-GB" w:eastAsia="cs-CZ"/>
              </w:rPr>
              <w:t>, not less than EUR 1</w:t>
            </w:r>
            <w:r w:rsidRPr="00FA1502" w:rsidR="00032533">
              <w:rPr>
                <w:rFonts w:ascii="Times New Roman" w:eastAsia="Times New Roman" w:hAnsi="Times New Roman" w:cs="Times New Roman"/>
                <w:sz w:val="20"/>
                <w:szCs w:val="20"/>
                <w:lang w:val="en-GB" w:eastAsia="cs-CZ"/>
              </w:rPr>
              <w:t>,</w:t>
            </w:r>
            <w:r w:rsidRPr="00FA1502">
              <w:rPr>
                <w:rFonts w:ascii="Times New Roman" w:eastAsia="Times New Roman" w:hAnsi="Times New Roman" w:cs="Times New Roman"/>
                <w:sz w:val="20"/>
                <w:szCs w:val="20"/>
                <w:lang w:val="en-GB" w:eastAsia="cs-CZ"/>
              </w:rPr>
              <w:t>024 for each (sub)fund per year </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HU</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IE</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LT</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 xml:space="preserve">EUR </w:t>
            </w:r>
            <w:r w:rsidRPr="00FA1502">
              <w:rPr>
                <w:rFonts w:ascii="Times New Roman" w:eastAsia="Times New Roman" w:hAnsi="Times New Roman" w:cs="Times New Roman"/>
                <w:sz w:val="20"/>
                <w:szCs w:val="20"/>
                <w:lang w:val="en-GB" w:eastAsia="cs-CZ"/>
              </w:rPr>
              <w:t>1</w:t>
            </w:r>
            <w:r w:rsidRPr="00FA1502">
              <w:rPr>
                <w:rFonts w:ascii="Times New Roman" w:eastAsia="Times New Roman" w:hAnsi="Times New Roman" w:cs="Times New Roman"/>
                <w:sz w:val="20"/>
                <w:szCs w:val="20"/>
                <w:lang w:val="en-GB" w:eastAsia="cs-CZ"/>
              </w:rPr>
              <w:t>,</w:t>
            </w:r>
            <w:r w:rsidRPr="00FA1502">
              <w:rPr>
                <w:rFonts w:ascii="Times New Roman" w:eastAsia="Times New Roman" w:hAnsi="Times New Roman" w:cs="Times New Roman"/>
                <w:sz w:val="20"/>
                <w:szCs w:val="20"/>
                <w:lang w:val="en-GB" w:eastAsia="cs-CZ"/>
              </w:rPr>
              <w:t>422 (+</w:t>
            </w:r>
            <w:r w:rsidRPr="00FA1502">
              <w:rPr>
                <w:rFonts w:ascii="Times New Roman" w:eastAsia="Times New Roman" w:hAnsi="Times New Roman" w:cs="Times New Roman"/>
                <w:sz w:val="20"/>
                <w:szCs w:val="20"/>
                <w:lang w:val="en-GB" w:eastAsia="cs-CZ"/>
              </w:rPr>
              <w:t xml:space="preserve">EUR </w:t>
            </w:r>
            <w:r w:rsidRPr="00FA1502">
              <w:rPr>
                <w:rFonts w:ascii="Times New Roman" w:eastAsia="Times New Roman" w:hAnsi="Times New Roman" w:cs="Times New Roman"/>
                <w:sz w:val="20"/>
                <w:szCs w:val="20"/>
                <w:lang w:val="en-GB" w:eastAsia="cs-CZ"/>
              </w:rPr>
              <w:t>426 for each change)</w:t>
            </w:r>
            <w:r w:rsidR="00A7116F">
              <w:rPr>
                <w:rFonts w:ascii="Times New Roman" w:eastAsia="Times New Roman" w:hAnsi="Times New Roman" w:cs="Times New Roman"/>
                <w:sz w:val="20"/>
                <w:szCs w:val="20"/>
                <w:lang w:val="en-GB" w:eastAsia="cs-CZ"/>
              </w:rPr>
              <w:t xml:space="preserve"> </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EUR 1</w:t>
            </w:r>
            <w:r w:rsidRPr="00FA1502" w:rsidR="00DE0F98">
              <w:rPr>
                <w:rFonts w:ascii="Times New Roman" w:eastAsia="Times New Roman" w:hAnsi="Times New Roman" w:cs="Times New Roman"/>
                <w:sz w:val="20"/>
                <w:szCs w:val="20"/>
                <w:lang w:val="en-GB" w:eastAsia="cs-CZ"/>
              </w:rPr>
              <w:t>,</w:t>
            </w:r>
            <w:r w:rsidRPr="00FA1502">
              <w:rPr>
                <w:rFonts w:ascii="Times New Roman" w:eastAsia="Times New Roman" w:hAnsi="Times New Roman" w:cs="Times New Roman"/>
                <w:sz w:val="20"/>
                <w:szCs w:val="20"/>
                <w:lang w:val="en-GB" w:eastAsia="cs-CZ"/>
              </w:rPr>
              <w:t>422 per year </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E</w:t>
            </w:r>
            <w:r w:rsidRPr="00FA1502" w:rsidR="00E9052E">
              <w:rPr>
                <w:rFonts w:ascii="Times New Roman" w:eastAsia="Times New Roman" w:hAnsi="Times New Roman" w:cs="Times New Roman"/>
                <w:sz w:val="20"/>
                <w:szCs w:val="20"/>
                <w:lang w:val="en-GB" w:eastAsia="cs-CZ"/>
              </w:rPr>
              <w:t>UR 1,</w:t>
            </w:r>
            <w:r w:rsidRPr="00FA1502">
              <w:rPr>
                <w:rFonts w:ascii="Times New Roman" w:eastAsia="Times New Roman" w:hAnsi="Times New Roman" w:cs="Times New Roman"/>
                <w:sz w:val="20"/>
                <w:szCs w:val="20"/>
                <w:lang w:val="en-GB" w:eastAsia="cs-CZ"/>
              </w:rPr>
              <w:t>422 (+ E</w:t>
            </w:r>
            <w:r w:rsidRPr="00FA1502" w:rsidR="00E9052E">
              <w:rPr>
                <w:rFonts w:ascii="Times New Roman" w:eastAsia="Times New Roman" w:hAnsi="Times New Roman" w:cs="Times New Roman"/>
                <w:sz w:val="20"/>
                <w:szCs w:val="20"/>
                <w:lang w:val="en-GB" w:eastAsia="cs-CZ"/>
              </w:rPr>
              <w:t>UR 426 for each change) + EUR 1,2</w:t>
            </w:r>
            <w:r w:rsidRPr="00FA1502">
              <w:rPr>
                <w:rFonts w:ascii="Times New Roman" w:eastAsia="Times New Roman" w:hAnsi="Times New Roman" w:cs="Times New Roman"/>
                <w:sz w:val="20"/>
                <w:szCs w:val="20"/>
                <w:lang w:val="en-GB" w:eastAsia="cs-CZ"/>
              </w:rPr>
              <w:t xml:space="preserve">09 </w:t>
            </w:r>
            <w:r w:rsidRPr="00FA1502" w:rsidR="00E9052E">
              <w:rPr>
                <w:rFonts w:ascii="Times New Roman" w:eastAsia="Times New Roman" w:hAnsi="Times New Roman" w:cs="Times New Roman"/>
                <w:sz w:val="20"/>
                <w:szCs w:val="20"/>
                <w:lang w:val="en-GB" w:eastAsia="cs-CZ"/>
              </w:rPr>
              <w:t>for</w:t>
            </w:r>
            <w:r w:rsidRPr="00FA1502">
              <w:rPr>
                <w:rFonts w:ascii="Times New Roman" w:eastAsia="Times New Roman" w:hAnsi="Times New Roman" w:cs="Times New Roman"/>
                <w:sz w:val="20"/>
                <w:szCs w:val="20"/>
                <w:lang w:val="en-GB" w:eastAsia="cs-CZ"/>
              </w:rPr>
              <w:t xml:space="preserve"> notification</w:t>
            </w:r>
            <w:r w:rsidR="00A7116F">
              <w:rPr>
                <w:rFonts w:ascii="Times New Roman" w:eastAsia="Times New Roman" w:hAnsi="Times New Roman" w:cs="Times New Roman"/>
                <w:sz w:val="20"/>
                <w:szCs w:val="20"/>
                <w:lang w:val="en-GB" w:eastAsia="cs-CZ"/>
              </w:rPr>
              <w:t xml:space="preserve"> </w:t>
            </w:r>
          </w:p>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Variable annual fee</w:t>
            </w: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LUX</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EUR 2,</w:t>
            </w:r>
            <w:r w:rsidRPr="00FA1502">
              <w:rPr>
                <w:rFonts w:ascii="Times New Roman" w:eastAsia="Times New Roman" w:hAnsi="Times New Roman" w:cs="Times New Roman"/>
                <w:sz w:val="20"/>
                <w:szCs w:val="20"/>
                <w:lang w:val="en-GB" w:eastAsia="cs-CZ"/>
              </w:rPr>
              <w:t>650 / EUR 5</w:t>
            </w:r>
            <w:r w:rsidRPr="00FA1502">
              <w:rPr>
                <w:rFonts w:ascii="Times New Roman" w:eastAsia="Times New Roman" w:hAnsi="Times New Roman" w:cs="Times New Roman"/>
                <w:sz w:val="20"/>
                <w:szCs w:val="20"/>
                <w:lang w:val="en-GB" w:eastAsia="cs-CZ"/>
              </w:rPr>
              <w:t>,</w:t>
            </w:r>
            <w:r w:rsidRPr="00FA1502">
              <w:rPr>
                <w:rFonts w:ascii="Times New Roman" w:eastAsia="Times New Roman" w:hAnsi="Times New Roman" w:cs="Times New Roman"/>
                <w:sz w:val="20"/>
                <w:szCs w:val="20"/>
                <w:lang w:val="en-GB" w:eastAsia="cs-CZ"/>
              </w:rPr>
              <w:t xml:space="preserve">000 (in case of a fund </w:t>
            </w:r>
            <w:r w:rsidRPr="00FA1502">
              <w:rPr>
                <w:rFonts w:ascii="Times New Roman" w:eastAsia="Times New Roman" w:hAnsi="Times New Roman" w:cs="Times New Roman"/>
                <w:sz w:val="20"/>
                <w:szCs w:val="20"/>
                <w:lang w:val="en-GB" w:eastAsia="cs-CZ"/>
              </w:rPr>
              <w:t>with several sub-funds</w:t>
            </w:r>
            <w:r w:rsidRPr="00FA1502">
              <w:rPr>
                <w:rFonts w:ascii="Times New Roman" w:eastAsia="Times New Roman" w:hAnsi="Times New Roman" w:cs="Times New Roman"/>
                <w:sz w:val="20"/>
                <w:szCs w:val="20"/>
                <w:lang w:val="en-GB" w:eastAsia="cs-CZ"/>
              </w:rPr>
              <w:t>)</w:t>
            </w:r>
            <w:r w:rsidR="00A7116F">
              <w:rPr>
                <w:rFonts w:ascii="Times New Roman" w:eastAsia="Times New Roman" w:hAnsi="Times New Roman" w:cs="Times New Roman"/>
                <w:sz w:val="20"/>
                <w:szCs w:val="20"/>
                <w:lang w:val="en-GB" w:eastAsia="cs-CZ"/>
              </w:rPr>
              <w:t xml:space="preserve"> </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Same as UCITS</w:t>
            </w: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MT</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 xml:space="preserve">EUR </w:t>
            </w:r>
            <w:r w:rsidRPr="00FA1502">
              <w:rPr>
                <w:rFonts w:ascii="Times New Roman" w:eastAsia="Times New Roman" w:hAnsi="Times New Roman" w:cs="Times New Roman"/>
                <w:sz w:val="20"/>
                <w:szCs w:val="20"/>
                <w:lang w:val="en-GB" w:eastAsia="cs-CZ"/>
              </w:rPr>
              <w:t>2</w:t>
            </w:r>
            <w:r w:rsidRPr="00FA1502">
              <w:rPr>
                <w:rFonts w:ascii="Times New Roman" w:eastAsia="Times New Roman" w:hAnsi="Times New Roman" w:cs="Times New Roman"/>
                <w:sz w:val="20"/>
                <w:szCs w:val="20"/>
                <w:lang w:val="en-GB" w:eastAsia="cs-CZ"/>
              </w:rPr>
              <w:t>,</w:t>
            </w:r>
            <w:r w:rsidRPr="00FA1502">
              <w:rPr>
                <w:rFonts w:ascii="Times New Roman" w:eastAsia="Times New Roman" w:hAnsi="Times New Roman" w:cs="Times New Roman"/>
                <w:sz w:val="20"/>
                <w:szCs w:val="20"/>
                <w:lang w:val="en-GB" w:eastAsia="cs-CZ"/>
              </w:rPr>
              <w:t xml:space="preserve">500 (+ EUR 450 per each </w:t>
            </w:r>
            <w:r w:rsidRPr="00FA1502">
              <w:rPr>
                <w:rFonts w:ascii="Times New Roman" w:eastAsia="Times New Roman" w:hAnsi="Times New Roman" w:cs="Times New Roman"/>
                <w:sz w:val="20"/>
                <w:szCs w:val="20"/>
                <w:lang w:val="en-GB" w:eastAsia="cs-CZ"/>
              </w:rPr>
              <w:t>sub-f</w:t>
            </w:r>
            <w:r w:rsidRPr="00FA1502">
              <w:rPr>
                <w:rFonts w:ascii="Times New Roman" w:eastAsia="Times New Roman" w:hAnsi="Times New Roman" w:cs="Times New Roman"/>
                <w:sz w:val="20"/>
                <w:szCs w:val="20"/>
                <w:lang w:val="en-GB" w:eastAsia="cs-CZ"/>
              </w:rPr>
              <w:t>und)</w:t>
            </w:r>
            <w:r w:rsidR="00A7116F">
              <w:rPr>
                <w:rFonts w:ascii="Times New Roman" w:eastAsia="Times New Roman" w:hAnsi="Times New Roman" w:cs="Times New Roman"/>
                <w:sz w:val="20"/>
                <w:szCs w:val="20"/>
                <w:lang w:val="en-GB" w:eastAsia="cs-CZ"/>
              </w:rPr>
              <w:t xml:space="preserve"> </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EUR 3</w:t>
            </w:r>
            <w:r w:rsidRPr="00FA1502" w:rsidR="00251164">
              <w:rPr>
                <w:rFonts w:ascii="Times New Roman" w:eastAsia="Times New Roman" w:hAnsi="Times New Roman" w:cs="Times New Roman"/>
                <w:sz w:val="20"/>
                <w:szCs w:val="20"/>
                <w:lang w:val="en-GB" w:eastAsia="cs-CZ"/>
              </w:rPr>
              <w:t>,</w:t>
            </w:r>
            <w:r w:rsidRPr="00FA1502">
              <w:rPr>
                <w:rFonts w:ascii="Times New Roman" w:eastAsia="Times New Roman" w:hAnsi="Times New Roman" w:cs="Times New Roman"/>
                <w:sz w:val="20"/>
                <w:szCs w:val="20"/>
                <w:lang w:val="en-GB" w:eastAsia="cs-CZ"/>
              </w:rPr>
              <w:t>000 per year (+ EUR 500 for each sub-fund) </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Same as UCITS</w:t>
            </w: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NE</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NO</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PL</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EUR 4,</w:t>
            </w:r>
            <w:r w:rsidRPr="00FA1502">
              <w:rPr>
                <w:rFonts w:ascii="Times New Roman" w:eastAsia="Times New Roman" w:hAnsi="Times New Roman" w:cs="Times New Roman"/>
                <w:sz w:val="20"/>
                <w:szCs w:val="20"/>
                <w:lang w:val="en-GB" w:eastAsia="cs-CZ"/>
              </w:rPr>
              <w:t>500 </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Same as UCITS</w:t>
            </w: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PT</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RO</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EUR 1</w:t>
            </w:r>
            <w:r w:rsidRPr="00FA1502" w:rsidR="0066631E">
              <w:rPr>
                <w:rFonts w:ascii="Times New Roman" w:eastAsia="Times New Roman" w:hAnsi="Times New Roman" w:cs="Times New Roman"/>
                <w:sz w:val="20"/>
                <w:szCs w:val="20"/>
                <w:lang w:val="en-GB" w:eastAsia="cs-CZ"/>
              </w:rPr>
              <w:t>,</w:t>
            </w:r>
            <w:r w:rsidRPr="00FA1502">
              <w:rPr>
                <w:rFonts w:ascii="Times New Roman" w:eastAsia="Times New Roman" w:hAnsi="Times New Roman" w:cs="Times New Roman"/>
                <w:sz w:val="20"/>
                <w:szCs w:val="20"/>
                <w:lang w:val="en-GB" w:eastAsia="cs-CZ"/>
              </w:rPr>
              <w:t>100 per year </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Variable annual fee ( EUR 1</w:t>
            </w:r>
            <w:r w:rsidRPr="00FA1502" w:rsidR="0066631E">
              <w:rPr>
                <w:rFonts w:ascii="Times New Roman" w:eastAsia="Times New Roman" w:hAnsi="Times New Roman" w:cs="Times New Roman"/>
                <w:sz w:val="20"/>
                <w:szCs w:val="20"/>
                <w:lang w:val="en-GB" w:eastAsia="cs-CZ"/>
              </w:rPr>
              <w:t>,</w:t>
            </w:r>
            <w:r w:rsidRPr="00FA1502">
              <w:rPr>
                <w:rFonts w:ascii="Times New Roman" w:eastAsia="Times New Roman" w:hAnsi="Times New Roman" w:cs="Times New Roman"/>
                <w:sz w:val="20"/>
                <w:szCs w:val="20"/>
                <w:lang w:val="en-GB" w:eastAsia="cs-CZ"/>
              </w:rPr>
              <w:t>000 to EUR 3</w:t>
            </w:r>
            <w:r w:rsidRPr="00FA1502" w:rsidR="0066631E">
              <w:rPr>
                <w:rFonts w:ascii="Times New Roman" w:eastAsia="Times New Roman" w:hAnsi="Times New Roman" w:cs="Times New Roman"/>
                <w:sz w:val="20"/>
                <w:szCs w:val="20"/>
                <w:lang w:val="en-GB" w:eastAsia="cs-CZ"/>
              </w:rPr>
              <w:t>,</w:t>
            </w:r>
            <w:r w:rsidRPr="00FA1502">
              <w:rPr>
                <w:rFonts w:ascii="Times New Roman" w:eastAsia="Times New Roman" w:hAnsi="Times New Roman" w:cs="Times New Roman"/>
                <w:sz w:val="20"/>
                <w:szCs w:val="20"/>
                <w:lang w:val="en-GB" w:eastAsia="cs-CZ"/>
              </w:rPr>
              <w:t>300)</w:t>
            </w:r>
            <w:r w:rsidR="00A7116F">
              <w:rPr>
                <w:rFonts w:ascii="Times New Roman" w:eastAsia="Times New Roman" w:hAnsi="Times New Roman" w:cs="Times New Roman"/>
                <w:sz w:val="20"/>
                <w:szCs w:val="20"/>
                <w:lang w:val="en-GB" w:eastAsia="cs-CZ"/>
              </w:rPr>
              <w:t xml:space="preserve"> </w:t>
            </w: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SK</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Calculation by asset</w:t>
            </w:r>
            <w:r w:rsidRPr="00FA1502" w:rsidR="008C6A98">
              <w:rPr>
                <w:rFonts w:ascii="Times New Roman" w:eastAsia="Times New Roman" w:hAnsi="Times New Roman" w:cs="Times New Roman"/>
                <w:sz w:val="20"/>
                <w:szCs w:val="20"/>
                <w:lang w:val="en-GB" w:eastAsia="cs-CZ"/>
              </w:rPr>
              <w:t>s</w:t>
            </w:r>
            <w:r w:rsidRPr="00FA1502">
              <w:rPr>
                <w:rFonts w:ascii="Times New Roman" w:eastAsia="Times New Roman" w:hAnsi="Times New Roman" w:cs="Times New Roman"/>
                <w:sz w:val="20"/>
                <w:szCs w:val="20"/>
                <w:lang w:val="en-GB" w:eastAsia="cs-CZ"/>
              </w:rPr>
              <w:t>, not less than EUR 1</w:t>
            </w:r>
            <w:r w:rsidRPr="00FA1502" w:rsidR="008C6A98">
              <w:rPr>
                <w:rFonts w:ascii="Times New Roman" w:eastAsia="Times New Roman" w:hAnsi="Times New Roman" w:cs="Times New Roman"/>
                <w:sz w:val="20"/>
                <w:szCs w:val="20"/>
                <w:lang w:val="en-GB" w:eastAsia="cs-CZ"/>
              </w:rPr>
              <w:t>,</w:t>
            </w:r>
            <w:r w:rsidRPr="00FA1502">
              <w:rPr>
                <w:rFonts w:ascii="Times New Roman" w:eastAsia="Times New Roman" w:hAnsi="Times New Roman" w:cs="Times New Roman"/>
                <w:sz w:val="20"/>
                <w:szCs w:val="20"/>
                <w:lang w:val="en-GB" w:eastAsia="cs-CZ"/>
              </w:rPr>
              <w:t>000 per year </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Variable annual fee</w:t>
            </w: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SI</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EUR 200 for each (sub)fund</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EUR 800 for each (sub)fund per year</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 xml:space="preserve">EUR </w:t>
            </w:r>
            <w:r w:rsidRPr="00FA1502">
              <w:rPr>
                <w:rFonts w:ascii="Times New Roman" w:eastAsia="Times New Roman" w:hAnsi="Times New Roman" w:cs="Times New Roman"/>
                <w:sz w:val="20"/>
                <w:szCs w:val="20"/>
                <w:lang w:val="en-GB" w:eastAsia="cs-CZ"/>
              </w:rPr>
              <w:t xml:space="preserve">210 per (sub)fund for notification and </w:t>
            </w:r>
            <w:r w:rsidRPr="00FA1502">
              <w:rPr>
                <w:rFonts w:ascii="Times New Roman" w:eastAsia="Times New Roman" w:hAnsi="Times New Roman" w:cs="Times New Roman"/>
                <w:sz w:val="20"/>
                <w:szCs w:val="20"/>
                <w:lang w:val="en-GB" w:eastAsia="cs-CZ"/>
              </w:rPr>
              <w:t xml:space="preserve">in addition </w:t>
            </w:r>
            <w:r w:rsidRPr="00FA1502">
              <w:rPr>
                <w:rFonts w:ascii="Times New Roman" w:eastAsia="Times New Roman" w:hAnsi="Times New Roman" w:cs="Times New Roman"/>
                <w:sz w:val="20"/>
                <w:szCs w:val="20"/>
                <w:lang w:val="en-GB" w:eastAsia="cs-CZ"/>
              </w:rPr>
              <w:t>once a year </w:t>
            </w: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ES</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EUR 1,</w:t>
            </w:r>
            <w:r w:rsidRPr="00FA1502">
              <w:rPr>
                <w:rFonts w:ascii="Times New Roman" w:eastAsia="Times New Roman" w:hAnsi="Times New Roman" w:cs="Times New Roman"/>
                <w:sz w:val="20"/>
                <w:szCs w:val="20"/>
                <w:lang w:val="en-GB" w:eastAsia="cs-CZ"/>
              </w:rPr>
              <w:t>000 </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EUR 2,</w:t>
            </w:r>
            <w:r w:rsidRPr="00FA1502">
              <w:rPr>
                <w:rFonts w:ascii="Times New Roman" w:eastAsia="Times New Roman" w:hAnsi="Times New Roman" w:cs="Times New Roman"/>
                <w:sz w:val="20"/>
                <w:szCs w:val="20"/>
                <w:lang w:val="en-GB" w:eastAsia="cs-CZ"/>
              </w:rPr>
              <w:t>500 per year </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EUR 2</w:t>
            </w:r>
            <w:r w:rsidRPr="00FA1502" w:rsidR="008C6A98">
              <w:rPr>
                <w:rFonts w:ascii="Times New Roman" w:eastAsia="Times New Roman" w:hAnsi="Times New Roman" w:cs="Times New Roman"/>
                <w:sz w:val="20"/>
                <w:szCs w:val="20"/>
                <w:lang w:val="en-GB" w:eastAsia="cs-CZ"/>
              </w:rPr>
              <w:t>,500 for notification and EUR 3,</w:t>
            </w:r>
            <w:r w:rsidRPr="00FA1502">
              <w:rPr>
                <w:rFonts w:ascii="Times New Roman" w:eastAsia="Times New Roman" w:hAnsi="Times New Roman" w:cs="Times New Roman"/>
                <w:sz w:val="20"/>
                <w:szCs w:val="20"/>
                <w:lang w:val="en-GB" w:eastAsia="cs-CZ"/>
              </w:rPr>
              <w:t>000 per year</w:t>
            </w:r>
            <w:r w:rsidR="00A7116F">
              <w:rPr>
                <w:rFonts w:ascii="Times New Roman" w:eastAsia="Times New Roman" w:hAnsi="Times New Roman" w:cs="Times New Roman"/>
                <w:sz w:val="20"/>
                <w:szCs w:val="20"/>
                <w:lang w:val="en-GB" w:eastAsia="cs-CZ"/>
              </w:rPr>
              <w:t xml:space="preserve"> </w:t>
            </w:r>
          </w:p>
        </w:tc>
      </w:tr>
      <w:tr w:rsidTr="00176359">
        <w:tblPrEx>
          <w:tblW w:w="5000" w:type="pct"/>
          <w:tblCellMar>
            <w:left w:w="0" w:type="dxa"/>
            <w:right w:w="0" w:type="dxa"/>
          </w:tblCellMar>
          <w:tblLook w:val="04A0"/>
        </w:tblPrEx>
        <w:tc>
          <w:tcPr>
            <w:tcW w:w="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SW</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c>
          <w:tcPr>
            <w:tcW w:w="14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6359" w:rsidRPr="00FA1502" w:rsidP="00B85E59">
            <w:pPr>
              <w:spacing w:before="80" w:after="8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0"/>
                <w:szCs w:val="20"/>
                <w:lang w:val="en-GB" w:eastAsia="cs-CZ"/>
              </w:rPr>
              <w:t>-</w:t>
            </w:r>
          </w:p>
        </w:tc>
      </w:tr>
    </w:tbl>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It follows from the table above that even abroad it is common for investment funds to be subject to a fee obligation, not only domestic funds, but also foreign notified funds.</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At the same time, </w:t>
      </w:r>
      <w:r w:rsidRPr="00FA1502" w:rsidR="00316639">
        <w:rPr>
          <w:rFonts w:ascii="Times New Roman" w:eastAsia="Times New Roman" w:hAnsi="Times New Roman" w:cs="Times New Roman"/>
          <w:sz w:val="24"/>
          <w:szCs w:val="24"/>
          <w:lang w:val="en-GB" w:eastAsia="cs-CZ"/>
        </w:rPr>
        <w:t>entrance</w:t>
      </w:r>
      <w:r w:rsidRPr="00FA1502">
        <w:rPr>
          <w:rFonts w:ascii="Times New Roman" w:eastAsia="Times New Roman" w:hAnsi="Times New Roman" w:cs="Times New Roman"/>
          <w:sz w:val="24"/>
          <w:szCs w:val="24"/>
          <w:lang w:val="en-GB" w:eastAsia="cs-CZ"/>
        </w:rPr>
        <w:t xml:space="preserve"> fees are also common in other sectors and correspond, inter alia, to the costs of licensing</w:t>
      </w:r>
      <w:r w:rsidRPr="00FA1502" w:rsidR="00316639">
        <w:rPr>
          <w:rFonts w:ascii="Times New Roman" w:eastAsia="Times New Roman" w:hAnsi="Times New Roman" w:cs="Times New Roman"/>
          <w:sz w:val="24"/>
          <w:szCs w:val="24"/>
          <w:lang w:val="en-GB" w:eastAsia="cs-CZ"/>
        </w:rPr>
        <w:t xml:space="preserve"> proceedings</w:t>
      </w:r>
      <w:r w:rsidRPr="00FA1502">
        <w:rPr>
          <w:rFonts w:ascii="Times New Roman" w:eastAsia="Times New Roman" w:hAnsi="Times New Roman" w:cs="Times New Roman"/>
          <w:sz w:val="24"/>
          <w:szCs w:val="24"/>
          <w:lang w:val="en-GB" w:eastAsia="cs-CZ"/>
        </w:rPr>
        <w:t>. It is therefore proposed to introduce entry fees</w:t>
      </w:r>
      <w:r w:rsidRPr="00FA1502" w:rsidR="005170C7">
        <w:rPr>
          <w:rFonts w:ascii="Times New Roman" w:eastAsia="Times New Roman" w:hAnsi="Times New Roman" w:cs="Times New Roman"/>
          <w:sz w:val="24"/>
          <w:szCs w:val="24"/>
          <w:lang w:val="en-GB" w:eastAsia="cs-CZ"/>
        </w:rPr>
        <w:t xml:space="preserve"> </w:t>
      </w:r>
      <w:r w:rsidRPr="00FA1502">
        <w:rPr>
          <w:rFonts w:ascii="Times New Roman" w:eastAsia="Times New Roman" w:hAnsi="Times New Roman" w:cs="Times New Roman"/>
          <w:sz w:val="24"/>
          <w:szCs w:val="24"/>
          <w:lang w:val="en-GB" w:eastAsia="cs-CZ"/>
        </w:rPr>
        <w:t xml:space="preserve">for all kinds of domestic funds (currently some types of </w:t>
      </w:r>
      <w:r w:rsidRPr="00FA1502" w:rsidR="005170C7">
        <w:rPr>
          <w:rFonts w:ascii="Times New Roman" w:eastAsia="Times New Roman" w:hAnsi="Times New Roman" w:cs="Times New Roman"/>
          <w:sz w:val="24"/>
          <w:szCs w:val="24"/>
          <w:lang w:val="en-GB" w:eastAsia="cs-CZ"/>
        </w:rPr>
        <w:t xml:space="preserve">mutual </w:t>
      </w:r>
      <w:r w:rsidRPr="00FA1502">
        <w:rPr>
          <w:rFonts w:ascii="Times New Roman" w:eastAsia="Times New Roman" w:hAnsi="Times New Roman" w:cs="Times New Roman"/>
          <w:sz w:val="24"/>
          <w:szCs w:val="24"/>
          <w:lang w:val="en-GB" w:eastAsia="cs-CZ"/>
        </w:rPr>
        <w:t>funds are not subject to the fee), as well as offering foreign funds in the Czech Republic. In order to ensure compliance with the Regulation on the cross-border distribution of investment funds, such fees shall be proportionate to the costs associated with carrying out the supervisory activity.</w:t>
      </w:r>
      <w:r w:rsidR="00A7116F">
        <w:rPr>
          <w:rFonts w:ascii="Times New Roman" w:eastAsia="Times New Roman" w:hAnsi="Times New Roman" w:cs="Times New Roman"/>
          <w:sz w:val="24"/>
          <w:szCs w:val="24"/>
          <w:lang w:val="en-GB" w:eastAsia="cs-CZ"/>
        </w:rPr>
        <w:t xml:space="preserve"> </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 </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The twelfth part, Article X</w:t>
      </w:r>
      <w:r w:rsidRPr="00FA1502">
        <w:rPr>
          <w:rFonts w:ascii="Times New Roman" w:eastAsia="Times New Roman" w:hAnsi="Times New Roman" w:cs="Times New Roman"/>
          <w:b/>
          <w:bCs/>
          <w:sz w:val="24"/>
          <w:szCs w:val="24"/>
          <w:lang w:val="en-GB" w:eastAsia="cs-CZ"/>
        </w:rPr>
        <w:t>III </w:t>
      </w:r>
    </w:p>
    <w:p w:rsidR="00176359" w:rsidRPr="00FA1502" w:rsidP="00A7116F">
      <w:pPr>
        <w:keepNext/>
        <w:spacing w:before="120" w:after="120" w:line="240" w:lineRule="auto"/>
        <w:jc w:val="center"/>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b/>
          <w:bCs/>
          <w:sz w:val="24"/>
          <w:szCs w:val="24"/>
          <w:lang w:val="en-GB" w:eastAsia="cs-CZ"/>
        </w:rPr>
        <w:t>Effectiveness</w:t>
      </w:r>
    </w:p>
    <w:p w:rsidR="00176359" w:rsidRPr="005C1E3D" w:rsidP="00A7116F">
      <w:pPr>
        <w:keepNext/>
        <w:spacing w:before="120" w:after="120" w:line="240" w:lineRule="auto"/>
        <w:jc w:val="both"/>
        <w:rPr>
          <w:rFonts w:ascii="Times New Roman" w:eastAsia="Times New Roman" w:hAnsi="Times New Roman" w:cs="Times New Roman"/>
          <w:sz w:val="24"/>
          <w:szCs w:val="24"/>
          <w:lang w:val="en-GB" w:eastAsia="cs-CZ"/>
        </w:rPr>
      </w:pPr>
      <w:r w:rsidRPr="00FA1502">
        <w:rPr>
          <w:rFonts w:ascii="Times New Roman" w:eastAsia="Times New Roman" w:hAnsi="Times New Roman" w:cs="Times New Roman"/>
          <w:sz w:val="24"/>
          <w:szCs w:val="24"/>
          <w:lang w:val="en-GB" w:eastAsia="cs-CZ"/>
        </w:rPr>
        <w:t xml:space="preserve">It is proposed </w:t>
      </w:r>
      <w:r w:rsidRPr="00FA1502" w:rsidR="00994B4A">
        <w:rPr>
          <w:rFonts w:ascii="Times New Roman" w:eastAsia="Times New Roman" w:hAnsi="Times New Roman" w:cs="Times New Roman"/>
          <w:sz w:val="24"/>
          <w:szCs w:val="24"/>
          <w:lang w:val="en-GB" w:eastAsia="cs-CZ"/>
        </w:rPr>
        <w:t xml:space="preserve">for the amendment </w:t>
      </w:r>
      <w:r w:rsidRPr="00FA1502">
        <w:rPr>
          <w:rFonts w:ascii="Times New Roman" w:eastAsia="Times New Roman" w:hAnsi="Times New Roman" w:cs="Times New Roman"/>
          <w:sz w:val="24"/>
          <w:szCs w:val="24"/>
          <w:lang w:val="en-GB" w:eastAsia="cs-CZ"/>
        </w:rPr>
        <w:t xml:space="preserve">to take effect on 1 January 2022, as we consider it desirable that the new amendment take effect at the beginning of the calendar year and the date of 1 January 2022 appears to be the earliest possible date, taking into account the October 2021 </w:t>
      </w:r>
      <w:r w:rsidRPr="00FA1502" w:rsidR="00DC6895">
        <w:rPr>
          <w:rFonts w:ascii="Times New Roman" w:eastAsia="Times New Roman" w:hAnsi="Times New Roman" w:cs="Times New Roman"/>
          <w:sz w:val="24"/>
          <w:szCs w:val="24"/>
          <w:lang w:val="en-GB" w:eastAsia="cs-CZ"/>
        </w:rPr>
        <w:t xml:space="preserve">Chamber of Deputies elections and </w:t>
      </w:r>
      <w:r w:rsidRPr="00FA1502">
        <w:rPr>
          <w:rFonts w:ascii="Times New Roman" w:eastAsia="Times New Roman" w:hAnsi="Times New Roman" w:cs="Times New Roman"/>
          <w:sz w:val="24"/>
          <w:szCs w:val="24"/>
          <w:lang w:val="en-GB" w:eastAsia="cs-CZ"/>
        </w:rPr>
        <w:t>the length of the legislative process in the Czech Republic.</w:t>
      </w:r>
      <w:r w:rsidRPr="005C1E3D">
        <w:rPr>
          <w:rFonts w:ascii="Times New Roman" w:eastAsia="Times New Roman" w:hAnsi="Times New Roman" w:cs="Times New Roman"/>
          <w:sz w:val="24"/>
          <w:szCs w:val="24"/>
          <w:lang w:val="en-GB" w:eastAsia="cs-CZ"/>
        </w:rPr>
        <w:t> </w:t>
      </w:r>
    </w:p>
    <w:p w:rsidR="00176359" w:rsidRPr="005C1E3D" w:rsidP="00A7116F">
      <w:pPr>
        <w:keepNext/>
        <w:spacing w:after="0" w:line="240" w:lineRule="auto"/>
        <w:rPr>
          <w:rFonts w:ascii="Times New Roman" w:eastAsia="Times New Roman" w:hAnsi="Times New Roman" w:cs="Times New Roman"/>
          <w:sz w:val="24"/>
          <w:szCs w:val="24"/>
          <w:lang w:val="en-GB" w:eastAsia="cs-CZ"/>
        </w:rPr>
      </w:pPr>
      <w:bookmarkStart w:id="27" w:name="_ftn1"/>
      <w:bookmarkStart w:id="28" w:name="_ftn28"/>
      <w:bookmarkEnd w:id="27"/>
      <w:bookmarkEnd w:id="28"/>
    </w:p>
    <w:p w:rsidR="00797706" w:rsidRPr="005C1E3D">
      <w:pPr>
        <w:rPr>
          <w:lang w:val="en-GB"/>
        </w:rPr>
      </w:pPr>
      <w:bookmarkStart w:id="29" w:name="_GoBack"/>
      <w:bookmarkEnd w:id="29"/>
    </w:p>
    <w:sectPr w:rsidSect="00FA1502">
      <w:headerReference w:type="default" r:id="rId6"/>
      <w:pgSz w:w="11906" w:h="16838"/>
      <w:pgMar w:top="1417" w:right="1417" w:bottom="1417" w:left="1417" w:header="708" w:footer="708" w:gutter="0"/>
      <w:pgNumType w:fmt="numberInDash"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947E5" w:rsidP="005C1E3D">
      <w:pPr>
        <w:spacing w:after="0" w:line="240" w:lineRule="auto"/>
      </w:pPr>
      <w:r>
        <w:separator/>
      </w:r>
    </w:p>
  </w:footnote>
  <w:footnote w:type="continuationSeparator" w:id="1">
    <w:p w:rsidR="007947E5" w:rsidP="005C1E3D">
      <w:pPr>
        <w:spacing w:after="0" w:line="240" w:lineRule="auto"/>
      </w:pPr>
      <w:r>
        <w:continuationSeparator/>
      </w:r>
    </w:p>
  </w:footnote>
  <w:footnote w:id="2">
    <w:p w:rsidR="00A7116F" w:rsidRPr="00B85E59">
      <w:pPr>
        <w:pStyle w:val="FootnoteText"/>
        <w:rPr>
          <w:rFonts w:ascii="Times New Roman" w:hAnsi="Times New Roman" w:cs="Times New Roman"/>
        </w:rPr>
      </w:pPr>
      <w:r w:rsidRPr="00B85E59">
        <w:rPr>
          <w:rStyle w:val="FootnoteReference"/>
          <w:rFonts w:ascii="Times New Roman" w:hAnsi="Times New Roman" w:cs="Times New Roman"/>
          <w:sz w:val="22"/>
        </w:rPr>
        <w:footnoteRef/>
      </w:r>
      <w:r w:rsidRPr="00B85E59">
        <w:rPr>
          <w:rFonts w:ascii="Times New Roman" w:hAnsi="Times New Roman" w:cs="Times New Roman"/>
          <w:sz w:val="18"/>
        </w:rPr>
        <w:t xml:space="preserve"> </w:t>
      </w:r>
      <w:r w:rsidRPr="00B85E59">
        <w:rPr>
          <w:rFonts w:ascii="Times New Roman" w:eastAsia="Calibri" w:hAnsi="Times New Roman" w:cs="Times New Roman"/>
          <w:szCs w:val="22"/>
        </w:rPr>
        <w:t>https://www.mfcr.cz/cs/aktualne/tiskove-zpravy/2019/ministerstvo-financi-predstavilo-koncepc-34656</w:t>
      </w:r>
    </w:p>
  </w:footnote>
  <w:footnote w:id="3">
    <w:p w:rsidR="00A7116F" w:rsidRPr="00B85E59">
      <w:pPr>
        <w:pStyle w:val="FootnoteText"/>
        <w:rPr>
          <w:rFonts w:ascii="Times New Roman" w:eastAsia="Calibri" w:hAnsi="Times New Roman" w:cs="Times New Roman"/>
          <w:szCs w:val="22"/>
        </w:rPr>
      </w:pPr>
      <w:r w:rsidRPr="00B85E59">
        <w:rPr>
          <w:rStyle w:val="FootnoteReference"/>
          <w:rFonts w:ascii="Times New Roman" w:hAnsi="Times New Roman" w:cs="Times New Roman"/>
          <w:sz w:val="22"/>
        </w:rPr>
        <w:footnoteRef/>
      </w:r>
      <w:r w:rsidRPr="00B85E59">
        <w:rPr>
          <w:rFonts w:ascii="Times New Roman" w:hAnsi="Times New Roman" w:cs="Times New Roman"/>
        </w:rPr>
        <w:t xml:space="preserve"> </w:t>
      </w:r>
      <w:r w:rsidRPr="00B85E59">
        <w:rPr>
          <w:rFonts w:ascii="Times New Roman" w:eastAsia="Calibri" w:hAnsi="Times New Roman" w:cs="Times New Roman"/>
          <w:szCs w:val="22"/>
        </w:rPr>
        <w:t>https://www.vlada.cz/cz/jednani-vlady/programove-prohlaseni/programove-prohlaseni-vlady-165960/</w:t>
      </w:r>
    </w:p>
  </w:footnote>
  <w:footnote w:id="4">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https://www.mfcr.cz/cs/aktualne/tiskove-zpravy/2019/ministerstvo-financi-predklada-navrh-vec-36619</w:t>
      </w:r>
    </w:p>
  </w:footnote>
  <w:footnote w:id="5">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https://www.mfcr.cz/cs/soukromy-sektor/kapitalovy-trh/cenne-papiry/2018/verejna-konzultace-blockchain-virtualni-33613; https://www.mfcr.cz/cs/soukromy-sektor/kapitalovy-trh/cenne-papiry/2019/vyhodnoceni-verejne-konzultace-blockchai-34569</w:t>
      </w:r>
    </w:p>
  </w:footnote>
  <w:footnote w:id="6">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https://www.mfcr.cz/cs/soukromy-sektor/bankovnictvi-a-platebni-sluzby/platebni-sluzby-a-vyporadani-obchodu/aktuality/2020/verejne-konzultace-evropske-komise-ke-ky-37144</w:t>
      </w:r>
    </w:p>
  </w:footnote>
  <w:footnote w:id="7">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https://financnigramotnost.mfcr.cz/cs/aktuality/2020/vlada-schvalila-narodni-strategii-financ-3192</w:t>
      </w:r>
    </w:p>
  </w:footnote>
  <w:footnote w:id="8">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https://www.mfcr.cz/cs/verejny-sektor/dane/moje-dane/aktualni-informace</w:t>
      </w:r>
    </w:p>
  </w:footnote>
  <w:footnote w:id="9">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https://www.mfcr.cz/cs/aktualne/tiskove-zpravy/2020/vlada-schvalila-strategii-vlastnicke-pol-37573</w:t>
      </w:r>
    </w:p>
  </w:footnote>
  <w:footnote w:id="10">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https://www.mpo.cz/cz/rozcestnik/pro-media/tiskove-zpravy/zastupci-eif-a-mpo-predstavili-investice-z-fondu-fondu-op-pik-do-lighthouse-seed-fund-a-nation-1--248937/</w:t>
      </w:r>
    </w:p>
  </w:footnote>
  <w:footnote w:id="11">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https://www.digitalnicesko.cz/; https://www.mpo.cz/cz/podnikani/digitalni-spolecnost/program-digitalni-cesko---243487/</w:t>
      </w:r>
    </w:p>
  </w:footnote>
  <w:footnote w:id="12">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https://www.vyzkum.cz/FrontClanek.aspx?idsekce=866015</w:t>
      </w:r>
    </w:p>
  </w:footnote>
  <w:footnote w:id="13">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https://www.cr2030.cz/</w:t>
      </w:r>
    </w:p>
  </w:footnote>
  <w:footnote w:id="14">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https://www.vlada.cz/cz/media-centrum/aktualne/urad-vlady-se-pripojil-k-memorandu-o-spolupraci-v-oblasti-technologie-blockchain-170425/; https://www.blockchainrepublic.cz/; https://www.blockchainrepublic.cz/s/TZ_Blockchain_memorandum.pdf</w:t>
      </w:r>
    </w:p>
  </w:footnote>
  <w:footnote w:id="15">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https://www.mpo.cz/cz/rozcestnik/pro-media/tiskove-zpravy/cesko-miri-mezi-elitu-a-predstavuje-strategii-umele-inteligence--245980/</w:t>
      </w:r>
    </w:p>
  </w:footnote>
  <w:footnote w:id="16">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https://www.mpo.cz/cz/rozcestnik/pro-media/tiskove-zpravy/vlada-schvalila-teze-hospodarske-strategie--252206/</w:t>
      </w:r>
    </w:p>
  </w:footnote>
  <w:footnote w:id="17">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https://www.cmzrb.cz/nrf/</w:t>
      </w:r>
    </w:p>
  </w:footnote>
  <w:footnote w:id="18">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https://www.sporicidluhopisycr.cz/</w:t>
      </w:r>
    </w:p>
  </w:footnote>
  <w:footnote w:id="19">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w:t>
      </w:r>
      <w:r w:rsidRPr="00B85E59">
        <w:rPr>
          <w:rFonts w:ascii="Times New Roman" w:hAnsi="Times New Roman" w:cs="Times New Roman"/>
        </w:rPr>
        <w:t>www</w:t>
      </w:r>
      <w:r w:rsidRPr="00B85E59">
        <w:rPr>
          <w:rFonts w:ascii="Times New Roman" w:hAnsi="Times New Roman" w:cs="Times New Roman"/>
        </w:rPr>
        <w:t>.</w:t>
      </w:r>
      <w:r w:rsidRPr="00B85E59">
        <w:rPr>
          <w:rFonts w:ascii="Times New Roman" w:hAnsi="Times New Roman" w:cs="Times New Roman"/>
        </w:rPr>
        <w:t>finance</w:t>
      </w:r>
      <w:r w:rsidRPr="00B85E59">
        <w:rPr>
          <w:rFonts w:ascii="Times New Roman" w:hAnsi="Times New Roman" w:cs="Times New Roman"/>
        </w:rPr>
        <w:t>.gov.ie/what-we-do/international-financial-services/</w:t>
      </w:r>
    </w:p>
  </w:footnote>
  <w:footnote w:id="20">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http://www.luxembourg.public.lu/en/publications/k/LFF-luxfin-2020-EN-2016/index.html</w:t>
      </w:r>
    </w:p>
  </w:footnote>
  <w:footnote w:id="21">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http://www.rokovania.sk/Rokovanie.aspx/BodRokovaniaDetail?idMaterial=23437</w:t>
      </w:r>
    </w:p>
  </w:footnote>
  <w:footnote w:id="22">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https://abanksb.bg/downloads/Strategy-Development-Bulgarian-Capital-Market-EN.pdf</w:t>
      </w:r>
    </w:p>
  </w:footnote>
  <w:footnote w:id="23">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https://www.bse.hu/About-Us/About-Budapest-Stock-Exchange/BSE-Strategic-Report-2017</w:t>
      </w:r>
    </w:p>
  </w:footnote>
  <w:footnote w:id="24">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w:t>
      </w:r>
      <w:r w:rsidRPr="00B85E59">
        <w:rPr>
          <w:rFonts w:ascii="Times New Roman" w:hAnsi="Times New Roman" w:cs="Times New Roman"/>
        </w:rPr>
        <w:t>www</w:t>
      </w:r>
      <w:r w:rsidRPr="00B85E59">
        <w:rPr>
          <w:rFonts w:ascii="Times New Roman" w:hAnsi="Times New Roman" w:cs="Times New Roman"/>
        </w:rPr>
        <w:t>.</w:t>
      </w:r>
      <w:r w:rsidRPr="00B85E59">
        <w:rPr>
          <w:rFonts w:ascii="Times New Roman" w:hAnsi="Times New Roman" w:cs="Times New Roman"/>
        </w:rPr>
        <w:t>fm</w:t>
      </w:r>
      <w:r w:rsidRPr="00B85E59">
        <w:rPr>
          <w:rFonts w:ascii="Times New Roman" w:hAnsi="Times New Roman" w:cs="Times New Roman"/>
        </w:rPr>
        <w:t>.gov.lv/en/s/financial_market_policy/financial_sector_development_plan/</w:t>
      </w:r>
    </w:p>
  </w:footnote>
  <w:footnote w:id="25">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https://www.gov.pl/web/finanse/rzad-przyjal-strategie-rozwoju-rynku-kapitalowego</w:t>
      </w:r>
    </w:p>
  </w:footnote>
  <w:footnote w:id="26">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https://www.mfcr.cz/cs/soukromy-sektor/kapitalovy-trh/podnikani-na-kapitalovem-trhu/2020/verejna-konzultace--scorecard-korporatni-37189</w:t>
      </w:r>
    </w:p>
  </w:footnote>
  <w:footnote w:id="27">
    <w:p w:rsidR="00A7116F" w:rsidRPr="00B85E59" w:rsidP="0070378C">
      <w:pPr>
        <w:pStyle w:val="FootnoteText"/>
        <w:jc w:val="both"/>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w:t>
      </w:r>
      <w:r w:rsidRPr="00B85E59">
        <w:rPr>
          <w:rFonts w:ascii="Times New Roman" w:hAnsi="Times New Roman" w:cs="Times New Roman"/>
          <w:lang w:val="en-GB"/>
        </w:rPr>
        <w:t>However, for example, they are explicitly foreseen in the notification form for UCITS funds in Annex I, Part B of Commission Regulation (EU) No. 584/2010 of 1 July 2010 implementing Directive 2009/65/EC of the European Parliament and of the Council, regarding the form and content of the standard UCITS notification and certificate, the use of electronic communication between competent authorities for notification purposes and the procedures for on-site verification and investigation and exchange of information between competent authorities.</w:t>
      </w:r>
    </w:p>
  </w:footnote>
  <w:footnote w:id="28">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w:t>
      </w:r>
      <w:r w:rsidRPr="00B85E59">
        <w:rPr>
          <w:rFonts w:ascii="Times New Roman" w:hAnsi="Times New Roman" w:cs="Times New Roman"/>
          <w:lang w:val="en-GB"/>
        </w:rPr>
        <w:t>Regulation (EU) 2019/1156 of the European Parliament and of the Council of 20 June 2019 on facilitation of the distribution of collective investment funds.</w:t>
      </w:r>
    </w:p>
  </w:footnote>
  <w:footnote w:id="29">
    <w:p w:rsidR="00A7116F" w:rsidRPr="00B85E59">
      <w:pPr>
        <w:pStyle w:val="FootnoteText"/>
        <w:rPr>
          <w:rFonts w:ascii="Times New Roman" w:hAnsi="Times New Roman" w:cs="Times New Roman"/>
        </w:rPr>
      </w:pPr>
      <w:r w:rsidRPr="00B85E59">
        <w:rPr>
          <w:rStyle w:val="FootnoteReference"/>
          <w:rFonts w:ascii="Times New Roman" w:hAnsi="Times New Roman" w:cs="Times New Roman"/>
        </w:rPr>
        <w:footnoteRef/>
      </w:r>
      <w:r w:rsidRPr="00B85E59">
        <w:rPr>
          <w:rFonts w:ascii="Times New Roman" w:hAnsi="Times New Roman" w:cs="Times New Roman"/>
        </w:rPr>
        <w:t xml:space="preserve"> https://www.bafin.de/EN/Aufsicht/KVGenInvestmentfonds/ErlaubnisVertrieb/Vertrieb/Vertrieb_node_en.html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248280090"/>
      <w:docPartObj>
        <w:docPartGallery w:val="Page Numbers (Top of Page)"/>
        <w:docPartUnique/>
      </w:docPartObj>
    </w:sdtPr>
    <w:sdtContent>
      <w:p w:rsidR="00A7116F" w:rsidRPr="00B85E59">
        <w:pPr>
          <w:pStyle w:val="Header"/>
          <w:jc w:val="center"/>
          <w:rPr>
            <w:rFonts w:ascii="Times New Roman" w:hAnsi="Times New Roman" w:cs="Times New Roman"/>
          </w:rPr>
        </w:pPr>
        <w:r w:rsidRPr="00B85E59">
          <w:rPr>
            <w:rFonts w:ascii="Times New Roman" w:hAnsi="Times New Roman" w:cs="Times New Roman"/>
          </w:rPr>
          <w:fldChar w:fldCharType="begin"/>
        </w:r>
        <w:r w:rsidRPr="00B85E59">
          <w:rPr>
            <w:rFonts w:ascii="Times New Roman" w:hAnsi="Times New Roman" w:cs="Times New Roman"/>
          </w:rPr>
          <w:instrText>PAGE   \* MERGEFORMAT</w:instrText>
        </w:r>
        <w:r w:rsidRPr="00B85E59">
          <w:rPr>
            <w:rFonts w:ascii="Times New Roman" w:hAnsi="Times New Roman" w:cs="Times New Roman"/>
          </w:rPr>
          <w:fldChar w:fldCharType="separate"/>
        </w:r>
        <w:r w:rsidR="00B85E59">
          <w:rPr>
            <w:rFonts w:ascii="Times New Roman" w:hAnsi="Times New Roman" w:cs="Times New Roman"/>
            <w:noProof/>
          </w:rPr>
          <w:t>- 45 -</w:t>
        </w:r>
        <w:r w:rsidRPr="00B85E59">
          <w:rPr>
            <w:rFonts w:ascii="Times New Roman" w:hAnsi="Times New Roman" w:cs="Times New Roman"/>
          </w:rPr>
          <w:fldChar w:fldCharType="end"/>
        </w:r>
      </w:p>
    </w:sdtContent>
  </w:sdt>
  <w:p w:rsidR="00A7116F" w:rsidRPr="00B85E59" w:rsidP="005C1E3D">
    <w:pPr>
      <w:pStyle w:val="Header"/>
      <w:jc w:val="right"/>
      <w:rPr>
        <w:rFonts w:ascii="Times New Roman" w:hAnsi="Times New Roman" w:cs="Times New Roman"/>
        <w:b/>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62734D"/>
    <w:multiLevelType w:val="multilevel"/>
    <w:tmpl w:val="4918A2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5D35E1"/>
    <w:multiLevelType w:val="multilevel"/>
    <w:tmpl w:val="63A400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0973D7"/>
    <w:multiLevelType w:val="hybridMultilevel"/>
    <w:tmpl w:val="A3E2BE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48206C"/>
    <w:multiLevelType w:val="multilevel"/>
    <w:tmpl w:val="F8B830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0D2803"/>
    <w:multiLevelType w:val="multilevel"/>
    <w:tmpl w:val="7EAC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7672AC"/>
    <w:multiLevelType w:val="multilevel"/>
    <w:tmpl w:val="F552DF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601CEE"/>
    <w:multiLevelType w:val="multilevel"/>
    <w:tmpl w:val="19E4BA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BC1048"/>
    <w:multiLevelType w:val="multilevel"/>
    <w:tmpl w:val="A5B6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0CB721D"/>
    <w:multiLevelType w:val="multilevel"/>
    <w:tmpl w:val="45F64E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2951DB"/>
    <w:multiLevelType w:val="multilevel"/>
    <w:tmpl w:val="121C246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9341CD"/>
    <w:multiLevelType w:val="multilevel"/>
    <w:tmpl w:val="3AE01C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F00B10"/>
    <w:multiLevelType w:val="multilevel"/>
    <w:tmpl w:val="260ABC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1A5013"/>
    <w:multiLevelType w:val="multilevel"/>
    <w:tmpl w:val="600621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6A1207"/>
    <w:multiLevelType w:val="multilevel"/>
    <w:tmpl w:val="B1E6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47F163F"/>
    <w:multiLevelType w:val="multilevel"/>
    <w:tmpl w:val="4C56CE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DF1CC6"/>
    <w:multiLevelType w:val="multilevel"/>
    <w:tmpl w:val="3086F7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0C2F38"/>
    <w:multiLevelType w:val="multilevel"/>
    <w:tmpl w:val="823C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6"/>
  </w:num>
  <w:num w:numId="3">
    <w:abstractNumId w:val="13"/>
  </w:num>
  <w:num w:numId="4">
    <w:abstractNumId w:val="14"/>
  </w:num>
  <w:num w:numId="5">
    <w:abstractNumId w:val="7"/>
  </w:num>
  <w:num w:numId="6">
    <w:abstractNumId w:val="3"/>
  </w:num>
  <w:num w:numId="7">
    <w:abstractNumId w:val="10"/>
  </w:num>
  <w:num w:numId="8">
    <w:abstractNumId w:val="8"/>
  </w:num>
  <w:num w:numId="9">
    <w:abstractNumId w:val="15"/>
  </w:num>
  <w:num w:numId="10">
    <w:abstractNumId w:val="12"/>
  </w:num>
  <w:num w:numId="11">
    <w:abstractNumId w:val="1"/>
  </w:num>
  <w:num w:numId="12">
    <w:abstractNumId w:val="5"/>
  </w:num>
  <w:num w:numId="13">
    <w:abstractNumId w:val="11"/>
  </w:num>
  <w:num w:numId="14">
    <w:abstractNumId w:val="0"/>
  </w:num>
  <w:num w:numId="15">
    <w:abstractNumId w:val="9"/>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link w:val="Nadpis1Char"/>
    <w:uiPriority w:val="9"/>
    <w:qFormat/>
    <w:rsid w:val="001763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176359"/>
    <w:rPr>
      <w:rFonts w:ascii="Times New Roman" w:eastAsia="Times New Roman" w:hAnsi="Times New Roman" w:cs="Times New Roman"/>
      <w:b/>
      <w:bCs/>
      <w:kern w:val="36"/>
      <w:sz w:val="48"/>
      <w:szCs w:val="48"/>
      <w:lang w:eastAsia="cs-CZ"/>
    </w:rPr>
  </w:style>
  <w:style w:type="paragraph" w:customStyle="1" w:styleId="msonormal">
    <w:name w:val="msonormal"/>
    <w:basedOn w:val="Normal"/>
    <w:rsid w:val="0017635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alWeb">
    <w:name w:val="Normal (Web)"/>
    <w:basedOn w:val="Normal"/>
    <w:uiPriority w:val="99"/>
    <w:semiHidden/>
    <w:unhideWhenUsed/>
    <w:rsid w:val="0017635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semiHidden/>
    <w:unhideWhenUsed/>
    <w:rsid w:val="00176359"/>
    <w:rPr>
      <w:color w:val="0000FF"/>
      <w:u w:val="single"/>
    </w:rPr>
  </w:style>
  <w:style w:type="character" w:styleId="FollowedHyperlink">
    <w:name w:val="FollowedHyperlink"/>
    <w:basedOn w:val="DefaultParagraphFont"/>
    <w:uiPriority w:val="99"/>
    <w:semiHidden/>
    <w:unhideWhenUsed/>
    <w:rsid w:val="00176359"/>
    <w:rPr>
      <w:color w:val="800080"/>
      <w:u w:val="single"/>
    </w:rPr>
  </w:style>
  <w:style w:type="character" w:customStyle="1" w:styleId="activity-link">
    <w:name w:val="activity-link"/>
    <w:basedOn w:val="DefaultParagraphFont"/>
    <w:rsid w:val="00176359"/>
  </w:style>
  <w:style w:type="paragraph" w:styleId="Header">
    <w:name w:val="header"/>
    <w:basedOn w:val="Normal"/>
    <w:link w:val="ZhlavChar"/>
    <w:uiPriority w:val="99"/>
    <w:unhideWhenUsed/>
    <w:rsid w:val="005C1E3D"/>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5C1E3D"/>
  </w:style>
  <w:style w:type="paragraph" w:styleId="Footer">
    <w:name w:val="footer"/>
    <w:basedOn w:val="Normal"/>
    <w:link w:val="ZpatChar"/>
    <w:uiPriority w:val="99"/>
    <w:unhideWhenUsed/>
    <w:rsid w:val="005C1E3D"/>
    <w:pPr>
      <w:tabs>
        <w:tab w:val="center" w:pos="4536"/>
        <w:tab w:val="right" w:pos="9072"/>
      </w:tabs>
      <w:spacing w:after="0" w:line="240" w:lineRule="auto"/>
    </w:pPr>
  </w:style>
  <w:style w:type="character" w:customStyle="1" w:styleId="ZpatChar">
    <w:name w:val="Zápatí Char"/>
    <w:basedOn w:val="DefaultParagraphFont"/>
    <w:link w:val="Footer"/>
    <w:uiPriority w:val="99"/>
    <w:rsid w:val="005C1E3D"/>
  </w:style>
  <w:style w:type="paragraph" w:styleId="FootnoteText">
    <w:name w:val="footnote text"/>
    <w:basedOn w:val="Normal"/>
    <w:link w:val="TextpoznpodarouChar"/>
    <w:uiPriority w:val="99"/>
    <w:semiHidden/>
    <w:unhideWhenUsed/>
    <w:qFormat/>
    <w:rsid w:val="005C1E3D"/>
    <w:pPr>
      <w:spacing w:after="0" w:line="240" w:lineRule="auto"/>
    </w:pPr>
    <w:rPr>
      <w:sz w:val="20"/>
      <w:szCs w:val="20"/>
    </w:rPr>
  </w:style>
  <w:style w:type="character" w:customStyle="1" w:styleId="TextpoznpodarouChar">
    <w:name w:val="Text pozn. pod čarou Char"/>
    <w:basedOn w:val="DefaultParagraphFont"/>
    <w:link w:val="FootnoteText"/>
    <w:uiPriority w:val="99"/>
    <w:semiHidden/>
    <w:rsid w:val="005C1E3D"/>
    <w:rPr>
      <w:sz w:val="20"/>
      <w:szCs w:val="20"/>
    </w:rPr>
  </w:style>
  <w:style w:type="character" w:styleId="FootnoteReference">
    <w:name w:val="footnote reference"/>
    <w:basedOn w:val="DefaultParagraphFont"/>
    <w:uiPriority w:val="99"/>
    <w:semiHidden/>
    <w:unhideWhenUsed/>
    <w:rsid w:val="005C1E3D"/>
    <w:rPr>
      <w:vertAlign w:val="superscript"/>
    </w:rPr>
  </w:style>
  <w:style w:type="paragraph" w:styleId="ListParagraph">
    <w:name w:val="List Paragraph"/>
    <w:basedOn w:val="Normal"/>
    <w:uiPriority w:val="34"/>
    <w:qFormat/>
    <w:rsid w:val="008B2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F9F99-D4EF-422E-B1D5-EEF9C66DB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TotalTime>
  <Pages>1</Pages>
  <Words>22950</Words>
  <Characters>135406</Characters>
  <Application>Microsoft Office Word</Application>
  <DocSecurity>0</DocSecurity>
  <Lines>1128</Lines>
  <Paragraphs>316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2020-05-02T19:01:00Z</dcterms:created>
</cp:coreProperties>
</file>